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89411">
      <w:pPr>
        <w:wordWrap w:val="0"/>
        <w:rPr>
          <w:rFonts w:ascii="宋体" w:hAnsi="宋体" w:cs="宋体"/>
          <w:color w:val="000000" w:themeColor="text1"/>
          <w:highlight w:val="yellow"/>
          <w14:textFill>
            <w14:solidFill>
              <w14:schemeClr w14:val="tx1"/>
            </w14:solidFill>
          </w14:textFill>
        </w:rPr>
      </w:pPr>
      <w:bookmarkStart w:id="0" w:name="EB56fcdcc0191c4e69804fb181c2eaf6e6"/>
      <w:r>
        <w:rPr>
          <w:rFonts w:hint="eastAsia" w:ascii="宋体" w:hAnsi="宋体" w:cs="宋体"/>
          <w:color w:val="000000" w:themeColor="text1"/>
          <w:sz w:val="20"/>
          <w:highlight w:val="white"/>
          <w14:textFill>
            <w14:solidFill>
              <w14:schemeClr w14:val="tx1"/>
            </w14:solidFill>
          </w14:textFill>
        </w:rPr>
        <w:t xml:space="preserve"> </w:t>
      </w:r>
      <w:bookmarkEnd w:id="0"/>
      <w:bookmarkStart w:id="1" w:name="EB74fd7479e08d4642b03990004a827852"/>
      <w:r>
        <w:rPr>
          <w:rFonts w:hint="eastAsia" w:ascii="宋体" w:hAnsi="宋体" w:cs="宋体"/>
          <w:color w:val="000000" w:themeColor="text1"/>
          <w:sz w:val="20"/>
          <w:highlight w:val="white"/>
          <w14:textFill>
            <w14:solidFill>
              <w14:schemeClr w14:val="tx1"/>
            </w14:solidFill>
          </w14:textFill>
        </w:rPr>
        <w:t xml:space="preserve"> </w:t>
      </w:r>
      <w:bookmarkEnd w:id="1"/>
    </w:p>
    <w:p w14:paraId="3BB3C676">
      <w:pPr>
        <w:tabs>
          <w:tab w:val="left" w:pos="1134"/>
          <w:tab w:val="left" w:pos="5481"/>
          <w:tab w:val="left" w:pos="5859"/>
        </w:tabs>
        <w:wordWrap w:val="0"/>
        <w:jc w:val="center"/>
        <w:rPr>
          <w:rFonts w:ascii="宋体" w:hAnsi="宋体" w:cs="宋体"/>
          <w:b/>
          <w:color w:val="000000" w:themeColor="text1"/>
          <w:sz w:val="52"/>
          <w14:textFill>
            <w14:solidFill>
              <w14:schemeClr w14:val="tx1"/>
            </w14:solidFill>
          </w14:textFill>
        </w:rPr>
      </w:pPr>
    </w:p>
    <w:p w14:paraId="7CC3935A">
      <w:pPr>
        <w:pStyle w:val="40"/>
        <w:rPr>
          <w:color w:val="000000" w:themeColor="text1"/>
          <w14:textFill>
            <w14:solidFill>
              <w14:schemeClr w14:val="tx1"/>
            </w14:solidFill>
          </w14:textFill>
        </w:rPr>
      </w:pPr>
    </w:p>
    <w:p w14:paraId="7CD875AD">
      <w:pPr>
        <w:pStyle w:val="41"/>
        <w:rPr>
          <w:rFonts w:ascii="宋体" w:hAnsi="宋体" w:cs="宋体"/>
          <w:color w:val="000000" w:themeColor="text1"/>
          <w14:textFill>
            <w14:solidFill>
              <w14:schemeClr w14:val="tx1"/>
            </w14:solidFill>
          </w14:textFill>
        </w:rPr>
      </w:pPr>
    </w:p>
    <w:p w14:paraId="3FA7A8EB">
      <w:pPr>
        <w:tabs>
          <w:tab w:val="left" w:pos="1134"/>
          <w:tab w:val="left" w:pos="5481"/>
          <w:tab w:val="left" w:pos="5859"/>
        </w:tabs>
        <w:wordWrap w:val="0"/>
        <w:jc w:val="center"/>
        <w:rPr>
          <w:rFonts w:ascii="宋体" w:hAnsi="宋体" w:cs="宋体"/>
          <w:color w:val="000000" w:themeColor="text1"/>
          <w:sz w:val="72"/>
          <w:szCs w:val="72"/>
          <w:highlight w:val="white"/>
          <w14:textFill>
            <w14:solidFill>
              <w14:schemeClr w14:val="tx1"/>
            </w14:solidFill>
          </w14:textFill>
        </w:rPr>
      </w:pPr>
    </w:p>
    <w:p w14:paraId="1D682E5D">
      <w:pPr>
        <w:tabs>
          <w:tab w:val="left" w:pos="1134"/>
          <w:tab w:val="left" w:pos="5481"/>
          <w:tab w:val="left" w:pos="5859"/>
        </w:tabs>
        <w:wordWrap w:val="0"/>
        <w:jc w:val="center"/>
        <w:rPr>
          <w:rFonts w:ascii="宋体" w:hAnsi="宋体" w:cs="宋体"/>
          <w:b/>
          <w:bCs/>
          <w:color w:val="000000" w:themeColor="text1"/>
          <w:sz w:val="72"/>
          <w:szCs w:val="72"/>
          <w:highlight w:val="white"/>
          <w14:textFill>
            <w14:solidFill>
              <w14:schemeClr w14:val="tx1"/>
            </w14:solidFill>
          </w14:textFill>
        </w:rPr>
      </w:pPr>
      <w:r>
        <w:rPr>
          <w:rFonts w:hint="eastAsia" w:ascii="宋体" w:hAnsi="宋体" w:cs="宋体"/>
          <w:b/>
          <w:bCs/>
          <w:color w:val="000000" w:themeColor="text1"/>
          <w:sz w:val="72"/>
          <w:szCs w:val="72"/>
          <w:highlight w:val="white"/>
          <w14:textFill>
            <w14:solidFill>
              <w14:schemeClr w14:val="tx1"/>
            </w14:solidFill>
          </w14:textFill>
        </w:rPr>
        <w:t>竞争性磋商文件</w:t>
      </w:r>
    </w:p>
    <w:p w14:paraId="4CFEA577">
      <w:pPr>
        <w:wordWrap w:val="0"/>
        <w:jc w:val="center"/>
        <w:rPr>
          <w:rFonts w:ascii="宋体" w:hAnsi="宋体" w:cs="宋体"/>
          <w:color w:val="000000" w:themeColor="text1"/>
          <w14:textFill>
            <w14:solidFill>
              <w14:schemeClr w14:val="tx1"/>
            </w14:solidFill>
          </w14:textFill>
        </w:rPr>
      </w:pPr>
    </w:p>
    <w:p w14:paraId="690C18E2">
      <w:pPr>
        <w:wordWrap w:val="0"/>
        <w:jc w:val="center"/>
        <w:rPr>
          <w:rFonts w:ascii="宋体" w:hAnsi="宋体" w:cs="宋体"/>
          <w:color w:val="000000" w:themeColor="text1"/>
          <w14:textFill>
            <w14:solidFill>
              <w14:schemeClr w14:val="tx1"/>
            </w14:solidFill>
          </w14:textFill>
        </w:rPr>
      </w:pPr>
    </w:p>
    <w:p w14:paraId="2A9D684E">
      <w:pPr>
        <w:pStyle w:val="41"/>
        <w:rPr>
          <w:rFonts w:ascii="宋体" w:hAnsi="宋体" w:cs="宋体"/>
          <w:color w:val="000000" w:themeColor="text1"/>
          <w14:textFill>
            <w14:solidFill>
              <w14:schemeClr w14:val="tx1"/>
            </w14:solidFill>
          </w14:textFill>
        </w:rPr>
      </w:pPr>
    </w:p>
    <w:p w14:paraId="105A9B35">
      <w:pPr>
        <w:wordWrap w:val="0"/>
        <w:jc w:val="center"/>
        <w:rPr>
          <w:rFonts w:ascii="宋体" w:hAnsi="宋体" w:cs="宋体"/>
          <w:color w:val="000000" w:themeColor="text1"/>
          <w14:textFill>
            <w14:solidFill>
              <w14:schemeClr w14:val="tx1"/>
            </w14:solidFill>
          </w14:textFill>
        </w:rPr>
      </w:pPr>
    </w:p>
    <w:p w14:paraId="48E4E7F3">
      <w:pPr>
        <w:pStyle w:val="41"/>
        <w:rPr>
          <w:rFonts w:ascii="宋体" w:hAnsi="宋体" w:cs="宋体"/>
          <w:color w:val="000000" w:themeColor="text1"/>
          <w14:textFill>
            <w14:solidFill>
              <w14:schemeClr w14:val="tx1"/>
            </w14:solidFill>
          </w14:textFill>
        </w:rPr>
      </w:pPr>
    </w:p>
    <w:p w14:paraId="1ABBC4C5">
      <w:pPr>
        <w:wordWrap w:val="0"/>
        <w:jc w:val="center"/>
        <w:rPr>
          <w:rFonts w:ascii="宋体" w:hAnsi="宋体" w:cs="宋体"/>
          <w:color w:val="000000" w:themeColor="text1"/>
          <w14:textFill>
            <w14:solidFill>
              <w14:schemeClr w14:val="tx1"/>
            </w14:solidFill>
          </w14:textFill>
        </w:rPr>
      </w:pPr>
    </w:p>
    <w:p w14:paraId="3E7D94CB">
      <w:pPr>
        <w:wordWrap w:val="0"/>
        <w:jc w:val="center"/>
        <w:rPr>
          <w:rFonts w:ascii="宋体" w:hAnsi="宋体" w:cs="宋体"/>
          <w:color w:val="000000" w:themeColor="text1"/>
          <w14:textFill>
            <w14:solidFill>
              <w14:schemeClr w14:val="tx1"/>
            </w14:solidFill>
          </w14:textFill>
        </w:rPr>
      </w:pPr>
    </w:p>
    <w:p w14:paraId="445D3055">
      <w:pPr>
        <w:wordWrap w:val="0"/>
        <w:jc w:val="center"/>
        <w:rPr>
          <w:rFonts w:ascii="宋体" w:hAnsi="宋体" w:cs="宋体"/>
          <w:color w:val="000000" w:themeColor="text1"/>
          <w14:textFill>
            <w14:solidFill>
              <w14:schemeClr w14:val="tx1"/>
            </w14:solidFill>
          </w14:textFill>
        </w:rPr>
      </w:pPr>
    </w:p>
    <w:p w14:paraId="0D98667A">
      <w:pPr>
        <w:wordWrap w:val="0"/>
        <w:jc w:val="center"/>
        <w:rPr>
          <w:rFonts w:ascii="宋体" w:hAnsi="宋体" w:cs="宋体"/>
          <w:color w:val="000000" w:themeColor="text1"/>
          <w14:textFill>
            <w14:solidFill>
              <w14:schemeClr w14:val="tx1"/>
            </w14:solidFill>
          </w14:textFill>
        </w:rPr>
      </w:pPr>
    </w:p>
    <w:p w14:paraId="4B35CD98">
      <w:pPr>
        <w:wordWrap w:val="0"/>
        <w:jc w:val="center"/>
        <w:rPr>
          <w:rFonts w:ascii="宋体" w:hAnsi="宋体" w:cs="宋体"/>
          <w:color w:val="000000" w:themeColor="text1"/>
          <w14:textFill>
            <w14:solidFill>
              <w14:schemeClr w14:val="tx1"/>
            </w14:solidFill>
          </w14:textFill>
        </w:rPr>
      </w:pPr>
    </w:p>
    <w:p w14:paraId="4B5CBAB9">
      <w:pPr>
        <w:wordWrap w:val="0"/>
        <w:jc w:val="both"/>
        <w:rPr>
          <w:rFonts w:ascii="宋体" w:hAnsi="宋体" w:cs="宋体"/>
          <w:color w:val="000000" w:themeColor="text1"/>
          <w14:textFill>
            <w14:solidFill>
              <w14:schemeClr w14:val="tx1"/>
            </w14:solidFill>
          </w14:textFill>
        </w:rPr>
      </w:pPr>
    </w:p>
    <w:p w14:paraId="63F56B6A">
      <w:pPr>
        <w:wordWrap w:val="0"/>
        <w:jc w:val="center"/>
        <w:rPr>
          <w:rFonts w:ascii="宋体" w:hAnsi="宋体" w:cs="宋体"/>
          <w:color w:val="000000" w:themeColor="text1"/>
          <w14:textFill>
            <w14:solidFill>
              <w14:schemeClr w14:val="tx1"/>
            </w14:solidFill>
          </w14:textFill>
        </w:rPr>
      </w:pPr>
    </w:p>
    <w:p w14:paraId="27790B1A">
      <w:pPr>
        <w:pStyle w:val="40"/>
        <w:rPr>
          <w:color w:val="000000" w:themeColor="text1"/>
          <w14:textFill>
            <w14:solidFill>
              <w14:schemeClr w14:val="tx1"/>
            </w14:solidFill>
          </w14:textFill>
        </w:rPr>
      </w:pPr>
    </w:p>
    <w:p w14:paraId="4D6838E2">
      <w:pPr>
        <w:tabs>
          <w:tab w:val="left" w:pos="1134"/>
          <w:tab w:val="left" w:pos="5481"/>
          <w:tab w:val="left" w:pos="5859"/>
        </w:tabs>
        <w:wordWrap w:val="0"/>
        <w:spacing w:line="360" w:lineRule="auto"/>
        <w:jc w:val="center"/>
        <w:rPr>
          <w:rFonts w:ascii="宋体" w:hAnsi="宋体" w:cs="宋体"/>
          <w:b/>
          <w:color w:val="000000" w:themeColor="text1"/>
          <w:sz w:val="32"/>
          <w14:textFill>
            <w14:solidFill>
              <w14:schemeClr w14:val="tx1"/>
            </w14:solidFill>
          </w14:textFill>
        </w:rPr>
      </w:pPr>
    </w:p>
    <w:p w14:paraId="524425A6">
      <w:pPr>
        <w:pStyle w:val="15"/>
        <w:wordWrap w:val="0"/>
        <w:spacing w:line="360" w:lineRule="auto"/>
        <w:ind w:firstLine="562" w:firstLineChars="200"/>
        <w:rPr>
          <w:rFonts w:hint="eastAsia" w:ascii="宋体" w:hAnsi="宋体" w:eastAsia="宋体" w:cs="宋体"/>
          <w:b/>
          <w:color w:val="000000" w:themeColor="text1"/>
          <w:sz w:val="28"/>
          <w:szCs w:val="18"/>
          <w:highlight w:val="white"/>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项目名称：</w:t>
      </w:r>
      <w:r>
        <w:rPr>
          <w:rFonts w:hint="eastAsia" w:ascii="宋体" w:hAnsi="宋体" w:eastAsia="宋体" w:cs="宋体"/>
          <w:b/>
          <w:color w:val="000000" w:themeColor="text1"/>
          <w:sz w:val="28"/>
          <w:szCs w:val="18"/>
          <w:highlight w:val="white"/>
          <w:lang w:eastAsia="zh-CN"/>
          <w14:textFill>
            <w14:solidFill>
              <w14:schemeClr w14:val="tx1"/>
            </w14:solidFill>
          </w14:textFill>
        </w:rPr>
        <w:t>哈密市伊吾县县城供热管网建设项目(监理）采购项目</w:t>
      </w:r>
    </w:p>
    <w:p w14:paraId="7329566E">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项目编号：</w:t>
      </w:r>
      <w:r>
        <w:rPr>
          <w:rFonts w:hint="eastAsia" w:ascii="宋体" w:hAnsi="宋体" w:eastAsia="宋体" w:cs="宋体"/>
          <w:b/>
          <w:color w:val="000000" w:themeColor="text1"/>
          <w:sz w:val="28"/>
          <w:szCs w:val="18"/>
          <w:highlight w:val="white"/>
          <w:lang w:eastAsia="zh-CN"/>
          <w14:textFill>
            <w14:solidFill>
              <w14:schemeClr w14:val="tx1"/>
            </w14:solidFill>
          </w14:textFill>
        </w:rPr>
        <w:t>XJDH【2025】-H028</w:t>
      </w:r>
    </w:p>
    <w:p w14:paraId="56BCD8E0">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p>
    <w:p w14:paraId="6E66761C">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r>
        <w:rPr>
          <w:rFonts w:hint="eastAsia" w:ascii="宋体" w:hAnsi="宋体" w:eastAsia="宋体" w:cs="宋体"/>
          <w:b/>
          <w:color w:val="000000" w:themeColor="text1"/>
          <w:sz w:val="28"/>
          <w:szCs w:val="18"/>
          <w:highlight w:val="white"/>
          <w:lang w:eastAsia="zh-CN"/>
          <w14:textFill>
            <w14:solidFill>
              <w14:schemeClr w14:val="tx1"/>
            </w14:solidFill>
          </w14:textFill>
        </w:rPr>
        <w:t>采购单位：</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伊吾县住房和城乡建设局(人防办)</w:t>
      </w:r>
    </w:p>
    <w:p w14:paraId="0BFB49E1">
      <w:pPr>
        <w:pStyle w:val="15"/>
        <w:wordWrap w:val="0"/>
        <w:spacing w:line="360" w:lineRule="auto"/>
        <w:ind w:firstLine="562" w:firstLineChars="200"/>
        <w:rPr>
          <w:rFonts w:hint="eastAsia" w:ascii="宋体" w:hAnsi="宋体" w:eastAsia="宋体" w:cs="宋体"/>
          <w:b/>
          <w:color w:val="000000" w:themeColor="text1"/>
          <w:sz w:val="28"/>
          <w:szCs w:val="18"/>
          <w:highlight w:val="white"/>
          <w:lang w:eastAsia="zh-CN"/>
          <w14:textFill>
            <w14:solidFill>
              <w14:schemeClr w14:val="tx1"/>
            </w14:solidFill>
          </w14:textFill>
        </w:rPr>
      </w:pPr>
    </w:p>
    <w:p w14:paraId="02EEBD69">
      <w:pPr>
        <w:pStyle w:val="15"/>
        <w:wordWrap w:val="0"/>
        <w:spacing w:line="360" w:lineRule="auto"/>
        <w:ind w:firstLine="562" w:firstLineChars="200"/>
        <w:rPr>
          <w:rFonts w:ascii="宋体" w:hAnsi="宋体" w:eastAsia="宋体" w:cs="宋体"/>
          <w:b/>
          <w:color w:val="000000" w:themeColor="text1"/>
          <w:sz w:val="28"/>
          <w:szCs w:val="18"/>
          <w:u w:val="single"/>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采购代理机构：新疆德鸿项目管理咨询有限公司</w:t>
      </w:r>
    </w:p>
    <w:p w14:paraId="10437D5C">
      <w:pPr>
        <w:pStyle w:val="15"/>
        <w:wordWrap w:val="0"/>
        <w:spacing w:line="360" w:lineRule="auto"/>
        <w:ind w:firstLine="562" w:firstLineChars="200"/>
        <w:rPr>
          <w:rFonts w:hint="eastAsia" w:ascii="宋体" w:hAnsi="宋体" w:eastAsia="宋体" w:cs="宋体"/>
          <w:b/>
          <w:color w:val="000000" w:themeColor="text1"/>
          <w:sz w:val="28"/>
          <w:szCs w:val="18"/>
          <w:highlight w:val="white"/>
          <w14:textFill>
            <w14:solidFill>
              <w14:schemeClr w14:val="tx1"/>
            </w14:solidFill>
          </w14:textFill>
        </w:rPr>
      </w:pPr>
    </w:p>
    <w:p w14:paraId="343F266A">
      <w:pPr>
        <w:pStyle w:val="15"/>
        <w:wordWrap w:val="0"/>
        <w:spacing w:line="360" w:lineRule="auto"/>
        <w:ind w:firstLine="562" w:firstLineChars="200"/>
        <w:rPr>
          <w:rFonts w:ascii="宋体" w:hAnsi="宋体" w:eastAsia="宋体" w:cs="宋体"/>
          <w:b/>
          <w:color w:val="000000" w:themeColor="text1"/>
          <w:sz w:val="28"/>
          <w:szCs w:val="18"/>
          <w:highlight w:val="white"/>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日期：</w:t>
      </w:r>
      <w:bookmarkStart w:id="2" w:name="EB111f2327f0a4481db50634b1e102f346"/>
      <w:r>
        <w:rPr>
          <w:rFonts w:hint="eastAsia" w:ascii="宋体" w:hAnsi="宋体" w:eastAsia="宋体" w:cs="宋体"/>
          <w:b/>
          <w:color w:val="000000" w:themeColor="text1"/>
          <w:sz w:val="28"/>
          <w:szCs w:val="18"/>
          <w:highlight w:val="white"/>
          <w14:textFill>
            <w14:solidFill>
              <w14:schemeClr w14:val="tx1"/>
            </w14:solidFill>
          </w14:textFill>
        </w:rPr>
        <w:t>202</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5</w:t>
      </w:r>
      <w:r>
        <w:rPr>
          <w:rFonts w:hint="eastAsia" w:ascii="宋体" w:hAnsi="宋体" w:eastAsia="宋体" w:cs="宋体"/>
          <w:b/>
          <w:color w:val="000000" w:themeColor="text1"/>
          <w:sz w:val="28"/>
          <w:szCs w:val="18"/>
          <w:highlight w:val="white"/>
          <w14:textFill>
            <w14:solidFill>
              <w14:schemeClr w14:val="tx1"/>
            </w14:solidFill>
          </w14:textFill>
        </w:rPr>
        <w:t>年</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06</w:t>
      </w:r>
      <w:r>
        <w:rPr>
          <w:rFonts w:hint="eastAsia" w:ascii="宋体" w:hAnsi="宋体" w:eastAsia="宋体" w:cs="宋体"/>
          <w:b/>
          <w:color w:val="000000" w:themeColor="text1"/>
          <w:sz w:val="28"/>
          <w:szCs w:val="18"/>
          <w:highlight w:val="white"/>
          <w14:textFill>
            <w14:solidFill>
              <w14:schemeClr w14:val="tx1"/>
            </w14:solidFill>
          </w14:textFill>
        </w:rPr>
        <w:t>月</w:t>
      </w:r>
      <w:r>
        <w:rPr>
          <w:rFonts w:hint="eastAsia" w:ascii="宋体" w:hAnsi="宋体" w:eastAsia="宋体" w:cs="宋体"/>
          <w:b/>
          <w:color w:val="000000" w:themeColor="text1"/>
          <w:sz w:val="28"/>
          <w:szCs w:val="18"/>
          <w:highlight w:val="white"/>
          <w:lang w:val="en-US" w:eastAsia="zh-CN"/>
          <w14:textFill>
            <w14:solidFill>
              <w14:schemeClr w14:val="tx1"/>
            </w14:solidFill>
          </w14:textFill>
        </w:rPr>
        <w:t>16</w:t>
      </w:r>
      <w:r>
        <w:rPr>
          <w:rFonts w:hint="eastAsia" w:ascii="宋体" w:hAnsi="宋体" w:eastAsia="宋体" w:cs="宋体"/>
          <w:b/>
          <w:color w:val="000000" w:themeColor="text1"/>
          <w:sz w:val="28"/>
          <w:szCs w:val="18"/>
          <w:highlight w:val="white"/>
          <w14:textFill>
            <w14:solidFill>
              <w14:schemeClr w14:val="tx1"/>
            </w14:solidFill>
          </w14:textFill>
        </w:rPr>
        <w:t>日</w:t>
      </w:r>
      <w:bookmarkEnd w:id="2"/>
    </w:p>
    <w:p w14:paraId="0BB00C8B">
      <w:pPr>
        <w:pStyle w:val="15"/>
        <w:wordWrap w:val="0"/>
        <w:spacing w:line="360" w:lineRule="auto"/>
        <w:ind w:firstLine="562" w:firstLineChars="200"/>
        <w:rPr>
          <w:rFonts w:ascii="宋体" w:hAnsi="宋体" w:eastAsia="宋体" w:cs="宋体"/>
          <w:b/>
          <w:color w:val="000000" w:themeColor="text1"/>
          <w:sz w:val="28"/>
          <w:szCs w:val="18"/>
          <w14:textFill>
            <w14:solidFill>
              <w14:schemeClr w14:val="tx1"/>
            </w14:solidFill>
          </w14:textFill>
        </w:rPr>
      </w:pPr>
      <w:r>
        <w:rPr>
          <w:rFonts w:hint="eastAsia" w:ascii="宋体" w:hAnsi="宋体" w:eastAsia="宋体" w:cs="宋体"/>
          <w:b/>
          <w:color w:val="000000" w:themeColor="text1"/>
          <w:sz w:val="28"/>
          <w:szCs w:val="18"/>
          <w:highlight w:val="white"/>
          <w14:textFill>
            <w14:solidFill>
              <w14:schemeClr w14:val="tx1"/>
            </w14:solidFill>
          </w14:textFill>
        </w:rPr>
        <w:t xml:space="preserve"> </w:t>
      </w:r>
    </w:p>
    <w:p w14:paraId="485E2EA0">
      <w:pPr>
        <w:wordWrap w:val="0"/>
        <w:jc w:val="center"/>
        <w:rPr>
          <w:rFonts w:ascii="宋体" w:hAnsi="宋体" w:cs="宋体"/>
          <w:b/>
          <w:bCs/>
          <w:color w:val="000000" w:themeColor="text1"/>
          <w:sz w:val="36"/>
          <w:szCs w:val="44"/>
          <w:highlight w:val="white"/>
          <w14:textFill>
            <w14:solidFill>
              <w14:schemeClr w14:val="tx1"/>
            </w14:solidFill>
          </w14:textFill>
        </w:rPr>
        <w:sectPr>
          <w:footerReference r:id="rId5" w:type="first"/>
          <w:footerReference r:id="rId4" w:type="default"/>
          <w:headerReference r:id="rId3" w:type="even"/>
          <w:pgSz w:w="11906" w:h="16838"/>
          <w:pgMar w:top="1440" w:right="1797" w:bottom="1440" w:left="1797" w:header="851" w:footer="992" w:gutter="0"/>
          <w:pgNumType w:fmt="decimal" w:start="0"/>
          <w:cols w:space="720" w:num="1"/>
          <w:docGrid w:linePitch="312" w:charSpace="0"/>
        </w:sectPr>
      </w:pPr>
      <w:bookmarkStart w:id="3" w:name="EBa2fad4264ddd4c0d8504bb183948d98b"/>
    </w:p>
    <w:bookmarkEnd w:id="3"/>
    <w:p w14:paraId="4A2210E2">
      <w:pPr>
        <w:wordWrap w:val="0"/>
        <w:jc w:val="center"/>
        <w:rPr>
          <w:rFonts w:ascii="宋体" w:hAnsi="宋体" w:cs="宋体"/>
          <w:b/>
          <w:bCs/>
          <w:color w:val="000000" w:themeColor="text1"/>
          <w:sz w:val="40"/>
          <w:szCs w:val="44"/>
          <w14:textFill>
            <w14:solidFill>
              <w14:schemeClr w14:val="tx1"/>
            </w14:solidFill>
          </w14:textFill>
        </w:rPr>
      </w:pPr>
      <w:r>
        <w:rPr>
          <w:rFonts w:hint="eastAsia" w:ascii="宋体" w:hAnsi="宋体" w:cs="宋体"/>
          <w:b/>
          <w:bCs/>
          <w:color w:val="000000" w:themeColor="text1"/>
          <w:sz w:val="40"/>
          <w:szCs w:val="44"/>
          <w:highlight w:val="white"/>
          <w14:textFill>
            <w14:solidFill>
              <w14:schemeClr w14:val="tx1"/>
            </w14:solidFill>
          </w14:textFill>
        </w:rPr>
        <w:t>目  录</w:t>
      </w:r>
    </w:p>
    <w:p w14:paraId="512254DD">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highlight w:val="white"/>
          <w14:textFill>
            <w14:solidFill>
              <w14:schemeClr w14:val="tx1"/>
            </w14:solidFill>
          </w14:textFill>
        </w:rPr>
        <w:instrText xml:space="preserve"> TOC \o "1-3" \h \z \u </w:instrText>
      </w:r>
      <w:r>
        <w:rPr>
          <w:rFonts w:hint="eastAsia" w:ascii="宋体" w:hAnsi="宋体" w:cs="宋体"/>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"_Toc32076"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第一章 竞争性磋商公告</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_Toc32076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395D7CCB">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"_Toc8684"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第二章 供应商须知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_Toc8684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1104EE5C">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"_Toc11453"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第三章 采购需求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_Toc11453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3C99F9F1">
      <w:pPr>
        <w:pStyle w:val="23"/>
        <w:tabs>
          <w:tab w:val="right" w:leader="dot" w:pos="8312"/>
          <w:tab w:val="clear" w:pos="8222"/>
        </w:tabs>
        <w:wordWrap w:val="0"/>
        <w:spacing w:line="560" w:lineRule="atLeast"/>
        <w:rPr>
          <w:rFonts w:hint="eastAsia" w:ascii="宋体" w:hAnsi="宋体" w:eastAsia="宋体" w:cs="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"_Toc6049"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第四章 评审方法</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lang w:val="en-US" w:eastAsia="zh-CN"/>
          <w14:textFill>
            <w14:solidFill>
              <w14:schemeClr w14:val="tx1"/>
            </w14:solidFill>
          </w14:textFill>
        </w:rPr>
        <w:t>1</w:t>
      </w:r>
    </w:p>
    <w:p w14:paraId="50E5C78F">
      <w:pPr>
        <w:pStyle w:val="23"/>
        <w:tabs>
          <w:tab w:val="right" w:leader="dot" w:pos="8312"/>
          <w:tab w:val="clear" w:pos="8222"/>
        </w:tabs>
        <w:wordWrap w:val="0"/>
        <w:spacing w:line="560" w:lineRule="atLeas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"_Toc8050"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第五章 合同格式及合同条款</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_Toc8050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4C1BB63F">
      <w:pPr>
        <w:pStyle w:val="23"/>
        <w:tabs>
          <w:tab w:val="right" w:leader="dot" w:pos="8312"/>
          <w:tab w:val="clear" w:pos="8222"/>
        </w:tabs>
        <w:wordWrap w:val="0"/>
        <w:spacing w:line="560" w:lineRule="atLeast"/>
        <w:rPr>
          <w:rFonts w:hint="default" w:ascii="宋体" w:hAnsi="宋体" w:eastAsia="宋体" w:cs="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"_Toc9228" </w:instrText>
      </w:r>
      <w:r>
        <w:rPr>
          <w:color w:val="000000" w:themeColor="text1"/>
          <w14:textFill>
            <w14:solidFill>
              <w14:schemeClr w14:val="tx1"/>
            </w14:solidFill>
          </w14:textFill>
        </w:rPr>
        <w:fldChar w:fldCharType="separate"/>
      </w:r>
      <w:r>
        <w:rPr>
          <w:rFonts w:hint="eastAsia" w:ascii="宋体" w:hAnsi="宋体" w:cs="宋体"/>
          <w:color w:val="000000" w:themeColor="text1"/>
          <w:highlight w:val="white"/>
          <w14:textFill>
            <w14:solidFill>
              <w14:schemeClr w14:val="tx1"/>
            </w14:solidFill>
          </w14:textFill>
        </w:rPr>
        <w:t>第六章 竞争性磋商响应文件格式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lang w:val="en-US" w:eastAsia="zh-CN"/>
          <w14:textFill>
            <w14:solidFill>
              <w14:schemeClr w14:val="tx1"/>
            </w14:solidFill>
          </w14:textFill>
        </w:rPr>
        <w:t>47</w:t>
      </w:r>
    </w:p>
    <w:p w14:paraId="55B6FB90">
      <w:pPr>
        <w:wordWrap w:val="0"/>
        <w:spacing w:line="560" w:lineRule="atLeast"/>
        <w:rPr>
          <w:rFonts w:ascii="宋体" w:hAns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fldChar w:fldCharType="end"/>
      </w:r>
    </w:p>
    <w:p w14:paraId="254DD8EE">
      <w:pPr>
        <w:widowControl/>
        <w:wordWrap w:val="0"/>
        <w:jc w:val="center"/>
        <w:rPr>
          <w:rFonts w:ascii="宋体" w:hAnsi="宋体" w:cs="宋体"/>
          <w:b/>
          <w:bCs/>
          <w:color w:val="000000" w:themeColor="text1"/>
          <w:sz w:val="40"/>
          <w:szCs w:val="44"/>
          <w14:textFill>
            <w14:solidFill>
              <w14:schemeClr w14:val="tx1"/>
            </w14:solidFill>
          </w14:textFill>
        </w:rPr>
      </w:pPr>
      <w:r>
        <w:rPr>
          <w:rFonts w:hint="eastAsia" w:ascii="宋体" w:hAnsi="宋体" w:cs="宋体"/>
          <w:color w:val="000000" w:themeColor="text1"/>
          <w:highlight w:val="white"/>
          <w14:textFill>
            <w14:solidFill>
              <w14:schemeClr w14:val="tx1"/>
            </w14:solidFill>
          </w14:textFill>
        </w:rPr>
        <w:br w:type="page"/>
      </w:r>
      <w:bookmarkStart w:id="4" w:name="_Toc534380783"/>
      <w:bookmarkStart w:id="5" w:name="_Toc456718475"/>
      <w:bookmarkStart w:id="6" w:name="_Toc32076"/>
      <w:bookmarkStart w:id="7" w:name="_Toc456718476"/>
      <w:r>
        <w:rPr>
          <w:rFonts w:hint="eastAsia" w:ascii="宋体" w:hAnsi="宋体" w:cs="宋体"/>
          <w:b/>
          <w:bCs/>
          <w:color w:val="000000" w:themeColor="text1"/>
          <w:sz w:val="40"/>
          <w:szCs w:val="44"/>
          <w:highlight w:val="white"/>
          <w14:textFill>
            <w14:solidFill>
              <w14:schemeClr w14:val="tx1"/>
            </w14:solidFill>
          </w14:textFill>
        </w:rPr>
        <w:t>第一章 竞争性磋商</w:t>
      </w:r>
      <w:bookmarkEnd w:id="4"/>
      <w:bookmarkEnd w:id="5"/>
      <w:r>
        <w:rPr>
          <w:rFonts w:hint="eastAsia" w:ascii="宋体" w:hAnsi="宋体" w:cs="宋体"/>
          <w:b/>
          <w:bCs/>
          <w:color w:val="000000" w:themeColor="text1"/>
          <w:sz w:val="40"/>
          <w:szCs w:val="44"/>
          <w:highlight w:val="white"/>
          <w14:textFill>
            <w14:solidFill>
              <w14:schemeClr w14:val="tx1"/>
            </w14:solidFill>
          </w14:textFill>
        </w:rPr>
        <w:t>公告</w:t>
      </w:r>
      <w:bookmarkEnd w:id="6"/>
    </w:p>
    <w:p w14:paraId="53719C57">
      <w:pPr>
        <w:wordWrap w:val="0"/>
        <w:rPr>
          <w:rFonts w:ascii="宋体" w:hAnsi="宋体" w:cs="宋体"/>
          <w:color w:val="000000" w:themeColor="text1"/>
          <w:highlight w:val="red"/>
          <w14:textFill>
            <w14:solidFill>
              <w14:schemeClr w14:val="tx1"/>
            </w14:solidFill>
          </w14:textFill>
        </w:rPr>
      </w:pPr>
      <w:bookmarkStart w:id="8" w:name="EBf4007ef6e39645fe8182334ca22855a9"/>
    </w:p>
    <w:p w14:paraId="3EEF696E">
      <w:pPr>
        <w:pStyle w:val="2"/>
        <w:keepNext w:val="0"/>
        <w:keepLines w:val="0"/>
        <w:widowControl/>
        <w:wordWrap w:val="0"/>
        <w:spacing w:before="0" w:after="0" w:line="500" w:lineRule="exact"/>
        <w:rPr>
          <w:rFonts w:ascii="宋体" w:hAnsi="宋体" w:cs="宋体"/>
          <w:b/>
          <w:bCs w:val="0"/>
          <w:color w:val="000000" w:themeColor="text1"/>
          <w:sz w:val="36"/>
          <w:szCs w:val="36"/>
          <w14:textFill>
            <w14:solidFill>
              <w14:schemeClr w14:val="tx1"/>
            </w14:solidFill>
          </w14:textFill>
        </w:rPr>
      </w:pPr>
      <w:r>
        <w:rPr>
          <w:rFonts w:hint="eastAsia" w:hAnsi="宋体" w:cs="宋体"/>
          <w:b/>
          <w:bCs w:val="0"/>
          <w:color w:val="000000" w:themeColor="text1"/>
          <w:sz w:val="36"/>
          <w:szCs w:val="36"/>
          <w:lang w:eastAsia="zh-CN"/>
          <w14:textFill>
            <w14:solidFill>
              <w14:schemeClr w14:val="tx1"/>
            </w14:solidFill>
          </w14:textFill>
        </w:rPr>
        <w:t>哈密市伊吾县县城供热管网建设项目(监理）采购项目</w:t>
      </w:r>
      <w:r>
        <w:rPr>
          <w:rFonts w:hint="eastAsia" w:ascii="宋体" w:hAnsi="宋体" w:cs="宋体"/>
          <w:b/>
          <w:bCs w:val="0"/>
          <w:color w:val="000000" w:themeColor="text1"/>
          <w:sz w:val="36"/>
          <w:szCs w:val="36"/>
          <w14:textFill>
            <w14:solidFill>
              <w14:schemeClr w14:val="tx1"/>
            </w14:solidFill>
          </w14:textFill>
        </w:rPr>
        <w:t>竞争性磋商公告</w:t>
      </w:r>
    </w:p>
    <w:p w14:paraId="0F4DB0EF">
      <w:pPr>
        <w:pStyle w:val="2"/>
        <w:rPr>
          <w:rFonts w:hint="eastAsia" w:cs="宋体"/>
          <w:color w:val="000000" w:themeColor="text1"/>
          <w:lang w:eastAsia="zh-CN"/>
          <w14:textFill>
            <w14:solidFill>
              <w14:schemeClr w14:val="tx1"/>
            </w14:solidFill>
          </w14:textFill>
        </w:rPr>
      </w:pPr>
    </w:p>
    <w:p w14:paraId="7A06E8DE">
      <w:pPr>
        <w:pBdr>
          <w:top w:val="single" w:color="auto" w:sz="4" w:space="1"/>
          <w:left w:val="single" w:color="auto" w:sz="4" w:space="4"/>
          <w:bottom w:val="single" w:color="auto" w:sz="4" w:space="1"/>
          <w:right w:val="single" w:color="auto" w:sz="4" w:space="4"/>
        </w:pBdr>
        <w:spacing w:line="312"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项目概况</w:t>
      </w:r>
    </w:p>
    <w:p w14:paraId="15150768">
      <w:pPr>
        <w:pBdr>
          <w:top w:val="single" w:color="auto" w:sz="4" w:space="1"/>
          <w:left w:val="single" w:color="auto" w:sz="4" w:space="4"/>
          <w:bottom w:val="single" w:color="auto" w:sz="4" w:space="1"/>
          <w:right w:val="single" w:color="auto" w:sz="4" w:space="4"/>
        </w:pBdr>
        <w:spacing w:line="312"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哈密市伊吾县县城供热管网建设项目(监理）采购项目</w:t>
      </w:r>
      <w:r>
        <w:rPr>
          <w:rFonts w:hint="eastAsia" w:ascii="仿宋" w:hAnsi="仿宋" w:eastAsia="仿宋"/>
          <w:color w:val="000000" w:themeColor="text1"/>
          <w:sz w:val="24"/>
          <w14:textFill>
            <w14:solidFill>
              <w14:schemeClr w14:val="tx1"/>
            </w14:solidFill>
          </w14:textFill>
        </w:rPr>
        <w:t>的潜在供应商应在新疆政府采购网（http://www.ccgp-xinjiang.gov.cn）政采云系统平台线上获取采购文件，并于202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06</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27</w:t>
      </w:r>
      <w:r>
        <w:rPr>
          <w:rFonts w:hint="eastAsia" w:ascii="仿宋" w:hAnsi="仿宋" w:eastAsia="仿宋"/>
          <w:color w:val="000000" w:themeColor="text1"/>
          <w:sz w:val="24"/>
          <w14:textFill>
            <w14:solidFill>
              <w14:schemeClr w14:val="tx1"/>
            </w14:solidFill>
          </w14:textFill>
        </w:rPr>
        <w:t>日1</w:t>
      </w:r>
      <w:r>
        <w:rPr>
          <w:rFonts w:hint="eastAsia" w:ascii="仿宋" w:hAnsi="仿宋" w:eastAsia="仿宋"/>
          <w:color w:val="000000" w:themeColor="text1"/>
          <w:sz w:val="24"/>
          <w:lang w:val="en-US" w:eastAsia="zh-CN"/>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点</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0分（北京时间）前递交</w:t>
      </w:r>
      <w:r>
        <w:rPr>
          <w:rFonts w:hint="eastAsia" w:ascii="仿宋" w:hAnsi="仿宋" w:eastAsia="仿宋"/>
          <w:color w:val="000000" w:themeColor="text1"/>
          <w:sz w:val="24"/>
          <w:lang w:eastAsia="zh-CN"/>
          <w14:textFill>
            <w14:solidFill>
              <w14:schemeClr w14:val="tx1"/>
            </w14:solidFill>
          </w14:textFill>
        </w:rPr>
        <w:t>投标</w:t>
      </w:r>
      <w:r>
        <w:rPr>
          <w:rFonts w:hint="eastAsia" w:ascii="仿宋" w:hAnsi="仿宋" w:eastAsia="仿宋"/>
          <w:color w:val="000000" w:themeColor="text1"/>
          <w:sz w:val="24"/>
          <w14:textFill>
            <w14:solidFill>
              <w14:schemeClr w14:val="tx1"/>
            </w14:solidFill>
          </w14:textFill>
        </w:rPr>
        <w:t>文件。</w:t>
      </w:r>
    </w:p>
    <w:p w14:paraId="370EE4F9">
      <w:pPr>
        <w:pStyle w:val="2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ascii="黑体" w:hAnsi="宋体" w:eastAsia="黑体" w:cs="黑体"/>
          <w:color w:val="000000" w:themeColor="text1"/>
          <w:sz w:val="27"/>
          <w:szCs w:val="27"/>
          <w14:textFill>
            <w14:solidFill>
              <w14:schemeClr w14:val="tx1"/>
            </w14:solidFill>
          </w14:textFill>
        </w:rPr>
      </w:pPr>
      <w:r>
        <w:rPr>
          <w:rStyle w:val="36"/>
          <w:rFonts w:ascii="黑体" w:hAnsi="宋体" w:eastAsia="黑体" w:cs="黑体"/>
          <w:color w:val="000000" w:themeColor="text1"/>
          <w:sz w:val="27"/>
          <w:szCs w:val="27"/>
          <w14:textFill>
            <w14:solidFill>
              <w14:schemeClr w14:val="tx1"/>
            </w14:solidFill>
          </w14:textFill>
        </w:rPr>
        <w:t>一、项目基本情况</w:t>
      </w:r>
    </w:p>
    <w:p w14:paraId="2529AF5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项目编号：XJDH【2025】-H028</w:t>
      </w:r>
    </w:p>
    <w:p w14:paraId="7653E73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项目名称：</w:t>
      </w:r>
      <w:r>
        <w:rPr>
          <w:rFonts w:hint="eastAsia" w:ascii="仿宋" w:hAnsi="仿宋" w:eastAsia="仿宋" w:cs="Times New Roman"/>
          <w:color w:val="000000" w:themeColor="text1"/>
          <w:sz w:val="24"/>
          <w:lang w:eastAsia="zh-CN"/>
          <w14:textFill>
            <w14:solidFill>
              <w14:schemeClr w14:val="tx1"/>
            </w14:solidFill>
          </w14:textFill>
        </w:rPr>
        <w:t>哈密市伊吾县县城供热管网建设项目(监理）采购项目</w:t>
      </w:r>
    </w:p>
    <w:p w14:paraId="51386C9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cs="宋体"/>
          <w:b/>
          <w:bCs w:val="0"/>
          <w:color w:val="000000" w:themeColor="text1"/>
          <w:sz w:val="36"/>
          <w:szCs w:val="36"/>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采购方式：竞争性磋商</w:t>
      </w:r>
    </w:p>
    <w:p w14:paraId="155F3ADD">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预算金额（元）：980000.00</w:t>
      </w:r>
    </w:p>
    <w:p w14:paraId="7A42A7FC">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最高限价（元）：980000.00</w:t>
      </w:r>
    </w:p>
    <w:p w14:paraId="40670547">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采购需求：</w:t>
      </w:r>
      <w:bookmarkStart w:id="9" w:name="OLE_LINK7"/>
      <w:r>
        <w:rPr>
          <w:rFonts w:hint="eastAsia" w:ascii="仿宋" w:hAnsi="仿宋" w:eastAsia="仿宋" w:cs="Times New Roman"/>
          <w:color w:val="000000" w:themeColor="text1"/>
          <w:sz w:val="24"/>
          <w:lang w:eastAsia="zh-CN"/>
          <w14:textFill>
            <w14:solidFill>
              <w14:schemeClr w14:val="tx1"/>
            </w14:solidFill>
          </w14:textFill>
        </w:rPr>
        <w:t>扩建现有锅炉房，新建70MW热水锅炉一座及环保等附属设施;新建热交换站5座;新建DN200-DN700热力一次网2x6735.1米，DN300热力二次网2x350 米.(完成本项目建设过程中的全部监理服务。）</w:t>
      </w:r>
    </w:p>
    <w:bookmarkEnd w:id="9"/>
    <w:p w14:paraId="129E94C0">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合同履约期限：同施工工期</w:t>
      </w:r>
    </w:p>
    <w:p w14:paraId="1B6C82F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本项目（否）接受联合体投标。</w:t>
      </w:r>
    </w:p>
    <w:p w14:paraId="243AB1A8">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二、申请人的资格要求：</w:t>
      </w:r>
    </w:p>
    <w:p w14:paraId="71AA218F">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7A34C0FC">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2.落实政府采购政策需满足的资格要求：专门面向中小微企业</w:t>
      </w:r>
    </w:p>
    <w:p w14:paraId="0764097F">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3.本项目的特定资格要求：</w:t>
      </w:r>
    </w:p>
    <w:p w14:paraId="36806CC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70" w:firstLineChars="100"/>
        <w:jc w:val="left"/>
        <w:textAlignment w:val="auto"/>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（1）企业资质要求：市政公用工程监理乙级（含）以上或工程监理综合资质；</w:t>
      </w:r>
    </w:p>
    <w:p w14:paraId="29A60BDF">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70" w:firstLineChars="100"/>
        <w:jc w:val="left"/>
        <w:textAlignment w:val="auto"/>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（2）项目负责人资质要求：总监理工程师为市政公用工程注册监理工程师；</w:t>
      </w:r>
    </w:p>
    <w:p w14:paraId="4AD0C6F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70" w:firstLineChars="100"/>
        <w:jc w:val="left"/>
        <w:textAlignment w:val="auto"/>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4、投标其他条件：</w:t>
      </w:r>
    </w:p>
    <w:p w14:paraId="3221F73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70" w:firstLineChars="1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（1）在投标单位注册；总监理工程师已在其他 2 个及以下尚未竣工验收的建设工程项目中担任总监理工程师，拟担任本招标项目的总监理工程师时，有原建设单位同意的书面资料。  </w:t>
      </w: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br w:type="textWrapping"/>
      </w:r>
      <w:bookmarkStart w:id="10" w:name="OLE_LINK8"/>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（2）根据《财政部关于在政府采购活动中查询及使用信用记录有关问题的通知》（财库﹝2016﹞125号）的要求，凡拟参加本次招标项目的投标人，如在“信用中国”网站（ www.creditchina.gov.cn） 被列入失信被执行人（或中国执行公开网）、重大税收违法失信主体、中国政府采购网（http://www.ccgp.gov.cn/search/cr/）严重违法失信行为记录名单的（尚在处罚期内的），将拒绝其参加本次招标活动(如投标单位提供信用截图在评标过程中有争议，以招标代理机构或评标委员会成员现场查询截图为准)；</w:t>
      </w:r>
    </w:p>
    <w:bookmarkEnd w:id="10"/>
    <w:p w14:paraId="50827737">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三、获取招标文件</w:t>
      </w:r>
    </w:p>
    <w:p w14:paraId="0C782D5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时间：</w:t>
      </w:r>
      <w:bookmarkStart w:id="11" w:name="OLE_LINK10"/>
      <w:bookmarkStart w:id="12" w:name="OLE_LINK11"/>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2025年06月16日</w:t>
      </w:r>
      <w:bookmarkEnd w:id="11"/>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至2025年06月23日</w:t>
      </w:r>
      <w:bookmarkEnd w:id="12"/>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bookmarkStart w:id="13" w:name="OLE_LINK12"/>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每天上午00:00至12:00，下午12:00至23:59（北京时间，法定节假日除外）</w:t>
      </w:r>
    </w:p>
    <w:bookmarkEnd w:id="13"/>
    <w:p w14:paraId="5927E7D7">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地点：政采云平台线上获取</w:t>
      </w:r>
    </w:p>
    <w:p w14:paraId="77DE6D7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46BA03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售价（元）：0</w:t>
      </w:r>
    </w:p>
    <w:p w14:paraId="44787939">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四、提交投标文件截止时间、开标时间和地点</w:t>
      </w:r>
    </w:p>
    <w:p w14:paraId="0AC2E20B">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提交投标文件截止时间：2025年06月27日 16:30（北京时间）</w:t>
      </w:r>
    </w:p>
    <w:p w14:paraId="07DF0416">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投标地点：请登录政采云投标客户端投标</w:t>
      </w:r>
    </w:p>
    <w:p w14:paraId="3DF49126">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开标时间：2025年06月27日 16:30（北京时间）</w:t>
      </w:r>
    </w:p>
    <w:p w14:paraId="4BB24054">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开标地点：</w:t>
      </w:r>
      <w:bookmarkStart w:id="14" w:name="OLE_LINK9"/>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新疆政府采购（http://www.ccgp-xinjiang.gov.cn）</w:t>
      </w:r>
      <w:bookmarkEnd w:id="14"/>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政采云线上平台</w:t>
      </w:r>
    </w:p>
    <w:p w14:paraId="2902D9E8">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五、公告期限</w:t>
      </w:r>
    </w:p>
    <w:p w14:paraId="376829F8">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自本公告发布之日起3个工作日。</w:t>
      </w:r>
    </w:p>
    <w:p w14:paraId="074E042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六、其他补充事宜</w:t>
      </w:r>
    </w:p>
    <w:p w14:paraId="38F21E57">
      <w:pPr>
        <w:pStyle w:val="28"/>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本项目采用政府采购云平台线上招标、投标，采用电子投标文件。</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1.各投标人应在开标前应确保成为新疆政府采购网正式注册入库投标人，并完成CA数字证书（符合国密标准）申领。因未注册入库、未办理CA数字证书等原因造成无法投标或投标失败等后果由投标人自行承担。</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2.有意向参与新疆区域电子开评标的投标人，可访问新疆数字证书认证中心官方网站（https://www.xjca.com.cn/）或下载“新疆政务通”APP自行进行申领。如需咨询，请联系新疆CA服务热线0991-2819290。</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4.投标人操作指南详见新疆政府采购网（http://www.ccgp-xinjiang.gov.cn/）—办事指南—操作指南。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请各潜在供应商及时办理CA锁和学习政府采购云平台线上投标相关知识。请在政府采购云平台登录后，进行下载招标文件。请各供应商获取招标文件后及时关注政采云平台答疑文件获取栏目。具体相关事宜见政府采购云平台。本项目采用资格后审，请供应商仔细阅读招标文件和各项要求，制作文件及相关资料过程中，若因供应商资格条件不符、提供资料不全等原因导致投标文件予以退还，责任自负。</w:t>
      </w:r>
    </w:p>
    <w:p w14:paraId="4CA11666">
      <w:pPr>
        <w:pStyle w:val="28"/>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color w:val="000000" w:themeColor="text1"/>
          <w14:textFill>
            <w14:solidFill>
              <w14:schemeClr w14:val="tx1"/>
            </w14:solidFill>
          </w14:textFill>
        </w:rPr>
        <w:t>特别提示：</w:t>
      </w:r>
      <w:r>
        <w:rPr>
          <w:color w:val="000000" w:themeColor="text1"/>
          <w14:textFill>
            <w14:solidFill>
              <w14:schemeClr w14:val="tx1"/>
            </w14:solidFill>
          </w14:textFill>
        </w:rPr>
        <w:br w:type="textWrapping"/>
      </w:r>
      <w:r>
        <w:rPr>
          <w:color w:val="000000" w:themeColor="text1"/>
          <w14:textFill>
            <w14:solidFill>
              <w14:schemeClr w14:val="tx1"/>
            </w14:solidFill>
          </w14:textFill>
        </w:rPr>
        <w:t>1、采购限额标准以上，200万元以下的货物和服务采购项目、400万元以下的工程采购项目，适宜由中小企业提供的，采购人应当专门面向中小企业采购。</w:t>
      </w:r>
      <w:r>
        <w:rPr>
          <w:color w:val="000000" w:themeColor="text1"/>
          <w14:textFill>
            <w14:solidFill>
              <w14:schemeClr w14:val="tx1"/>
            </w14:solidFill>
          </w14:textFill>
        </w:rPr>
        <w:br w:type="textWrapping"/>
      </w:r>
      <w:r>
        <w:rPr>
          <w:color w:val="000000" w:themeColor="text1"/>
          <w14:textFill>
            <w14:solidFill>
              <w14:schemeClr w14:val="tx1"/>
            </w14:solidFill>
          </w14:textFill>
        </w:rPr>
        <w:t>2、超过200万元的货物和服务采购项目、超过400万元的工程采购项目中适宜由中小企业提供的，预留该部分采购项目预算总额的30%以上专门面向中小企业采购，其中预留给小微企业的比例不低于60%。</w:t>
      </w:r>
      <w:r>
        <w:rPr>
          <w:color w:val="000000" w:themeColor="text1"/>
          <w14:textFill>
            <w14:solidFill>
              <w14:schemeClr w14:val="tx1"/>
            </w14:solidFill>
          </w14:textFill>
        </w:rPr>
        <w:br w:type="textWrapping"/>
      </w:r>
      <w:r>
        <w:rPr>
          <w:color w:val="000000" w:themeColor="text1"/>
          <w14:textFill>
            <w14:solidFill>
              <w14:schemeClr w14:val="tx1"/>
            </w14:solidFill>
          </w14:textFill>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color w:val="000000" w:themeColor="text1"/>
          <w14:textFill>
            <w14:solidFill>
              <w14:schemeClr w14:val="tx1"/>
            </w14:solidFill>
          </w14:textFill>
        </w:rPr>
        <w:br w:type="textWrapping"/>
      </w:r>
      <w:r>
        <w:rPr>
          <w:color w:val="000000" w:themeColor="text1"/>
          <w14:textFill>
            <w14:solidFill>
              <w14:schemeClr w14:val="tx1"/>
            </w14:solidFill>
          </w14:textFill>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D1B44E0">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七、对本次采购提出询问，请按以下方式联系</w:t>
      </w:r>
    </w:p>
    <w:p w14:paraId="79DA441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1.采购人信息</w:t>
      </w:r>
    </w:p>
    <w:p w14:paraId="043AA93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名 称：伊吾县住房和城乡建设局(人防办)</w:t>
      </w:r>
    </w:p>
    <w:p w14:paraId="7E3FDA68">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地 址：哈密市伊吾县</w:t>
      </w:r>
    </w:p>
    <w:p w14:paraId="10B6B482">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联系方式：0902-6721423</w:t>
      </w:r>
    </w:p>
    <w:p w14:paraId="617234E6">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2.采购代理机构信息</w:t>
      </w:r>
    </w:p>
    <w:p w14:paraId="13E072BB">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名 称：新疆德鸿项目管理咨询有限公司</w:t>
      </w:r>
    </w:p>
    <w:p w14:paraId="25DF415C">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地 址：新疆哈密市向阳东路东延源泉小区旁小二楼2-20</w:t>
      </w:r>
    </w:p>
    <w:p w14:paraId="0692C3FA">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项目联系人：李有红</w:t>
      </w:r>
    </w:p>
    <w:p w14:paraId="649CD8A5">
      <w:pPr>
        <w:pStyle w:val="28"/>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项目联系方式：18196915976 </w:t>
      </w:r>
    </w:p>
    <w:p w14:paraId="7D333149">
      <w:pPr>
        <w:pStyle w:val="28"/>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p>
    <w:p w14:paraId="45153EEF">
      <w:pPr>
        <w:rPr>
          <w:color w:val="000000" w:themeColor="text1"/>
          <w14:textFill>
            <w14:solidFill>
              <w14:schemeClr w14:val="tx1"/>
            </w14:solidFill>
          </w14:textFill>
        </w:rPr>
      </w:pPr>
    </w:p>
    <w:p w14:paraId="7CF35474">
      <w:pPr>
        <w:pStyle w:val="126"/>
        <w:wordWrap w:val="0"/>
        <w:spacing w:line="500" w:lineRule="atLeast"/>
        <w:ind w:firstLine="480" w:firstLineChars="200"/>
        <w:rPr>
          <w:rFonts w:ascii="宋体" w:hAnsi="宋体"/>
          <w:color w:val="000000" w:themeColor="text1"/>
          <w:kern w:val="0"/>
          <w:sz w:val="24"/>
          <w:szCs w:val="24"/>
          <w14:textFill>
            <w14:solidFill>
              <w14:schemeClr w14:val="tx1"/>
            </w14:solidFill>
          </w14:textFill>
        </w:rPr>
      </w:pPr>
    </w:p>
    <w:bookmarkEnd w:id="8"/>
    <w:p w14:paraId="32FB4A8D">
      <w:pPr>
        <w:widowControl/>
        <w:wordWrap w:val="0"/>
        <w:spacing w:line="500" w:lineRule="atLeast"/>
        <w:jc w:val="left"/>
        <w:rPr>
          <w:rFonts w:ascii="宋体" w:hAnsi="宋体" w:cs="宋体"/>
          <w:color w:val="000000" w:themeColor="text1"/>
          <w:sz w:val="24"/>
          <w:szCs w:val="24"/>
          <w14:textFill>
            <w14:solidFill>
              <w14:schemeClr w14:val="tx1"/>
            </w14:solidFill>
          </w14:textFill>
        </w:rPr>
        <w:sectPr>
          <w:footerReference r:id="rId6" w:type="default"/>
          <w:pgSz w:w="11906" w:h="16838"/>
          <w:pgMar w:top="1440" w:right="1797" w:bottom="1440" w:left="1797" w:header="851" w:footer="992" w:gutter="0"/>
          <w:pgNumType w:fmt="decimal" w:start="1"/>
          <w:cols w:space="720" w:num="1"/>
          <w:docGrid w:linePitch="312" w:charSpace="0"/>
        </w:sectPr>
      </w:pPr>
    </w:p>
    <w:p w14:paraId="6B30CDE2">
      <w:pPr>
        <w:pStyle w:val="2"/>
        <w:wordWrap w:val="0"/>
        <w:spacing w:before="0" w:after="0" w:line="240" w:lineRule="auto"/>
        <w:rPr>
          <w:rFonts w:ascii="宋体" w:hAnsi="宋体" w:cs="宋体"/>
          <w:b/>
          <w:bCs w:val="0"/>
          <w:color w:val="000000" w:themeColor="text1"/>
          <w14:textFill>
            <w14:solidFill>
              <w14:schemeClr w14:val="tx1"/>
            </w14:solidFill>
          </w14:textFill>
        </w:rPr>
      </w:pPr>
      <w:bookmarkStart w:id="15" w:name="_Toc534380784"/>
      <w:bookmarkStart w:id="16" w:name="_Toc8684"/>
      <w:r>
        <w:rPr>
          <w:rFonts w:hint="eastAsia" w:ascii="宋体" w:hAnsi="宋体" w:cs="宋体"/>
          <w:b/>
          <w:bCs w:val="0"/>
          <w:color w:val="000000" w:themeColor="text1"/>
          <w:highlight w:val="white"/>
          <w14:textFill>
            <w14:solidFill>
              <w14:schemeClr w14:val="tx1"/>
            </w14:solidFill>
          </w14:textFill>
        </w:rPr>
        <w:t>第二章 供应商须知</w:t>
      </w:r>
      <w:bookmarkEnd w:id="15"/>
      <w:bookmarkEnd w:id="16"/>
    </w:p>
    <w:p w14:paraId="6D01A14C">
      <w:pPr>
        <w:pStyle w:val="111"/>
        <w:wordWrap w:val="0"/>
        <w:jc w:val="center"/>
        <w:rPr>
          <w:rFonts w:cs="宋体"/>
          <w:color w:val="000000" w:themeColor="text1"/>
          <w14:textFill>
            <w14:solidFill>
              <w14:schemeClr w14:val="tx1"/>
            </w14:solidFill>
          </w14:textFill>
        </w:rPr>
      </w:pPr>
      <w:bookmarkStart w:id="17" w:name="_Toc22485"/>
      <w:bookmarkStart w:id="18" w:name="_Toc256000002"/>
      <w:bookmarkStart w:id="19" w:name="EB1bff30dc55724a74961ea26ab36279f9"/>
      <w:bookmarkStart w:id="20" w:name="_Toc21720"/>
      <w:r>
        <w:rPr>
          <w:rFonts w:hint="eastAsia" w:cs="宋体"/>
          <w:color w:val="000000" w:themeColor="text1"/>
          <w14:textFill>
            <w14:solidFill>
              <w14:schemeClr w14:val="tx1"/>
            </w14:solidFill>
          </w14:textFill>
        </w:rPr>
        <w:t>供应商须知前附表</w:t>
      </w:r>
      <w:bookmarkEnd w:id="17"/>
      <w:bookmarkEnd w:id="18"/>
    </w:p>
    <w:tbl>
      <w:tblPr>
        <w:tblStyle w:val="33"/>
        <w:tblW w:w="8291"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1691"/>
        <w:gridCol w:w="5469"/>
      </w:tblGrid>
      <w:tr w14:paraId="53C19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1131" w:type="dxa"/>
            <w:vAlign w:val="center"/>
          </w:tcPr>
          <w:p w14:paraId="3F5A9D73">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序列号</w:t>
            </w:r>
          </w:p>
        </w:tc>
        <w:tc>
          <w:tcPr>
            <w:tcW w:w="1691" w:type="dxa"/>
            <w:vAlign w:val="center"/>
          </w:tcPr>
          <w:p w14:paraId="634F8A0C">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条款名称</w:t>
            </w:r>
          </w:p>
        </w:tc>
        <w:tc>
          <w:tcPr>
            <w:tcW w:w="5469" w:type="dxa"/>
            <w:vAlign w:val="center"/>
          </w:tcPr>
          <w:p w14:paraId="617FF52C">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编列内容规定</w:t>
            </w:r>
          </w:p>
        </w:tc>
      </w:tr>
      <w:tr w14:paraId="3AE54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54B2DA6">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w:t>
            </w:r>
          </w:p>
        </w:tc>
        <w:tc>
          <w:tcPr>
            <w:tcW w:w="1691" w:type="dxa"/>
            <w:vAlign w:val="center"/>
          </w:tcPr>
          <w:p w14:paraId="7E1F4CE7">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highlight w:val="gree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项目名称</w:t>
            </w:r>
          </w:p>
        </w:tc>
        <w:tc>
          <w:tcPr>
            <w:tcW w:w="5469" w:type="dxa"/>
            <w:vAlign w:val="center"/>
          </w:tcPr>
          <w:p w14:paraId="595C19E0">
            <w:pPr>
              <w:pStyle w:val="106"/>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eastAsia="宋体" w:cs="宋体"/>
                <w:color w:val="000000" w:themeColor="text1"/>
                <w:sz w:val="24"/>
                <w:szCs w:val="24"/>
                <w:highlight w:val="green"/>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哈密市伊吾县县城供热管网建设项目(监理）采购项目</w:t>
            </w:r>
          </w:p>
        </w:tc>
      </w:tr>
      <w:tr w14:paraId="79C2F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92758C3">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w:t>
            </w:r>
          </w:p>
        </w:tc>
        <w:tc>
          <w:tcPr>
            <w:tcW w:w="1691" w:type="dxa"/>
            <w:vAlign w:val="center"/>
          </w:tcPr>
          <w:p w14:paraId="7659F2E4">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采购人</w:t>
            </w:r>
          </w:p>
        </w:tc>
        <w:tc>
          <w:tcPr>
            <w:tcW w:w="5469" w:type="dxa"/>
            <w:vAlign w:val="center"/>
          </w:tcPr>
          <w:p w14:paraId="76DA7296">
            <w:pPr>
              <w:pStyle w:val="106"/>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eastAsia="宋体" w:cs="宋体"/>
                <w:color w:val="000000" w:themeColor="text1"/>
                <w:sz w:val="24"/>
                <w:szCs w:val="24"/>
                <w:highlight w:val="white"/>
                <w:lang w:eastAsia="zh-CN"/>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名  称</w:t>
            </w:r>
            <w:r>
              <w:rPr>
                <w:rFonts w:hint="eastAsia" w:ascii="宋体" w:hAnsi="宋体" w:cs="宋体"/>
                <w:color w:val="000000" w:themeColor="text1"/>
                <w:sz w:val="24"/>
                <w:szCs w:val="24"/>
                <w:lang w:val="en-US" w:eastAsia="zh-CN"/>
                <w14:textFill>
                  <w14:solidFill>
                    <w14:schemeClr w14:val="tx1"/>
                  </w14:solidFill>
                </w14:textFill>
              </w:rPr>
              <w:t>：伊吾县住房和城乡建设局(人防办)</w:t>
            </w:r>
          </w:p>
          <w:p w14:paraId="41D0E07A">
            <w:pPr>
              <w:pStyle w:val="106"/>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哈密市伊吾县</w:t>
            </w:r>
          </w:p>
          <w:p w14:paraId="63AFC1C8">
            <w:pPr>
              <w:pStyle w:val="106"/>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联系人：闫东</w:t>
            </w:r>
          </w:p>
          <w:p w14:paraId="2BB2BC88">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cs="宋体"/>
                <w:color w:val="000000" w:themeColor="text1"/>
                <w:sz w:val="24"/>
                <w:szCs w:val="24"/>
                <w:lang w:val="en-US" w:eastAsia="zh-CN"/>
                <w14:textFill>
                  <w14:solidFill>
                    <w14:schemeClr w14:val="tx1"/>
                  </w14:solidFill>
                </w14:textFill>
              </w:rPr>
              <w:t>0902-6721423</w:t>
            </w:r>
          </w:p>
        </w:tc>
      </w:tr>
      <w:tr w14:paraId="02644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5" w:hRule="atLeast"/>
        </w:trPr>
        <w:tc>
          <w:tcPr>
            <w:tcW w:w="1131" w:type="dxa"/>
            <w:vAlign w:val="center"/>
          </w:tcPr>
          <w:p w14:paraId="5782A3C3">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p>
        </w:tc>
        <w:tc>
          <w:tcPr>
            <w:tcW w:w="1691" w:type="dxa"/>
            <w:vAlign w:val="center"/>
          </w:tcPr>
          <w:p w14:paraId="04E4E32C">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采购代理机构</w:t>
            </w:r>
          </w:p>
        </w:tc>
        <w:tc>
          <w:tcPr>
            <w:tcW w:w="5469" w:type="dxa"/>
            <w:vAlign w:val="center"/>
          </w:tcPr>
          <w:p w14:paraId="12E12F5C">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名  称：</w:t>
            </w:r>
            <w:r>
              <w:rPr>
                <w:rFonts w:hint="eastAsia" w:ascii="宋体" w:hAnsi="宋体" w:cs="宋体"/>
                <w:color w:val="000000" w:themeColor="text1"/>
                <w:sz w:val="24"/>
                <w:szCs w:val="24"/>
                <w14:textFill>
                  <w14:solidFill>
                    <w14:schemeClr w14:val="tx1"/>
                  </w14:solidFill>
                </w14:textFill>
              </w:rPr>
              <w:t>新疆德鸿项目管理咨询有限公司</w:t>
            </w:r>
          </w:p>
          <w:p w14:paraId="074EE2B8">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地  址：</w:t>
            </w:r>
            <w:r>
              <w:rPr>
                <w:rFonts w:hint="eastAsia" w:ascii="宋体" w:hAnsi="宋体" w:cs="宋体"/>
                <w:color w:val="000000" w:themeColor="text1"/>
                <w:sz w:val="24"/>
                <w:szCs w:val="24"/>
                <w14:textFill>
                  <w14:solidFill>
                    <w14:schemeClr w14:val="tx1"/>
                  </w14:solidFill>
                </w14:textFill>
              </w:rPr>
              <w:t>新疆哈密市向阳东路东延源泉小区旁小二楼2-20</w:t>
            </w:r>
          </w:p>
          <w:p w14:paraId="02D8D951">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电  话：</w:t>
            </w:r>
            <w:r>
              <w:rPr>
                <w:rFonts w:hint="eastAsia" w:ascii="宋体" w:hAnsi="宋体" w:cs="宋体"/>
                <w:color w:val="000000" w:themeColor="text1"/>
                <w:sz w:val="24"/>
                <w:szCs w:val="24"/>
                <w14:textFill>
                  <w14:solidFill>
                    <w14:schemeClr w14:val="tx1"/>
                  </w14:solidFill>
                </w14:textFill>
              </w:rPr>
              <w:t xml:space="preserve">0902-6996999     </w:t>
            </w:r>
          </w:p>
          <w:p w14:paraId="25354743">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李有红</w:t>
            </w:r>
            <w:r>
              <w:rPr>
                <w:rFonts w:hint="eastAsia" w:ascii="宋体" w:hAnsi="宋体" w:cs="宋体"/>
                <w:color w:val="000000" w:themeColor="text1"/>
                <w:sz w:val="24"/>
                <w:szCs w:val="24"/>
                <w:highlight w:val="white"/>
                <w14:textFill>
                  <w14:solidFill>
                    <w14:schemeClr w14:val="tx1"/>
                  </w14:solidFill>
                </w14:textFill>
              </w:rPr>
              <w:t xml:space="preserve"> </w:t>
            </w:r>
          </w:p>
        </w:tc>
      </w:tr>
      <w:tr w14:paraId="63BD8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6732CD0">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w:t>
            </w:r>
          </w:p>
        </w:tc>
        <w:tc>
          <w:tcPr>
            <w:tcW w:w="1691" w:type="dxa"/>
            <w:vAlign w:val="center"/>
          </w:tcPr>
          <w:p w14:paraId="32F9E947">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项目预算</w:t>
            </w:r>
          </w:p>
        </w:tc>
        <w:tc>
          <w:tcPr>
            <w:tcW w:w="5469" w:type="dxa"/>
            <w:vAlign w:val="center"/>
          </w:tcPr>
          <w:p w14:paraId="10B6C8FF">
            <w:pPr>
              <w:pStyle w:val="106"/>
              <w:keepNext w:val="0"/>
              <w:keepLines w:val="0"/>
              <w:suppressLineNumbers w:val="0"/>
              <w:wordWrap w:val="0"/>
              <w:autoSpaceDE w:val="0"/>
              <w:autoSpaceDN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lang w:val="zh-CN"/>
                <w14:textFill>
                  <w14:solidFill>
                    <w14:schemeClr w14:val="tx1"/>
                  </w14:solidFill>
                </w14:textFill>
              </w:rPr>
            </w:pPr>
            <w:r>
              <w:rPr>
                <w:rFonts w:hint="eastAsia" w:ascii="宋体" w:hAnsi="宋体" w:cs="宋体"/>
                <w:color w:val="000000" w:themeColor="text1"/>
                <w:sz w:val="24"/>
                <w:szCs w:val="24"/>
                <w:highlight w:val="white"/>
                <w:lang w:val="zh-CN"/>
                <w14:textFill>
                  <w14:solidFill>
                    <w14:schemeClr w14:val="tx1"/>
                  </w14:solidFill>
                </w14:textFill>
              </w:rPr>
              <w:t>金额（小写）：</w:t>
            </w:r>
            <w:r>
              <w:rPr>
                <w:rFonts w:hint="eastAsia" w:ascii="宋体" w:hAnsi="宋体" w:cs="宋体"/>
                <w:color w:val="000000" w:themeColor="text1"/>
                <w:sz w:val="24"/>
                <w:szCs w:val="24"/>
                <w:highlight w:val="white"/>
                <w:lang w:val="en-US" w:eastAsia="zh-CN"/>
                <w14:textFill>
                  <w14:solidFill>
                    <w14:schemeClr w14:val="tx1"/>
                  </w14:solidFill>
                </w14:textFill>
              </w:rPr>
              <w:t>980000.00</w:t>
            </w:r>
            <w:r>
              <w:rPr>
                <w:rFonts w:hint="eastAsia" w:ascii="宋体" w:hAnsi="宋体" w:cs="宋体"/>
                <w:color w:val="000000" w:themeColor="text1"/>
                <w:sz w:val="24"/>
                <w:szCs w:val="24"/>
                <w:highlight w:val="white"/>
                <w14:textFill>
                  <w14:solidFill>
                    <w14:schemeClr w14:val="tx1"/>
                  </w14:solidFill>
                </w14:textFill>
              </w:rPr>
              <w:t xml:space="preserve">元 </w:t>
            </w:r>
          </w:p>
          <w:p w14:paraId="1890573C">
            <w:pPr>
              <w:pStyle w:val="106"/>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eastAsia="宋体" w:cs="宋体"/>
                <w:color w:val="000000" w:themeColor="text1"/>
                <w:sz w:val="24"/>
                <w:szCs w:val="24"/>
                <w:highlight w:val="white"/>
                <w:lang w:val="en-US" w:eastAsia="zh-CN"/>
                <w14:textFill>
                  <w14:solidFill>
                    <w14:schemeClr w14:val="tx1"/>
                  </w14:solidFill>
                </w14:textFill>
              </w:rPr>
            </w:pPr>
            <w:r>
              <w:rPr>
                <w:rFonts w:hint="eastAsia" w:ascii="宋体" w:hAnsi="宋体" w:cs="宋体"/>
                <w:color w:val="000000" w:themeColor="text1"/>
                <w:sz w:val="24"/>
                <w:szCs w:val="24"/>
                <w:highlight w:val="white"/>
                <w:lang w:val="zh-CN"/>
                <w14:textFill>
                  <w14:solidFill>
                    <w14:schemeClr w14:val="tx1"/>
                  </w14:solidFill>
                </w14:textFill>
              </w:rPr>
              <w:t>金额（大写）：</w:t>
            </w:r>
            <w:r>
              <w:rPr>
                <w:rFonts w:hint="eastAsia" w:ascii="宋体" w:hAnsi="宋体" w:cs="宋体"/>
                <w:color w:val="000000" w:themeColor="text1"/>
                <w:sz w:val="24"/>
                <w:szCs w:val="24"/>
                <w:highlight w:val="white"/>
                <w:lang w:val="zh-CN" w:eastAsia="zh-CN"/>
                <w14:textFill>
                  <w14:solidFill>
                    <w14:schemeClr w14:val="tx1"/>
                  </w14:solidFill>
                </w14:textFill>
              </w:rPr>
              <w:t>玖拾捌万元整</w:t>
            </w:r>
          </w:p>
          <w:p w14:paraId="6A8B89EA">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投标人投标报价超过项目预算的按无效投标处理。</w:t>
            </w:r>
          </w:p>
        </w:tc>
      </w:tr>
      <w:tr w14:paraId="376E6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B9CA13B">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w:t>
            </w:r>
          </w:p>
        </w:tc>
        <w:tc>
          <w:tcPr>
            <w:tcW w:w="1691" w:type="dxa"/>
            <w:vAlign w:val="center"/>
          </w:tcPr>
          <w:p w14:paraId="72626D60">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供应商资格条件</w:t>
            </w:r>
          </w:p>
        </w:tc>
        <w:tc>
          <w:tcPr>
            <w:tcW w:w="5469" w:type="dxa"/>
            <w:vAlign w:val="center"/>
          </w:tcPr>
          <w:p w14:paraId="63AF7C4A">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1、满足《中华人民共和国政府采购法》第二十二条要求：</w:t>
            </w:r>
          </w:p>
          <w:p w14:paraId="402DA136">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（1）具有独立承担民事责任的能力，提供有效的三证合一的营业执照；</w:t>
            </w:r>
          </w:p>
          <w:p w14:paraId="4AB545CA">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（2）具有良好的商业信誉和健全的财务会计制度，提供202</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年的财务审计报告或财务报表（如供应商新成立的，则提供成立至今的财务报表）。</w:t>
            </w:r>
          </w:p>
          <w:p w14:paraId="62EDBF8C">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（3）投标人具有履行合同所必需的设备和专业技术能力（详见格式）</w:t>
            </w:r>
          </w:p>
          <w:p w14:paraId="1AC702D3">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（4）具有依法缴纳税收和社会保障资金的良好记录，提供近半年任意1个月依法缴纳税收和缴纳社会保障资金的证明；</w:t>
            </w:r>
          </w:p>
          <w:p w14:paraId="0A3F8DE8">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（5）参加政府采购活动前三年内，在经营活动中没有重大违法记录（详见格式）；</w:t>
            </w:r>
          </w:p>
          <w:p w14:paraId="509E07FE">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bookmarkStart w:id="21" w:name="OLE_LINK6"/>
            <w:r>
              <w:rPr>
                <w:rFonts w:hint="eastAsia" w:ascii="宋体" w:hAnsi="宋体" w:eastAsia="宋体" w:cs="宋体"/>
                <w:color w:val="000000" w:themeColor="text1"/>
                <w:kern w:val="2"/>
                <w:sz w:val="24"/>
                <w:szCs w:val="24"/>
                <w:lang w:val="en-US" w:eastAsia="zh-CN" w:bidi="ar-SA"/>
                <w14:textFill>
                  <w14:solidFill>
                    <w14:schemeClr w14:val="tx1"/>
                  </w14:solidFill>
                </w14:textFill>
              </w:rPr>
              <w:t>法律、行政法规规定的其他条件；</w:t>
            </w:r>
            <w:bookmarkEnd w:id="21"/>
          </w:p>
          <w:p w14:paraId="6378C7FB">
            <w:pPr>
              <w:keepNext w:val="0"/>
              <w:keepLines w:val="0"/>
              <w:suppressLineNumbers w:val="0"/>
              <w:spacing w:before="0" w:beforeAutospacing="0" w:after="0" w:afterAutospacing="0" w:line="276" w:lineRule="auto"/>
              <w:ind w:left="0" w:right="0"/>
              <w:jc w:val="left"/>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3.本项目的特定资格要求：</w:t>
            </w:r>
          </w:p>
          <w:p w14:paraId="2E4EA9F0">
            <w:pPr>
              <w:keepNext w:val="0"/>
              <w:keepLines w:val="0"/>
              <w:suppressLineNumbers w:val="0"/>
              <w:spacing w:before="0" w:beforeAutospacing="0" w:after="0" w:afterAutospacing="0" w:line="276" w:lineRule="auto"/>
              <w:ind w:left="0" w:right="0"/>
              <w:jc w:val="left"/>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（1）企业资质要求：市政公用工程监理乙级（含）以上或工程监理综合资质；</w:t>
            </w:r>
          </w:p>
          <w:p w14:paraId="49663D98">
            <w:pPr>
              <w:keepNext w:val="0"/>
              <w:keepLines w:val="0"/>
              <w:suppressLineNumbers w:val="0"/>
              <w:spacing w:before="0" w:beforeAutospacing="0" w:after="0" w:afterAutospacing="0" w:line="276" w:lineRule="auto"/>
              <w:ind w:left="0" w:right="0"/>
              <w:jc w:val="left"/>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（2）项目负责人资质要求：总监理工程师为市政公用工程注册监理工程师；</w:t>
            </w:r>
          </w:p>
          <w:p w14:paraId="13166589">
            <w:pPr>
              <w:keepNext w:val="0"/>
              <w:keepLines w:val="0"/>
              <w:suppressLineNumbers w:val="0"/>
              <w:spacing w:before="0" w:beforeAutospacing="0" w:after="0" w:afterAutospacing="0" w:line="276" w:lineRule="auto"/>
              <w:ind w:left="0" w:right="0"/>
              <w:jc w:val="left"/>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4、投标其他条件：</w:t>
            </w:r>
          </w:p>
          <w:p w14:paraId="5B2DADB4">
            <w:pPr>
              <w:keepNext w:val="0"/>
              <w:keepLines w:val="0"/>
              <w:suppressLineNumbers w:val="0"/>
              <w:spacing w:before="0" w:beforeAutospacing="0" w:after="0" w:afterAutospacing="0" w:line="276" w:lineRule="auto"/>
              <w:ind w:left="0" w:right="0"/>
              <w:jc w:val="left"/>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（1）在投标单位注册；总监理工程师已在其他 2 个及以下尚未竣工验收的建设工程项目中担任总监理工程师，拟担任本招标项目的总监理工程师时，有原建设单位同意的书面资料。  </w:t>
            </w:r>
            <w:r>
              <w:rPr>
                <w:rFonts w:hint="eastAsia" w:ascii="宋体" w:hAnsi="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cs="宋体"/>
                <w:color w:val="000000" w:themeColor="text1"/>
                <w:kern w:val="2"/>
                <w:sz w:val="24"/>
                <w:szCs w:val="24"/>
                <w:lang w:val="en-US" w:eastAsia="zh-CN" w:bidi="ar-SA"/>
                <w14:textFill>
                  <w14:solidFill>
                    <w14:schemeClr w14:val="tx1"/>
                  </w14:solidFill>
                </w14:textFill>
              </w:rPr>
              <w:t xml:space="preserve">  （2）根据《财政部关于在政府采购活动中查询及使用信用记录有关问题的通知》（财库﹝2016﹞125号）的要求，凡拟参加本次招标项目的投标人，如在“信用中国”网站（ www.creditchina.gov.cn） 被列入失信被执行人（或中国执行公开网）、重大税收违法失信主体、中国政府采购网（http://www.ccgp.gov.cn/search/cr/）严重违法失信行为记录名单的（尚在处罚期内的），将拒绝其参加本次招标活动(如投标单位提供信用截图在评标过程中有争议，以招标代理机构或评标委员会成员现场查询截图为准)；</w:t>
            </w:r>
          </w:p>
          <w:p w14:paraId="26DFE133">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、本项目不接受联合体投标。</w:t>
            </w:r>
          </w:p>
          <w:p w14:paraId="59CFE08F">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、本项目专门面向中小微企业。</w:t>
            </w:r>
          </w:p>
        </w:tc>
      </w:tr>
      <w:tr w14:paraId="2D94F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1049D40">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w:t>
            </w:r>
          </w:p>
        </w:tc>
        <w:tc>
          <w:tcPr>
            <w:tcW w:w="1691" w:type="dxa"/>
            <w:vAlign w:val="center"/>
          </w:tcPr>
          <w:p w14:paraId="61321F9E">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联合体投标</w:t>
            </w:r>
          </w:p>
        </w:tc>
        <w:tc>
          <w:tcPr>
            <w:tcW w:w="5469" w:type="dxa"/>
            <w:vAlign w:val="center"/>
          </w:tcPr>
          <w:p w14:paraId="7F6E66AE">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gree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highlight w:val="white"/>
                <w14:textFill>
                  <w14:solidFill>
                    <w14:schemeClr w14:val="tx1"/>
                  </w14:solidFill>
                </w14:textFill>
              </w:rPr>
              <w:t xml:space="preserve">不接受 </w:t>
            </w:r>
          </w:p>
          <w:p w14:paraId="74DC7C9E">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 接受</w:t>
            </w:r>
          </w:p>
        </w:tc>
      </w:tr>
      <w:tr w14:paraId="05DD8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BD25023">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7</w:t>
            </w:r>
          </w:p>
        </w:tc>
        <w:tc>
          <w:tcPr>
            <w:tcW w:w="1691" w:type="dxa"/>
            <w:vAlign w:val="center"/>
          </w:tcPr>
          <w:p w14:paraId="037B4552">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备选方案</w:t>
            </w:r>
          </w:p>
        </w:tc>
        <w:tc>
          <w:tcPr>
            <w:tcW w:w="5469" w:type="dxa"/>
            <w:vAlign w:val="center"/>
          </w:tcPr>
          <w:p w14:paraId="47CFF3E9">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不接受            </w:t>
            </w:r>
          </w:p>
          <w:p w14:paraId="10EF0D7B">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接受</w:t>
            </w:r>
          </w:p>
        </w:tc>
      </w:tr>
      <w:tr w14:paraId="400A4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53ACB4C">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w:t>
            </w:r>
          </w:p>
        </w:tc>
        <w:tc>
          <w:tcPr>
            <w:tcW w:w="1691" w:type="dxa"/>
            <w:vAlign w:val="center"/>
          </w:tcPr>
          <w:p w14:paraId="084648EE">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信息公告媒体</w:t>
            </w:r>
          </w:p>
        </w:tc>
        <w:tc>
          <w:tcPr>
            <w:tcW w:w="5469" w:type="dxa"/>
            <w:vAlign w:val="center"/>
          </w:tcPr>
          <w:p w14:paraId="7A6C49F7">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新疆政府采购网</w:t>
            </w:r>
          </w:p>
        </w:tc>
      </w:tr>
      <w:tr w14:paraId="77770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19C36B3">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9</w:t>
            </w:r>
          </w:p>
        </w:tc>
        <w:tc>
          <w:tcPr>
            <w:tcW w:w="1691" w:type="dxa"/>
            <w:vAlign w:val="center"/>
          </w:tcPr>
          <w:p w14:paraId="4CCE6CFA">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响应文件递交截止时间</w:t>
            </w:r>
          </w:p>
        </w:tc>
        <w:tc>
          <w:tcPr>
            <w:tcW w:w="5469" w:type="dxa"/>
            <w:vAlign w:val="center"/>
          </w:tcPr>
          <w:p w14:paraId="00CD162F">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27</w:t>
            </w:r>
            <w:r>
              <w:rPr>
                <w:rFonts w:hint="eastAsia" w:ascii="宋体" w:hAnsi="宋体" w:cs="宋体"/>
                <w:color w:val="000000" w:themeColor="text1"/>
                <w:sz w:val="24"/>
                <w:szCs w:val="24"/>
                <w14:textFill>
                  <w14:solidFill>
                    <w14:schemeClr w14:val="tx1"/>
                  </w14:solidFill>
                </w14:textFill>
              </w:rPr>
              <w:t>日1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w:t>
            </w:r>
          </w:p>
        </w:tc>
      </w:tr>
      <w:tr w14:paraId="769A9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4B356667">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10</w:t>
            </w:r>
          </w:p>
        </w:tc>
        <w:tc>
          <w:tcPr>
            <w:tcW w:w="1691" w:type="dxa"/>
            <w:vAlign w:val="center"/>
          </w:tcPr>
          <w:p w14:paraId="61B906B5">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磋商时间、地点</w:t>
            </w:r>
          </w:p>
        </w:tc>
        <w:tc>
          <w:tcPr>
            <w:tcW w:w="5469" w:type="dxa"/>
            <w:vAlign w:val="center"/>
          </w:tcPr>
          <w:p w14:paraId="1F088797">
            <w:pPr>
              <w:pStyle w:val="106"/>
              <w:keepNext w:val="0"/>
              <w:keepLines w:val="0"/>
              <w:widowControl/>
              <w:suppressLineNumbers w:val="0"/>
              <w:wordWrap w:val="0"/>
              <w:adjustRightInd w:val="0"/>
              <w:snapToGrid w:val="0"/>
              <w:spacing w:before="0" w:beforeAutospacing="0" w:after="0" w:afterAutospacing="0" w:line="500" w:lineRule="atLeast"/>
              <w:ind w:left="0" w:right="0"/>
              <w:rPr>
                <w:rFonts w:hint="default"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采用</w:t>
            </w:r>
            <w:r>
              <w:rPr>
                <w:rFonts w:hint="eastAsia" w:ascii="宋体" w:hAnsi="宋体" w:cs="宋体"/>
                <w:color w:val="000000" w:themeColor="text1"/>
                <w:kern w:val="0"/>
                <w:sz w:val="24"/>
                <w:szCs w:val="24"/>
                <w14:textFill>
                  <w14:solidFill>
                    <w14:schemeClr w14:val="tx1"/>
                  </w14:solidFill>
                </w14:textFill>
              </w:rPr>
              <w:t>不见面开标：</w:t>
            </w:r>
          </w:p>
          <w:p w14:paraId="194D2015">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开标时间：</w:t>
            </w:r>
            <w:r>
              <w:rPr>
                <w:rFonts w:hint="eastAsia" w:ascii="宋体" w:hAnsi="宋体" w:cs="宋体"/>
                <w:color w:val="000000" w:themeColor="text1"/>
                <w:sz w:val="24"/>
                <w:szCs w:val="24"/>
                <w:lang w:eastAsia="zh-CN"/>
                <w14:textFill>
                  <w14:solidFill>
                    <w14:schemeClr w14:val="tx1"/>
                  </w14:solidFill>
                </w14:textFill>
              </w:rPr>
              <w:t>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27</w:t>
            </w:r>
            <w:r>
              <w:rPr>
                <w:rFonts w:hint="eastAsia" w:ascii="宋体" w:hAnsi="宋体" w:cs="宋体"/>
                <w:color w:val="000000" w:themeColor="text1"/>
                <w:sz w:val="24"/>
                <w:szCs w:val="24"/>
                <w14:textFill>
                  <w14:solidFill>
                    <w14:schemeClr w14:val="tx1"/>
                  </w14:solidFill>
                </w14:textFill>
              </w:rPr>
              <w:t>日1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0（北京时间）</w:t>
            </w:r>
          </w:p>
          <w:p w14:paraId="17C19A14">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开标地点：远程不见面开标大厅</w:t>
            </w:r>
          </w:p>
          <w:p w14:paraId="4F51613D">
            <w:pPr>
              <w:pStyle w:val="106"/>
              <w:keepNext w:val="0"/>
              <w:keepLines w:val="0"/>
              <w:suppressLineNumbers w:val="0"/>
              <w:wordWrap w:val="0"/>
              <w:adjustRightInd w:val="0"/>
              <w:snapToGrid w:val="0"/>
              <w:spacing w:before="0" w:beforeAutospacing="0" w:after="0" w:afterAutospacing="0" w:line="500" w:lineRule="atLeast"/>
              <w:ind w:left="0" w:right="0"/>
              <w:jc w:val="left"/>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不见面开标默认解密时长：30分钟</w:t>
            </w:r>
          </w:p>
          <w:p w14:paraId="5E20C66F">
            <w:pPr>
              <w:pStyle w:val="106"/>
              <w:keepNext w:val="0"/>
              <w:keepLines w:val="0"/>
              <w:widowControl/>
              <w:suppressLineNumbers w:val="0"/>
              <w:wordWrap w:val="0"/>
              <w:adjustRightInd w:val="0"/>
              <w:snapToGrid w:val="0"/>
              <w:spacing w:before="0" w:beforeAutospacing="0" w:after="0" w:afterAutospacing="0" w:line="500" w:lineRule="atLeast"/>
              <w:ind w:left="0" w:right="0"/>
              <w:rPr>
                <w:rFonts w:hint="default"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关于能否延长解密时间的约定：开标现场若发现默认解密时长不足，由采购人决定是否延长解密时长。</w:t>
            </w:r>
          </w:p>
        </w:tc>
      </w:tr>
      <w:tr w14:paraId="74BA9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E3A26CA">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11</w:t>
            </w:r>
          </w:p>
        </w:tc>
        <w:tc>
          <w:tcPr>
            <w:tcW w:w="1691" w:type="dxa"/>
            <w:vAlign w:val="center"/>
          </w:tcPr>
          <w:p w14:paraId="144C9210">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磋商小组的组建及评审专家的确定方式</w:t>
            </w:r>
          </w:p>
        </w:tc>
        <w:tc>
          <w:tcPr>
            <w:tcW w:w="5469" w:type="dxa"/>
            <w:vAlign w:val="center"/>
          </w:tcPr>
          <w:p w14:paraId="04C10F4C">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采购单位依法组建磋商小组共3人组成，其中采购人代表0人和专家评委3人。</w:t>
            </w:r>
          </w:p>
          <w:p w14:paraId="11E84086">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小组确定方式：</w:t>
            </w:r>
          </w:p>
          <w:p w14:paraId="7127D380">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green"/>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sym w:font="Wingdings 2" w:char="0052"/>
            </w:r>
            <w:r>
              <w:rPr>
                <w:rFonts w:hint="eastAsia" w:ascii="宋体" w:hAnsi="宋体" w:cs="宋体"/>
                <w:color w:val="000000" w:themeColor="text1"/>
                <w:sz w:val="24"/>
                <w:szCs w:val="24"/>
                <w:highlight w:val="white"/>
                <w14:textFill>
                  <w14:solidFill>
                    <w14:schemeClr w14:val="tx1"/>
                  </w14:solidFill>
                </w14:textFill>
              </w:rPr>
              <w:t xml:space="preserve"> 计算机随机抽取语音通知方式 </w:t>
            </w:r>
          </w:p>
          <w:p w14:paraId="19478F4D">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□其他方式：</w:t>
            </w:r>
            <w:r>
              <w:rPr>
                <w:rFonts w:hint="eastAsia" w:ascii="宋体" w:hAnsi="宋体" w:cs="宋体"/>
                <w:color w:val="000000" w:themeColor="text1"/>
                <w:sz w:val="24"/>
                <w:szCs w:val="24"/>
                <w14:textFill>
                  <w14:solidFill>
                    <w14:schemeClr w14:val="tx1"/>
                  </w14:solidFill>
                </w14:textFill>
              </w:rPr>
              <w:t xml:space="preserve">                      </w:t>
            </w:r>
          </w:p>
        </w:tc>
      </w:tr>
      <w:tr w14:paraId="4B3FF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01EE9203">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12</w:t>
            </w:r>
          </w:p>
        </w:tc>
        <w:tc>
          <w:tcPr>
            <w:tcW w:w="1691" w:type="dxa"/>
            <w:vMerge w:val="restart"/>
            <w:vAlign w:val="center"/>
          </w:tcPr>
          <w:p w14:paraId="2D797A8B">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磋商保证金</w:t>
            </w:r>
          </w:p>
        </w:tc>
        <w:tc>
          <w:tcPr>
            <w:tcW w:w="5469" w:type="dxa"/>
            <w:vAlign w:val="center"/>
          </w:tcPr>
          <w:p w14:paraId="15887B72">
            <w:pPr>
              <w:pStyle w:val="106"/>
              <w:keepNext w:val="0"/>
              <w:keepLines w:val="0"/>
              <w:suppressLineNumbers w:val="0"/>
              <w:wordWrap w:val="0"/>
              <w:adjustRightInd w:val="0"/>
              <w:snapToGrid w:val="0"/>
              <w:spacing w:before="0" w:beforeAutospacing="0" w:after="0" w:afterAutospacing="0" w:line="500" w:lineRule="atLeast"/>
              <w:ind w:left="0" w:right="0" w:firstLine="2"/>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缴纳方式：电汇、网银转账</w:t>
            </w:r>
            <w:r>
              <w:rPr>
                <w:rFonts w:hint="eastAsia" w:ascii="宋体" w:hAnsi="宋体" w:cs="宋体"/>
                <w:bCs/>
                <w:color w:val="000000" w:themeColor="text1"/>
                <w:sz w:val="24"/>
                <w:szCs w:val="24"/>
                <w:lang w:eastAsia="zh-CN"/>
                <w14:textFill>
                  <w14:solidFill>
                    <w14:schemeClr w14:val="tx1"/>
                  </w14:solidFill>
                </w14:textFill>
              </w:rPr>
              <w:t>、保函、保单</w:t>
            </w:r>
          </w:p>
        </w:tc>
      </w:tr>
      <w:tr w14:paraId="310B05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56AC1CDD">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6AA063CE">
            <w:pPr>
              <w:pStyle w:val="106"/>
              <w:keepNext w:val="0"/>
              <w:keepLines w:val="0"/>
              <w:suppressLineNumbers w:val="0"/>
              <w:wordWrap w:val="0"/>
              <w:adjustRightInd w:val="0"/>
              <w:snapToGrid w:val="0"/>
              <w:spacing w:before="0" w:beforeAutospacing="0" w:after="0" w:afterAutospacing="0" w:line="500" w:lineRule="atLeast"/>
              <w:ind w:left="0" w:right="0" w:firstLine="612" w:firstLineChars="254"/>
              <w:jc w:val="center"/>
              <w:rPr>
                <w:rFonts w:hint="default" w:ascii="宋体" w:hAnsi="宋体" w:cs="宋体"/>
                <w:b/>
                <w:bCs/>
                <w:color w:val="000000" w:themeColor="text1"/>
                <w:sz w:val="24"/>
                <w:szCs w:val="24"/>
                <w14:textFill>
                  <w14:solidFill>
                    <w14:schemeClr w14:val="tx1"/>
                  </w14:solidFill>
                </w14:textFill>
              </w:rPr>
            </w:pPr>
          </w:p>
        </w:tc>
        <w:tc>
          <w:tcPr>
            <w:tcW w:w="5469" w:type="dxa"/>
            <w:vAlign w:val="center"/>
          </w:tcPr>
          <w:p w14:paraId="7E471B47">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金额（小写）：</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 xml:space="preserve">000.00元           </w:t>
            </w:r>
          </w:p>
          <w:p w14:paraId="0C3AC123">
            <w:pPr>
              <w:pStyle w:val="106"/>
              <w:keepNext w:val="0"/>
              <w:keepLines w:val="0"/>
              <w:suppressLineNumbers w:val="0"/>
              <w:wordWrap w:val="0"/>
              <w:adjustRightInd w:val="0"/>
              <w:snapToGrid w:val="0"/>
              <w:spacing w:before="0" w:beforeAutospacing="0" w:after="0" w:afterAutospacing="0" w:line="500" w:lineRule="atLeast"/>
              <w:ind w:left="0" w:right="0" w:firstLine="2"/>
              <w:rPr>
                <w:rFonts w:hint="default"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金额（大写）：</w:t>
            </w:r>
            <w:r>
              <w:rPr>
                <w:rFonts w:hint="eastAsia" w:ascii="宋体" w:hAnsi="宋体" w:cs="宋体"/>
                <w:color w:val="000000" w:themeColor="text1"/>
                <w:sz w:val="24"/>
                <w:szCs w:val="24"/>
                <w:highlight w:val="white"/>
                <w:lang w:eastAsia="zh-CN"/>
                <w14:textFill>
                  <w14:solidFill>
                    <w14:schemeClr w14:val="tx1"/>
                  </w14:solidFill>
                </w14:textFill>
              </w:rPr>
              <w:t>壹万伍仟元整</w:t>
            </w:r>
            <w:r>
              <w:rPr>
                <w:rFonts w:hint="eastAsia" w:ascii="宋体" w:hAnsi="宋体" w:cs="宋体"/>
                <w:color w:val="000000" w:themeColor="text1"/>
                <w:sz w:val="24"/>
                <w:szCs w:val="24"/>
                <w14:textFill>
                  <w14:solidFill>
                    <w14:schemeClr w14:val="tx1"/>
                  </w14:solidFill>
                </w14:textFill>
              </w:rPr>
              <w:t xml:space="preserve">           </w:t>
            </w:r>
          </w:p>
        </w:tc>
      </w:tr>
      <w:tr w14:paraId="1B565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1F2F1F14">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26D47AA5">
            <w:pPr>
              <w:pStyle w:val="106"/>
              <w:keepNext w:val="0"/>
              <w:keepLines w:val="0"/>
              <w:suppressLineNumbers w:val="0"/>
              <w:wordWrap w:val="0"/>
              <w:adjustRightInd w:val="0"/>
              <w:snapToGrid w:val="0"/>
              <w:spacing w:before="0" w:beforeAutospacing="0" w:after="0" w:afterAutospacing="0" w:line="500" w:lineRule="atLeast"/>
              <w:ind w:left="0" w:right="0" w:firstLine="612" w:firstLineChars="254"/>
              <w:jc w:val="center"/>
              <w:rPr>
                <w:rFonts w:hint="default" w:ascii="宋体" w:hAnsi="宋体" w:cs="宋体"/>
                <w:b/>
                <w:bCs/>
                <w:color w:val="000000" w:themeColor="text1"/>
                <w:sz w:val="24"/>
                <w:szCs w:val="24"/>
                <w14:textFill>
                  <w14:solidFill>
                    <w14:schemeClr w14:val="tx1"/>
                  </w14:solidFill>
                </w14:textFill>
              </w:rPr>
            </w:pPr>
          </w:p>
        </w:tc>
        <w:tc>
          <w:tcPr>
            <w:tcW w:w="5469" w:type="dxa"/>
            <w:vAlign w:val="center"/>
          </w:tcPr>
          <w:p w14:paraId="11CF06DF">
            <w:pPr>
              <w:pStyle w:val="32"/>
              <w:keepNext w:val="0"/>
              <w:keepLines w:val="0"/>
              <w:suppressLineNumbers w:val="0"/>
              <w:spacing w:before="0" w:beforeAutospacing="0" w:after="0" w:afterAutospacing="0" w:line="276" w:lineRule="auto"/>
              <w:ind w:left="0" w:right="0"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1、形式：各企业根据自身实际自行选择银行电汇、网银转账、银行保函或出具保险保单等</w:t>
            </w:r>
            <w:r>
              <w:rPr>
                <w:rFonts w:hint="eastAsia" w:ascii="宋体" w:hAnsi="宋体" w:eastAsia="宋体" w:cs="宋体"/>
                <w:color w:val="000000" w:themeColor="text1"/>
                <w:kern w:val="0"/>
                <w:sz w:val="24"/>
                <w:lang w:bidi="ar"/>
                <w14:textFill>
                  <w14:solidFill>
                    <w14:schemeClr w14:val="tx1"/>
                  </w14:solidFill>
                </w14:textFill>
              </w:rPr>
              <w:t>非现金形式缴纳</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w:t>
            </w:r>
          </w:p>
          <w:p w14:paraId="41D17D90">
            <w:pPr>
              <w:pStyle w:val="32"/>
              <w:keepNext w:val="0"/>
              <w:keepLines w:val="0"/>
              <w:suppressLineNumbers w:val="0"/>
              <w:spacing w:before="0" w:beforeAutospacing="0" w:after="0" w:afterAutospacing="0" w:line="276" w:lineRule="auto"/>
              <w:ind w:left="0" w:right="0"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2、递交时间：在投标截止时间前递交（以到账时间为准）；</w:t>
            </w:r>
          </w:p>
          <w:p w14:paraId="1F1311F2">
            <w:pPr>
              <w:pStyle w:val="32"/>
              <w:keepNext w:val="0"/>
              <w:keepLines w:val="0"/>
              <w:suppressLineNumbers w:val="0"/>
              <w:spacing w:before="0" w:beforeAutospacing="0" w:after="0" w:afterAutospacing="0" w:line="276" w:lineRule="auto"/>
              <w:ind w:left="0" w:right="0"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3、账户信息：</w:t>
            </w:r>
          </w:p>
          <w:p w14:paraId="59472CC7">
            <w:pPr>
              <w:pStyle w:val="32"/>
              <w:keepNext w:val="0"/>
              <w:keepLines w:val="0"/>
              <w:suppressLineNumbers w:val="0"/>
              <w:spacing w:before="0" w:beforeAutospacing="0" w:after="0" w:afterAutospacing="0" w:line="276" w:lineRule="auto"/>
              <w:ind w:left="0" w:right="0"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单位名称：新疆德鸿项目管理咨询有限公司哈密分公司</w:t>
            </w:r>
          </w:p>
          <w:p w14:paraId="7579AA39">
            <w:pPr>
              <w:pStyle w:val="32"/>
              <w:keepNext w:val="0"/>
              <w:keepLines w:val="0"/>
              <w:suppressLineNumbers w:val="0"/>
              <w:spacing w:before="0" w:beforeAutospacing="0" w:after="0" w:afterAutospacing="0" w:line="276" w:lineRule="auto"/>
              <w:ind w:left="0" w:right="0"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开户银行：哈密市商业银行股份有限公司广场北路支行</w:t>
            </w:r>
          </w:p>
          <w:p w14:paraId="20EB08E3">
            <w:pPr>
              <w:pStyle w:val="32"/>
              <w:keepNext w:val="0"/>
              <w:keepLines w:val="0"/>
              <w:suppressLineNumbers w:val="0"/>
              <w:spacing w:before="0" w:beforeAutospacing="0" w:after="0" w:afterAutospacing="0" w:line="276" w:lineRule="auto"/>
              <w:ind w:left="0" w:right="0"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开户账号： 908070100100056227</w:t>
            </w:r>
          </w:p>
          <w:p w14:paraId="42ECD02C">
            <w:pPr>
              <w:pStyle w:val="32"/>
              <w:keepNext w:val="0"/>
              <w:keepLines w:val="0"/>
              <w:suppressLineNumbers w:val="0"/>
              <w:spacing w:before="0" w:beforeAutospacing="0" w:after="0" w:afterAutospacing="0" w:line="276" w:lineRule="auto"/>
              <w:ind w:left="0" w:right="0" w:firstLine="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开户行行号：313 884 000 081</w:t>
            </w:r>
          </w:p>
          <w:p w14:paraId="74E94529">
            <w:pPr>
              <w:pStyle w:val="154"/>
              <w:keepNext w:val="0"/>
              <w:keepLines w:val="0"/>
              <w:suppressLineNumbers w:val="0"/>
              <w:spacing w:before="0" w:beforeAutospacing="0" w:after="0" w:afterAutospacing="0" w:line="500" w:lineRule="exact"/>
              <w:ind w:left="0" w:right="0"/>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1、保证金必须从企业基本帐户缴纳至采购代理机构给定的账户。以个人、企业的办事处、分公司、子公司名义或从他人帐户、投标人企业的其他账户缴纳的保证金无效。</w:t>
            </w:r>
            <w:r>
              <w:rPr>
                <w:rFonts w:hint="eastAsia" w:ascii="宋体" w:hAnsi="宋体" w:cs="宋体"/>
                <w:bCs/>
                <w:color w:val="000000" w:themeColor="text1"/>
                <w:sz w:val="24"/>
                <w:szCs w:val="24"/>
                <w:lang w:eastAsia="zh-CN"/>
                <w14:textFill>
                  <w14:solidFill>
                    <w14:schemeClr w14:val="tx1"/>
                  </w14:solidFill>
                </w14:textFill>
              </w:rPr>
              <w:t>（提供基本户信息）</w:t>
            </w:r>
          </w:p>
          <w:p w14:paraId="73DD6E3D">
            <w:pPr>
              <w:pStyle w:val="154"/>
              <w:keepNext w:val="0"/>
              <w:keepLines w:val="0"/>
              <w:suppressLineNumbers w:val="0"/>
              <w:spacing w:before="0" w:beforeAutospacing="0" w:after="0" w:afterAutospacing="0" w:line="500" w:lineRule="exact"/>
              <w:ind w:left="0" w:right="0"/>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2、保证金必须在投标截止时间（开标时间）前缴纳至招标代理公司账户。投标人需自行评估因异地、跨行、公休日等因素造成的投标保证金到账延迟风险，并承担相应责任。</w:t>
            </w:r>
          </w:p>
          <w:p w14:paraId="53C2F85F">
            <w:pPr>
              <w:keepNext w:val="0"/>
              <w:keepLines w:val="0"/>
              <w:suppressLineNumbers w:val="0"/>
              <w:spacing w:before="0" w:beforeAutospacing="0" w:after="0" w:afterAutospacing="0" w:line="360" w:lineRule="auto"/>
              <w:ind w:left="0" w:right="0"/>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、为简化手续，优化流程，采用电子支付方式提交投标保证金的，在退还时，按原路退回，收取时不开具收据，</w:t>
            </w:r>
            <w:r>
              <w:rPr>
                <w:rFonts w:hint="eastAsia" w:ascii="宋体" w:hAnsi="宋体" w:cs="宋体"/>
                <w:b/>
                <w:bCs/>
                <w:color w:val="000000" w:themeColor="text1"/>
                <w:sz w:val="24"/>
                <w:szCs w:val="24"/>
                <w:lang w:val="en-US" w:eastAsia="zh-CN"/>
                <w14:textFill>
                  <w14:solidFill>
                    <w14:schemeClr w14:val="tx1"/>
                  </w14:solidFill>
                </w14:textFill>
              </w:rPr>
              <w:t>退还时也不要求提交收据</w:t>
            </w:r>
            <w:r>
              <w:rPr>
                <w:rFonts w:hint="eastAsia" w:ascii="宋体" w:hAnsi="宋体" w:cs="宋体"/>
                <w:b/>
                <w:bCs/>
                <w:color w:val="000000" w:themeColor="text1"/>
                <w:sz w:val="24"/>
                <w:szCs w:val="24"/>
                <w14:textFill>
                  <w14:solidFill>
                    <w14:schemeClr w14:val="tx1"/>
                  </w14:solidFill>
                </w14:textFill>
              </w:rPr>
              <w:t>。请各投标单位在响应文件中提供开户许可证或退款账户信息（包含银行行号）。</w:t>
            </w:r>
          </w:p>
          <w:p w14:paraId="6BFBA67A">
            <w:pPr>
              <w:pStyle w:val="104"/>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注：汇款单上需注明投标商单位名称、项目名称、金额。保证金于截止日之前缴纳，若投标商未按照规定缴纳保证金,投标文件将被拒绝评审。</w:t>
            </w:r>
          </w:p>
          <w:p w14:paraId="706DCD5D">
            <w:pPr>
              <w:keepNext w:val="0"/>
              <w:keepLines w:val="0"/>
              <w:suppressLineNumbers w:val="0"/>
              <w:spacing w:before="0" w:beforeAutospacing="0" w:after="0" w:afterAutospacing="0" w:line="360" w:lineRule="auto"/>
              <w:ind w:left="0" w:right="0"/>
              <w:jc w:val="both"/>
              <w:rPr>
                <w:rFonts w:hint="default" w:ascii="宋体" w:hAnsi="宋体" w:cs="宋体"/>
                <w:color w:val="000000" w:themeColor="text1"/>
                <w:sz w:val="24"/>
                <w:szCs w:val="24"/>
                <w14:textFill>
                  <w14:solidFill>
                    <w14:schemeClr w14:val="tx1"/>
                  </w14:solidFill>
                </w14:textFill>
              </w:rPr>
            </w:pPr>
          </w:p>
        </w:tc>
      </w:tr>
      <w:tr w14:paraId="5410E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EF8D722">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13</w:t>
            </w:r>
          </w:p>
        </w:tc>
        <w:tc>
          <w:tcPr>
            <w:tcW w:w="1691" w:type="dxa"/>
            <w:vAlign w:val="center"/>
          </w:tcPr>
          <w:p w14:paraId="5E103B2B">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评审办法</w:t>
            </w:r>
          </w:p>
        </w:tc>
        <w:tc>
          <w:tcPr>
            <w:tcW w:w="5469" w:type="dxa"/>
            <w:vAlign w:val="center"/>
          </w:tcPr>
          <w:p w14:paraId="772CA633">
            <w:pPr>
              <w:pStyle w:val="106"/>
              <w:keepNext w:val="0"/>
              <w:keepLines w:val="0"/>
              <w:suppressLineNumbers w:val="0"/>
              <w:wordWrap w:val="0"/>
              <w:adjustRightInd w:val="0"/>
              <w:snapToGrid w:val="0"/>
              <w:spacing w:before="0" w:beforeAutospacing="0" w:after="0" w:afterAutospacing="0" w:line="500" w:lineRule="atLeast"/>
              <w:ind w:left="518" w:right="0" w:hanging="518" w:hangingChars="216"/>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综合评分法</w:t>
            </w:r>
          </w:p>
        </w:tc>
      </w:tr>
      <w:tr w14:paraId="716BD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ABE4E5B">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w:t>
            </w:r>
          </w:p>
        </w:tc>
        <w:tc>
          <w:tcPr>
            <w:tcW w:w="1691" w:type="dxa"/>
            <w:vAlign w:val="center"/>
          </w:tcPr>
          <w:p w14:paraId="72CD39DB">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磋商有效期</w:t>
            </w:r>
          </w:p>
        </w:tc>
        <w:tc>
          <w:tcPr>
            <w:tcW w:w="5469" w:type="dxa"/>
            <w:vAlign w:val="center"/>
          </w:tcPr>
          <w:p w14:paraId="6C2F261D">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90日（日历日）</w:t>
            </w:r>
          </w:p>
        </w:tc>
      </w:tr>
      <w:tr w14:paraId="0B5F42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245DC70">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w:t>
            </w:r>
          </w:p>
        </w:tc>
        <w:tc>
          <w:tcPr>
            <w:tcW w:w="1691" w:type="dxa"/>
            <w:vAlign w:val="center"/>
          </w:tcPr>
          <w:p w14:paraId="7287CA46">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投标文件份数</w:t>
            </w:r>
          </w:p>
        </w:tc>
        <w:tc>
          <w:tcPr>
            <w:tcW w:w="5469" w:type="dxa"/>
            <w:vAlign w:val="center"/>
          </w:tcPr>
          <w:p w14:paraId="27C480B3">
            <w:pPr>
              <w:pStyle w:val="114"/>
              <w:keepNext w:val="0"/>
              <w:keepLines w:val="0"/>
              <w:suppressLineNumbers w:val="0"/>
              <w:wordWrap w:val="0"/>
              <w:autoSpaceDE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投标文件包括：</w:t>
            </w:r>
          </w:p>
          <w:p w14:paraId="075D8ACF">
            <w:pPr>
              <w:pStyle w:val="114"/>
              <w:keepNext w:val="0"/>
              <w:keepLines w:val="0"/>
              <w:suppressLineNumbers w:val="0"/>
              <w:wordWrap w:val="0"/>
              <w:autoSpaceDE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1、本项目采用不见面开标、投标人需要递交电子投标文件，在投标截止时间前通过新疆政府采购网平台上传到指定位置。</w:t>
            </w:r>
          </w:p>
          <w:p w14:paraId="6AF514C4">
            <w:pPr>
              <w:pStyle w:val="114"/>
              <w:keepNext w:val="0"/>
              <w:keepLines w:val="0"/>
              <w:suppressLineNumbers w:val="0"/>
              <w:wordWrap w:val="0"/>
              <w:autoSpaceDE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2、中标单位在开标后2日内将纸质版投标文件（2份）及不加密电子版投标书</w:t>
            </w:r>
            <w:r>
              <w:rPr>
                <w:rFonts w:hint="default"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份（</w:t>
            </w:r>
            <w:r>
              <w:rPr>
                <w:rFonts w:hint="default"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个U盘）交于招标代理公司，纸质版投标文件内容须与电子版投标文件一致。</w:t>
            </w:r>
          </w:p>
          <w:p w14:paraId="70AE6568">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采用远程不见面交易的模式。开标当日，投标人无需到达开标现场，仅需在任意地点通过新疆政府采购网（http://www.ccgp-xinjiang.gov.cn）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14:paraId="28A01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663F722">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w:t>
            </w:r>
          </w:p>
        </w:tc>
        <w:tc>
          <w:tcPr>
            <w:tcW w:w="1691" w:type="dxa"/>
            <w:vAlign w:val="center"/>
          </w:tcPr>
          <w:p w14:paraId="11BAA781">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是否允许投报进口产品</w:t>
            </w:r>
          </w:p>
        </w:tc>
        <w:tc>
          <w:tcPr>
            <w:tcW w:w="5469" w:type="dxa"/>
            <w:vAlign w:val="center"/>
          </w:tcPr>
          <w:p w14:paraId="34F11755">
            <w:pPr>
              <w:pStyle w:val="106"/>
              <w:keepNext w:val="0"/>
              <w:keepLines w:val="0"/>
              <w:suppressLineNumbers w:val="0"/>
              <w:wordWrap w:val="0"/>
              <w:autoSpaceDE w:val="0"/>
              <w:autoSpaceDN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 xml:space="preserve">是               </w:t>
            </w:r>
          </w:p>
          <w:p w14:paraId="2D46ED3B">
            <w:pPr>
              <w:pStyle w:val="106"/>
              <w:keepNext w:val="0"/>
              <w:keepLines w:val="0"/>
              <w:suppressLineNumbers w:val="0"/>
              <w:wordWrap w:val="0"/>
              <w:autoSpaceDE w:val="0"/>
              <w:autoSpaceDN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否</w:t>
            </w:r>
          </w:p>
        </w:tc>
      </w:tr>
      <w:tr w14:paraId="1FD22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A3C8B54">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w:t>
            </w:r>
          </w:p>
        </w:tc>
        <w:tc>
          <w:tcPr>
            <w:tcW w:w="1691" w:type="dxa"/>
            <w:vAlign w:val="center"/>
          </w:tcPr>
          <w:p w14:paraId="74E03F7F">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踏勘现场</w:t>
            </w:r>
          </w:p>
        </w:tc>
        <w:tc>
          <w:tcPr>
            <w:tcW w:w="5469" w:type="dxa"/>
            <w:vAlign w:val="center"/>
          </w:tcPr>
          <w:p w14:paraId="1425BD1C">
            <w:pPr>
              <w:pStyle w:val="106"/>
              <w:keepNext w:val="0"/>
              <w:keepLines w:val="0"/>
              <w:suppressLineNumbers w:val="0"/>
              <w:wordWrap w:val="0"/>
              <w:autoSpaceDE w:val="0"/>
              <w:autoSpaceDN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sym w:font="Wingdings 2" w:char="0052"/>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自行踏勘</w:t>
            </w:r>
          </w:p>
          <w:p w14:paraId="434305F0">
            <w:pPr>
              <w:pStyle w:val="106"/>
              <w:keepNext w:val="0"/>
              <w:keepLines w:val="0"/>
              <w:suppressLineNumbers w:val="0"/>
              <w:wordWrap w:val="0"/>
              <w:autoSpaceDE w:val="0"/>
              <w:autoSpaceDN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□统一组织</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 xml:space="preserve"> </w:t>
            </w:r>
          </w:p>
        </w:tc>
      </w:tr>
      <w:tr w14:paraId="6FBFE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257D358">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w:t>
            </w:r>
          </w:p>
        </w:tc>
        <w:tc>
          <w:tcPr>
            <w:tcW w:w="1691" w:type="dxa"/>
            <w:vAlign w:val="center"/>
          </w:tcPr>
          <w:p w14:paraId="438CA865">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节能、环保要求</w:t>
            </w:r>
          </w:p>
        </w:tc>
        <w:tc>
          <w:tcPr>
            <w:tcW w:w="5469" w:type="dxa"/>
            <w:vAlign w:val="center"/>
          </w:tcPr>
          <w:p w14:paraId="0C1607A3">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按国家有关节能环保政策执行：</w:t>
            </w:r>
          </w:p>
          <w:p w14:paraId="3AE40981">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国务院办公厅关于建立政府强制采购节能产品制度的通知》（国办发[2007]51号）和财政部、发展改革委发布的《节能产品政府采购实施意见》（财库[2004]185号），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55C5202B">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3B3FFD2">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价格项加分：</w:t>
            </w:r>
          </w:p>
          <w:p w14:paraId="7F7D0F65">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1、（节能清单部分产品的价格/投标报价）×3%×价格项满分值</w:t>
            </w:r>
          </w:p>
          <w:p w14:paraId="09DA757F">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2、（环境清单部分产品的价格/投标报价）×3%×价格项满分值</w:t>
            </w:r>
          </w:p>
          <w:p w14:paraId="11A04578">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技术项加分：</w:t>
            </w:r>
          </w:p>
          <w:p w14:paraId="4DD3C343">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1、（节能清单部分产品的价格/投标报价）×3%×技术项满分值</w:t>
            </w:r>
          </w:p>
          <w:p w14:paraId="12D50F75">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2、（环境清单部分产品的价格/投标报价）×3%×技术项满分值</w:t>
            </w:r>
          </w:p>
          <w:p w14:paraId="7933E23B">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注：1、投标人须提供最新一期《节能产品政府采购清单》关于投标产品当前页的打印件；</w:t>
            </w:r>
          </w:p>
          <w:p w14:paraId="623CD614">
            <w:pPr>
              <w:pStyle w:val="106"/>
              <w:keepNext w:val="0"/>
              <w:keepLines w:val="0"/>
              <w:numPr>
                <w:ilvl w:val="0"/>
                <w:numId w:val="1"/>
              </w:numPr>
              <w:suppressLineNumbers w:val="0"/>
              <w:wordWrap w:val="0"/>
              <w:adjustRightInd w:val="0"/>
              <w:snapToGrid w:val="0"/>
              <w:spacing w:before="0" w:beforeAutospacing="0" w:after="0" w:afterAutospacing="0" w:line="500" w:lineRule="atLeast"/>
              <w:ind w:left="0" w:right="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投标人提供最新一期《环境标志产品政府采购清单》关于投标产品当前页的打印件。</w:t>
            </w:r>
          </w:p>
        </w:tc>
      </w:tr>
      <w:tr w14:paraId="76B4B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19ED9BA2">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w:t>
            </w:r>
          </w:p>
        </w:tc>
        <w:tc>
          <w:tcPr>
            <w:tcW w:w="1691" w:type="dxa"/>
            <w:vAlign w:val="center"/>
          </w:tcPr>
          <w:p w14:paraId="54CE6E46">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代理服务费</w:t>
            </w:r>
          </w:p>
        </w:tc>
        <w:tc>
          <w:tcPr>
            <w:tcW w:w="5469" w:type="dxa"/>
            <w:vAlign w:val="center"/>
          </w:tcPr>
          <w:p w14:paraId="0A707702">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不交纳 </w:t>
            </w:r>
          </w:p>
          <w:p w14:paraId="022AE0C9">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sym w:font="Wingdings 2" w:char="0052"/>
            </w:r>
            <w:r>
              <w:rPr>
                <w:rFonts w:hint="eastAsia" w:ascii="宋体" w:hAnsi="宋体" w:cs="宋体"/>
                <w:bCs/>
                <w:color w:val="000000" w:themeColor="text1"/>
                <w:sz w:val="24"/>
                <w:szCs w:val="24"/>
                <w14:textFill>
                  <w14:solidFill>
                    <w14:schemeClr w14:val="tx1"/>
                  </w14:solidFill>
                </w14:textFill>
              </w:rPr>
              <w:t xml:space="preserve"> 交纳</w:t>
            </w:r>
          </w:p>
          <w:p w14:paraId="3D066E27">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交纳时间：中标单位支付，于领取中标通知书前交纳</w:t>
            </w:r>
          </w:p>
          <w:p w14:paraId="6781B749">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color w:val="000000" w:themeColor="text1"/>
                <w:szCs w:val="21"/>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交纳金额：</w:t>
            </w:r>
            <w:r>
              <w:rPr>
                <w:rFonts w:hint="eastAsia" w:ascii="宋体" w:hAnsi="宋体" w:eastAsia="宋体" w:cs="宋体"/>
                <w:bCs/>
                <w:color w:val="000000" w:themeColor="text1"/>
                <w:sz w:val="24"/>
                <w:szCs w:val="24"/>
                <w:lang w:val="zh-CN"/>
                <w14:textFill>
                  <w14:solidFill>
                    <w14:schemeClr w14:val="tx1"/>
                  </w14:solidFill>
                </w14:textFill>
              </w:rPr>
              <w:t>根据国家发改委【2015】299号</w:t>
            </w:r>
          </w:p>
          <w:p w14:paraId="235D9F80">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收款单位：新疆德鸿项目管理咨询有限公司哈密分公司</w:t>
            </w:r>
          </w:p>
          <w:p w14:paraId="53B5EE24">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开户银行：工行哈密市分行广场北路支行</w:t>
            </w:r>
          </w:p>
          <w:p w14:paraId="71DA1B17">
            <w:pPr>
              <w:pStyle w:val="106"/>
              <w:keepNext w:val="0"/>
              <w:keepLines w:val="0"/>
              <w:suppressLineNumbers w:val="0"/>
              <w:wordWrap w:val="0"/>
              <w:adjustRightInd w:val="0"/>
              <w:snapToGrid w:val="0"/>
              <w:spacing w:before="0" w:beforeAutospacing="0" w:after="0" w:afterAutospacing="0" w:line="500" w:lineRule="atLeast"/>
              <w:ind w:left="2" w:right="0" w:hanging="2" w:hangingChars="1"/>
              <w:rPr>
                <w:rFonts w:hint="default"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银行账号：</w:t>
            </w:r>
            <w:r>
              <w:rPr>
                <w:rFonts w:hint="default" w:ascii="宋体" w:hAnsi="宋体" w:cs="宋体"/>
                <w:bCs/>
                <w:color w:val="000000" w:themeColor="text1"/>
                <w:sz w:val="24"/>
                <w:szCs w:val="24"/>
                <w14:textFill>
                  <w14:solidFill>
                    <w14:schemeClr w14:val="tx1"/>
                  </w14:solidFill>
                </w14:textFill>
              </w:rPr>
              <w:t>3011000509200025684</w:t>
            </w:r>
          </w:p>
        </w:tc>
      </w:tr>
      <w:tr w14:paraId="64C07A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12CEF7F">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20</w:t>
            </w:r>
          </w:p>
        </w:tc>
        <w:tc>
          <w:tcPr>
            <w:tcW w:w="1691" w:type="dxa"/>
            <w:vAlign w:val="center"/>
          </w:tcPr>
          <w:p w14:paraId="09A58F8D">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场地服务费</w:t>
            </w:r>
          </w:p>
        </w:tc>
        <w:tc>
          <w:tcPr>
            <w:tcW w:w="5469" w:type="dxa"/>
            <w:vAlign w:val="center"/>
          </w:tcPr>
          <w:p w14:paraId="6CCB6096">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2" w:char="0052"/>
            </w:r>
            <w:r>
              <w:rPr>
                <w:rFonts w:hint="eastAsia" w:ascii="宋体" w:hAnsi="宋体" w:cs="宋体"/>
                <w:color w:val="000000" w:themeColor="text1"/>
                <w:kern w:val="0"/>
                <w:sz w:val="24"/>
                <w:szCs w:val="24"/>
                <w14:textFill>
                  <w14:solidFill>
                    <w14:schemeClr w14:val="tx1"/>
                  </w14:solidFill>
                </w14:textFill>
              </w:rPr>
              <w:t xml:space="preserve"> 不交纳</w:t>
            </w:r>
          </w:p>
          <w:p w14:paraId="1437BF31">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交纳</w:t>
            </w:r>
          </w:p>
        </w:tc>
      </w:tr>
      <w:tr w14:paraId="7F4A5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5A9BAF6C">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w:t>
            </w:r>
          </w:p>
        </w:tc>
        <w:tc>
          <w:tcPr>
            <w:tcW w:w="1691" w:type="dxa"/>
            <w:vAlign w:val="center"/>
          </w:tcPr>
          <w:p w14:paraId="77BA2449">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合同公证费</w:t>
            </w:r>
          </w:p>
        </w:tc>
        <w:tc>
          <w:tcPr>
            <w:tcW w:w="5469" w:type="dxa"/>
            <w:vAlign w:val="center"/>
          </w:tcPr>
          <w:p w14:paraId="1110480C">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sym w:font="Wingdings 2" w:char="0052"/>
            </w:r>
            <w:r>
              <w:rPr>
                <w:rFonts w:hint="eastAsia" w:ascii="宋体" w:hAnsi="宋体" w:cs="宋体"/>
                <w:color w:val="000000" w:themeColor="text1"/>
                <w:kern w:val="0"/>
                <w:sz w:val="24"/>
                <w:szCs w:val="24"/>
                <w14:textFill>
                  <w14:solidFill>
                    <w14:schemeClr w14:val="tx1"/>
                  </w14:solidFill>
                </w14:textFill>
              </w:rPr>
              <w:t xml:space="preserve">不交纳 </w:t>
            </w:r>
          </w:p>
          <w:p w14:paraId="61D3C2CA">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□交纳</w:t>
            </w:r>
          </w:p>
          <w:p w14:paraId="7DC9EA10">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金额：根据开评标时间确定</w:t>
            </w:r>
          </w:p>
          <w:p w14:paraId="70B68EE5">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中标人于获取中标通知书前向公证处交纳</w:t>
            </w:r>
          </w:p>
        </w:tc>
      </w:tr>
      <w:tr w14:paraId="15478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66171E1">
            <w:pPr>
              <w:pStyle w:val="106"/>
              <w:keepNext w:val="0"/>
              <w:keepLines w:val="0"/>
              <w:suppressLineNumbers w:val="0"/>
              <w:tabs>
                <w:tab w:val="left" w:pos="265"/>
              </w:tabs>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22</w:t>
            </w:r>
          </w:p>
        </w:tc>
        <w:tc>
          <w:tcPr>
            <w:tcW w:w="1691" w:type="dxa"/>
            <w:vAlign w:val="center"/>
          </w:tcPr>
          <w:p w14:paraId="7E006007">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中小微型企业</w:t>
            </w:r>
          </w:p>
          <w:p w14:paraId="18263BBA">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有关政策</w:t>
            </w:r>
          </w:p>
        </w:tc>
        <w:tc>
          <w:tcPr>
            <w:tcW w:w="5469" w:type="dxa"/>
            <w:vAlign w:val="center"/>
          </w:tcPr>
          <w:p w14:paraId="080702EA">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（1）采购标的对应的中小企业划分标准所属行业为</w:t>
            </w:r>
            <w:r>
              <w:rPr>
                <w:rFonts w:hint="eastAsia" w:ascii="宋体" w:hAnsi="宋体" w:cs="宋体"/>
                <w:b/>
                <w:color w:val="000000" w:themeColor="text1"/>
                <w:kern w:val="0"/>
                <w:sz w:val="24"/>
                <w:szCs w:val="24"/>
                <w:u w:val="single"/>
                <w14:textFill>
                  <w14:solidFill>
                    <w14:schemeClr w14:val="tx1"/>
                  </w14:solidFill>
                </w14:textFill>
              </w:rPr>
              <w:t>其他未列明行业</w:t>
            </w:r>
            <w:r>
              <w:rPr>
                <w:rFonts w:hint="eastAsia" w:ascii="宋体" w:hAnsi="宋体" w:cs="宋体"/>
                <w:color w:val="000000" w:themeColor="text1"/>
                <w:kern w:val="0"/>
                <w:sz w:val="24"/>
                <w:szCs w:val="24"/>
                <w14:textFill>
                  <w14:solidFill>
                    <w14:schemeClr w14:val="tx1"/>
                  </w14:solidFill>
                </w14:textFill>
              </w:rPr>
              <w:t>。</w:t>
            </w:r>
          </w:p>
          <w:p w14:paraId="4A4BDF67">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27E15444">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（2）价格扣除幅度：小微企业价格给予</w:t>
            </w:r>
            <w:r>
              <w:rPr>
                <w:rFonts w:hint="eastAsia" w:ascii="宋体" w:hAnsi="宋体" w:cs="宋体"/>
                <w:b/>
                <w:color w:val="000000" w:themeColor="text1"/>
                <w:kern w:val="0"/>
                <w:sz w:val="24"/>
                <w:szCs w:val="24"/>
                <w:u w:val="single"/>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的扣除（其他情形均按最低价格幅度扣除）。</w:t>
            </w:r>
          </w:p>
        </w:tc>
      </w:tr>
      <w:tr w14:paraId="26F2AA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restart"/>
            <w:vAlign w:val="center"/>
          </w:tcPr>
          <w:p w14:paraId="27E318CE">
            <w:pPr>
              <w:pStyle w:val="106"/>
              <w:keepNext w:val="0"/>
              <w:keepLines w:val="0"/>
              <w:suppressLineNumbers w:val="0"/>
              <w:tabs>
                <w:tab w:val="left" w:pos="265"/>
              </w:tabs>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23</w:t>
            </w:r>
          </w:p>
        </w:tc>
        <w:tc>
          <w:tcPr>
            <w:tcW w:w="1691" w:type="dxa"/>
            <w:vMerge w:val="restart"/>
            <w:vAlign w:val="center"/>
          </w:tcPr>
          <w:p w14:paraId="0F08BBB0">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履约保证金</w:t>
            </w:r>
          </w:p>
        </w:tc>
        <w:tc>
          <w:tcPr>
            <w:tcW w:w="5469" w:type="dxa"/>
            <w:vAlign w:val="center"/>
          </w:tcPr>
          <w:p w14:paraId="40AA142E">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履约保证金的交纳必须以公对公账户进行电汇或转账，否则不予认可。</w:t>
            </w:r>
          </w:p>
        </w:tc>
      </w:tr>
      <w:tr w14:paraId="340ED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68039601">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65A3A5D3">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5469" w:type="dxa"/>
            <w:vAlign w:val="center"/>
          </w:tcPr>
          <w:p w14:paraId="3DA5CD26">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交纳时间：/</w:t>
            </w:r>
          </w:p>
        </w:tc>
      </w:tr>
      <w:tr w14:paraId="4DC96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7E6FAD87">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7A728739">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5469" w:type="dxa"/>
            <w:vAlign w:val="center"/>
          </w:tcPr>
          <w:p w14:paraId="3682A905">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交纳金额：/</w:t>
            </w:r>
          </w:p>
        </w:tc>
      </w:tr>
      <w:tr w14:paraId="3A2C8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786C9D3D">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150A2A12">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5469" w:type="dxa"/>
            <w:vAlign w:val="center"/>
          </w:tcPr>
          <w:p w14:paraId="54F59694">
            <w:pPr>
              <w:pStyle w:val="153"/>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收款单位：招标人提供</w:t>
            </w:r>
          </w:p>
          <w:p w14:paraId="0BD9CF38">
            <w:pPr>
              <w:pStyle w:val="153"/>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开户银行：招标人提供</w:t>
            </w:r>
          </w:p>
          <w:p w14:paraId="235B8F67">
            <w:pPr>
              <w:pStyle w:val="153"/>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银行账号：招标人提供</w:t>
            </w:r>
          </w:p>
        </w:tc>
      </w:tr>
      <w:tr w14:paraId="648791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Merge w:val="continue"/>
            <w:vAlign w:val="center"/>
          </w:tcPr>
          <w:p w14:paraId="43B9D30D">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1691" w:type="dxa"/>
            <w:vMerge w:val="continue"/>
            <w:vAlign w:val="center"/>
          </w:tcPr>
          <w:p w14:paraId="7C2F30D4">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p>
        </w:tc>
        <w:tc>
          <w:tcPr>
            <w:tcW w:w="5469" w:type="dxa"/>
            <w:vAlign w:val="center"/>
          </w:tcPr>
          <w:p w14:paraId="639FD1FA">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项目完成验收合格无质量问题后退还。</w:t>
            </w:r>
          </w:p>
        </w:tc>
      </w:tr>
      <w:tr w14:paraId="2BDED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1DED318">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24</w:t>
            </w:r>
          </w:p>
        </w:tc>
        <w:tc>
          <w:tcPr>
            <w:tcW w:w="1691" w:type="dxa"/>
            <w:vAlign w:val="center"/>
          </w:tcPr>
          <w:p w14:paraId="7A417E71">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质保期</w:t>
            </w:r>
          </w:p>
        </w:tc>
        <w:tc>
          <w:tcPr>
            <w:tcW w:w="5469" w:type="dxa"/>
            <w:vAlign w:val="center"/>
          </w:tcPr>
          <w:p w14:paraId="0BAB6A63">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r>
      <w:tr w14:paraId="63DBD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38AB7439">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25</w:t>
            </w:r>
          </w:p>
        </w:tc>
        <w:tc>
          <w:tcPr>
            <w:tcW w:w="1691" w:type="dxa"/>
            <w:vAlign w:val="center"/>
          </w:tcPr>
          <w:p w14:paraId="02D7344D">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服务期限</w:t>
            </w:r>
          </w:p>
        </w:tc>
        <w:tc>
          <w:tcPr>
            <w:tcW w:w="5469" w:type="dxa"/>
            <w:vAlign w:val="center"/>
          </w:tcPr>
          <w:p w14:paraId="1527189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default" w:ascii="宋体" w:hAnsi="宋体" w:cs="宋体"/>
                <w:color w:val="000000" w:themeColor="text1"/>
                <w:kern w:val="0"/>
                <w:sz w:val="24"/>
                <w:szCs w:val="24"/>
                <w14:textFill>
                  <w14:solidFill>
                    <w14:schemeClr w14:val="tx1"/>
                  </w14:solidFill>
                </w14:textFill>
              </w:rPr>
            </w:pPr>
            <w:r>
              <w:rPr>
                <w:rFonts w:hint="eastAsia" w:cs="宋体"/>
                <w:color w:val="000000" w:themeColor="text1"/>
                <w:kern w:val="0"/>
                <w:sz w:val="24"/>
                <w:szCs w:val="24"/>
                <w:lang w:val="en-US" w:eastAsia="zh-CN" w:bidi="ar-SA"/>
                <w14:textFill>
                  <w14:solidFill>
                    <w14:schemeClr w14:val="tx1"/>
                  </w14:solidFill>
                </w14:textFill>
              </w:rPr>
              <w:t>同施工工期</w:t>
            </w:r>
          </w:p>
        </w:tc>
      </w:tr>
      <w:tr w14:paraId="0A5FA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6669E5CA">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26</w:t>
            </w:r>
          </w:p>
        </w:tc>
        <w:tc>
          <w:tcPr>
            <w:tcW w:w="1691" w:type="dxa"/>
            <w:vAlign w:val="center"/>
          </w:tcPr>
          <w:p w14:paraId="412DCA26">
            <w:pPr>
              <w:pStyle w:val="112"/>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质量要求</w:t>
            </w:r>
          </w:p>
        </w:tc>
        <w:tc>
          <w:tcPr>
            <w:tcW w:w="5469" w:type="dxa"/>
            <w:vAlign w:val="center"/>
          </w:tcPr>
          <w:p w14:paraId="3E5FD9D4">
            <w:pPr>
              <w:pStyle w:val="139"/>
              <w:keepNext w:val="0"/>
              <w:keepLines w:val="0"/>
              <w:suppressLineNumbers w:val="0"/>
              <w:wordWrap w:val="0"/>
              <w:autoSpaceDE w:val="0"/>
              <w:adjustRightInd w:val="0"/>
              <w:snapToGrid w:val="0"/>
              <w:spacing w:before="0" w:beforeAutospacing="0" w:after="0" w:afterAutospacing="0" w:line="500" w:lineRule="atLeast"/>
              <w:ind w:left="0" w:right="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kern w:val="0"/>
                <w:sz w:val="24"/>
                <w:szCs w:val="24"/>
                <w:lang w:eastAsia="zh-CN"/>
                <w14:textFill>
                  <w14:solidFill>
                    <w14:schemeClr w14:val="tx1"/>
                  </w14:solidFill>
                </w14:textFill>
              </w:rPr>
              <w:t>合格</w:t>
            </w:r>
          </w:p>
        </w:tc>
      </w:tr>
      <w:tr w14:paraId="62074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DB2F4EB">
            <w:pPr>
              <w:pStyle w:val="112"/>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27</w:t>
            </w:r>
          </w:p>
        </w:tc>
        <w:tc>
          <w:tcPr>
            <w:tcW w:w="1691" w:type="dxa"/>
            <w:vAlign w:val="center"/>
          </w:tcPr>
          <w:p w14:paraId="373935AA">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付款方式</w:t>
            </w:r>
          </w:p>
        </w:tc>
        <w:tc>
          <w:tcPr>
            <w:tcW w:w="5469" w:type="dxa"/>
            <w:vAlign w:val="center"/>
          </w:tcPr>
          <w:p w14:paraId="2437C279">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按甲方要求</w:t>
            </w:r>
          </w:p>
        </w:tc>
      </w:tr>
      <w:tr w14:paraId="106A6D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2E904FB9">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28</w:t>
            </w:r>
          </w:p>
        </w:tc>
        <w:tc>
          <w:tcPr>
            <w:tcW w:w="1691" w:type="dxa"/>
            <w:vAlign w:val="center"/>
          </w:tcPr>
          <w:p w14:paraId="7C9A899A">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采购人认为应该补充的其他内容</w:t>
            </w:r>
          </w:p>
        </w:tc>
        <w:tc>
          <w:tcPr>
            <w:tcW w:w="5469" w:type="dxa"/>
            <w:vAlign w:val="center"/>
          </w:tcPr>
          <w:p w14:paraId="2B21CAAF">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AAD40A0">
            <w:pPr>
              <w:pStyle w:val="106"/>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2、退投标保证金：</w:t>
            </w:r>
          </w:p>
          <w:p w14:paraId="005C4C5A">
            <w:pPr>
              <w:pStyle w:val="106"/>
              <w:keepNext w:val="0"/>
              <w:keepLines w:val="0"/>
              <w:suppressLineNumbers w:val="0"/>
              <w:wordWrap w:val="0"/>
              <w:adjustRightInd w:val="0"/>
              <w:snapToGrid w:val="0"/>
              <w:spacing w:before="0" w:beforeAutospacing="0" w:after="0" w:afterAutospacing="0" w:line="500" w:lineRule="atLeast"/>
              <w:ind w:left="0" w:right="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r>
              <w:rPr>
                <w:rFonts w:hint="eastAsia" w:ascii="宋体" w:hAnsi="宋体" w:cs="宋体"/>
                <w:color w:val="000000" w:themeColor="text1"/>
                <w:sz w:val="24"/>
                <w:szCs w:val="24"/>
                <w:lang w:val="en-US" w:eastAsia="zh-CN"/>
                <w14:textFill>
                  <w14:solidFill>
                    <w14:schemeClr w14:val="tx1"/>
                  </w14:solidFill>
                </w14:textFill>
              </w:rPr>
              <w:t>：中标通知书发出之日起 5 个工作日内退还未中标供应商的投标保证金，自政府采购合同签订之日起 5 个工作日内退还中标供应商的投标保证金。</w:t>
            </w:r>
          </w:p>
          <w:p w14:paraId="5C89A793">
            <w:pPr>
              <w:pStyle w:val="106"/>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项目需要落实的政府采购政策：（1）财政部、国家发展改革委《关于印发《节能产品政府采购实施意见》的通知（财库〔2004〕185号文）》。（2）《财政部、环保总局关于环境标志产品政府采购实施的意见》（财库［2006］90号）。（3）财政部、工业和信息化部《关于印发《政府采购促进中小企业展暂行办法》的通知（财库〔2011〕181号文）》。（4）财政部、司法部《关于政府采购支持监狱企业发展有关问题的通知（财库〔2014〕68号文）》。（5）财政部、民政部、中国残疾人联合会《关于促进残疾人就业政府采购政策的通知》（财库[2017]141号）。</w:t>
            </w:r>
          </w:p>
        </w:tc>
      </w:tr>
      <w:tr w14:paraId="3E5063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764D8CD9">
            <w:pPr>
              <w:pStyle w:val="129"/>
              <w:keepNext w:val="0"/>
              <w:keepLines w:val="0"/>
              <w:suppressLineNumbers w:val="0"/>
              <w:wordWrap w:val="0"/>
              <w:adjustRightInd w:val="0"/>
              <w:snapToGrid w:val="0"/>
              <w:spacing w:before="0" w:beforeAutospacing="0" w:after="0" w:afterAutospacing="0" w:line="500" w:lineRule="atLeast"/>
              <w:ind w:left="482" w:right="0" w:hanging="482" w:hangingChars="200"/>
              <w:contextualSpacing/>
              <w:jc w:val="center"/>
              <w:rPr>
                <w:rFonts w:hint="default"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注意</w:t>
            </w:r>
          </w:p>
          <w:p w14:paraId="7DFE14E4">
            <w:pPr>
              <w:pStyle w:val="129"/>
              <w:keepNext w:val="0"/>
              <w:keepLines w:val="0"/>
              <w:suppressLineNumbers w:val="0"/>
              <w:wordWrap w:val="0"/>
              <w:adjustRightInd w:val="0"/>
              <w:snapToGrid w:val="0"/>
              <w:spacing w:before="0" w:beforeAutospacing="0" w:after="0" w:afterAutospacing="0" w:line="500" w:lineRule="atLeast"/>
              <w:ind w:left="482" w:right="0" w:hanging="482" w:hangingChars="200"/>
              <w:contextualSpacing/>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事项</w:t>
            </w:r>
          </w:p>
        </w:tc>
        <w:tc>
          <w:tcPr>
            <w:tcW w:w="7160" w:type="dxa"/>
            <w:gridSpan w:val="2"/>
            <w:vAlign w:val="center"/>
          </w:tcPr>
          <w:p w14:paraId="4C3B7039">
            <w:pPr>
              <w:pStyle w:val="129"/>
              <w:keepNext w:val="0"/>
              <w:keepLines w:val="0"/>
              <w:suppressLineNumbers w:val="0"/>
              <w:wordWrap w:val="0"/>
              <w:adjustRightInd w:val="0"/>
              <w:snapToGrid w:val="0"/>
              <w:spacing w:before="0" w:beforeAutospacing="0" w:after="0" w:afterAutospacing="0" w:line="500" w:lineRule="atLeast"/>
              <w:ind w:left="0" w:right="0" w:firstLine="0" w:firstLineChars="0"/>
              <w:contextualSpacing/>
              <w:jc w:val="left"/>
              <w:rPr>
                <w:rFonts w:hint="default"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如本《投标人须知前附表》相关内容与招标文件中的相关内容如有不一致处，则以本《投标人须知前附表》相关内容为准。</w:t>
            </w:r>
          </w:p>
        </w:tc>
      </w:tr>
      <w:tr w14:paraId="0FBC81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31" w:type="dxa"/>
            <w:vAlign w:val="center"/>
          </w:tcPr>
          <w:p w14:paraId="09DA441C">
            <w:pPr>
              <w:pStyle w:val="106"/>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c>
          <w:tcPr>
            <w:tcW w:w="7160" w:type="dxa"/>
            <w:gridSpan w:val="2"/>
            <w:vAlign w:val="center"/>
          </w:tcPr>
          <w:p w14:paraId="74CD7222">
            <w:pPr>
              <w:keepNext w:val="0"/>
              <w:keepLines w:val="0"/>
              <w:suppressLineNumbers w:val="0"/>
              <w:adjustRightInd w:val="0"/>
              <w:spacing w:before="0" w:beforeAutospacing="0" w:after="0" w:afterAutospacing="0" w:line="276" w:lineRule="auto"/>
              <w:ind w:left="0" w:right="0"/>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本项目采用政府采购云平台线上招标、投标，采用电子投标文件。</w:t>
            </w:r>
          </w:p>
          <w:p w14:paraId="61729C5F">
            <w:pPr>
              <w:keepNext w:val="0"/>
              <w:keepLines w:val="0"/>
              <w:suppressLineNumbers w:val="0"/>
              <w:adjustRightInd w:val="0"/>
              <w:spacing w:before="0" w:beforeAutospacing="0" w:after="0" w:afterAutospacing="0" w:line="276" w:lineRule="auto"/>
              <w:ind w:left="0" w:right="0"/>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1.各投标人应在开标前应确保成为新疆政府采购网正式注册入库投标人，并完成CA数字证书（符合国密标准）申领。因未注册入库、未办理CA数字证书等原因造成无法投标或投标失败等后果由投标人自行承担。</w:t>
            </w:r>
          </w:p>
          <w:p w14:paraId="6ED67EDA">
            <w:pPr>
              <w:keepNext w:val="0"/>
              <w:keepLines w:val="0"/>
              <w:suppressLineNumbers w:val="0"/>
              <w:adjustRightInd w:val="0"/>
              <w:spacing w:before="0" w:beforeAutospacing="0" w:after="0" w:afterAutospacing="0" w:line="276" w:lineRule="auto"/>
              <w:ind w:left="0" w:right="0"/>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2.有意向参与新疆区域电子开评标的投标人，可访问新疆数字证书认证中心官方网站（https://www.xjca.com.cn/）或下载“新疆政务通”APP自行进行申领。如需咨询，请联系新疆CA服务热线0991-2819290。</w:t>
            </w:r>
          </w:p>
          <w:p w14:paraId="2C066A1B">
            <w:pPr>
              <w:keepNext w:val="0"/>
              <w:keepLines w:val="0"/>
              <w:suppressLineNumbers w:val="0"/>
              <w:adjustRightInd w:val="0"/>
              <w:spacing w:before="0" w:beforeAutospacing="0" w:after="0" w:afterAutospacing="0" w:line="276" w:lineRule="auto"/>
              <w:ind w:left="0" w:right="0"/>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000000" w:themeColor="text1"/>
                <w:kern w:val="2"/>
                <w:sz w:val="24"/>
                <w:szCs w:val="24"/>
                <w:lang w:val="en-US" w:eastAsia="zh-CN" w:bidi="ar-SA"/>
                <w14:textFill>
                  <w14:solidFill>
                    <w14:schemeClr w14:val="tx1"/>
                  </w14:solidFill>
                </w14:textFill>
              </w:rPr>
              <w:t>95763</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进行咨询。如因投标人自身原因导致在规定时间内无法正常解密的（如：浏览器故障、未安装相关驱动、网络故障、加密CA与解密CA不一致等），采购中心/代理机构不予异常处理，视为投标人自动弃标。</w:t>
            </w:r>
          </w:p>
          <w:p w14:paraId="4B79718A">
            <w:pPr>
              <w:keepNext w:val="0"/>
              <w:keepLines w:val="0"/>
              <w:suppressLineNumbers w:val="0"/>
              <w:adjustRightInd w:val="0"/>
              <w:spacing w:before="0" w:beforeAutospacing="0" w:after="0" w:afterAutospacing="0" w:line="276" w:lineRule="auto"/>
              <w:ind w:left="0" w:right="0"/>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4.投标人操作指南详见新疆政府采购网（http://www.ccgp-xinjiang.gov.cn/）—办事指南—操作指南。</w:t>
            </w:r>
          </w:p>
          <w:p w14:paraId="14CBB3BA">
            <w:pPr>
              <w:pStyle w:val="106"/>
              <w:keepNext w:val="0"/>
              <w:keepLines w:val="0"/>
              <w:suppressLineNumbers w:val="0"/>
              <w:wordWrap w:val="0"/>
              <w:adjustRightInd w:val="0"/>
              <w:snapToGrid w:val="0"/>
              <w:spacing w:before="0" w:beforeAutospacing="0" w:after="0" w:afterAutospacing="0" w:line="500" w:lineRule="atLeast"/>
              <w:ind w:left="0" w:right="0"/>
              <w:jc w:val="left"/>
              <w:rPr>
                <w:rFonts w:hint="default"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请各潜在供应商及时办理CA锁和学习政府采购云平台线上投标相关知识。请在政府采购云平台登录后，进行下载招标文件。请各供应商获取招标文件后及时关注云平台答疑文件获取栏目。具体相关事宜见政府采购云平台。本项目采用资格后审，请供应商仔细阅读招标文件和各项要求，制作文件及相关资料过程中，若因供应商资格条件不符、提供资料不全等原因导致投标文件予以退还，责任自负。</w:t>
            </w:r>
          </w:p>
        </w:tc>
      </w:tr>
    </w:tbl>
    <w:p w14:paraId="753D0E82">
      <w:pPr>
        <w:pStyle w:val="119"/>
        <w:widowControl w:val="0"/>
        <w:wordWrap w:val="0"/>
        <w:spacing w:before="0" w:beforeAutospacing="0" w:after="0" w:afterAutospacing="0" w:line="500" w:lineRule="atLeast"/>
        <w:jc w:val="both"/>
        <w:rPr>
          <w:b/>
          <w:bCs/>
          <w:color w:val="000000" w:themeColor="text1"/>
          <w:kern w:val="2"/>
          <w14:textFill>
            <w14:solidFill>
              <w14:schemeClr w14:val="tx1"/>
            </w14:solidFill>
          </w14:textFill>
        </w:rPr>
      </w:pPr>
      <w:r>
        <w:rPr>
          <w:rFonts w:hint="eastAsia"/>
          <w:b/>
          <w:bCs/>
          <w:color w:val="000000" w:themeColor="text1"/>
          <w:kern w:val="2"/>
          <w14:textFill>
            <w14:solidFill>
              <w14:schemeClr w14:val="tx1"/>
            </w14:solidFill>
          </w14:textFill>
        </w:rPr>
        <w:t>注：</w:t>
      </w:r>
    </w:p>
    <w:p w14:paraId="4F7048B1">
      <w:pPr>
        <w:pStyle w:val="119"/>
        <w:widowControl w:val="0"/>
        <w:wordWrap w:val="0"/>
        <w:spacing w:before="0" w:beforeAutospacing="0" w:after="0" w:afterAutospacing="0" w:line="500" w:lineRule="atLeast"/>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1、本表内容与招标文件其它内容不一致的，应当以本表内容为准。</w:t>
      </w:r>
    </w:p>
    <w:p w14:paraId="072C1668">
      <w:pPr>
        <w:pStyle w:val="119"/>
        <w:widowControl w:val="0"/>
        <w:wordWrap w:val="0"/>
        <w:spacing w:before="0" w:beforeAutospacing="0" w:after="0" w:afterAutospacing="0" w:line="500" w:lineRule="atLeast"/>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2、本表中“</w:t>
      </w:r>
      <w:r>
        <w:rPr>
          <w:rFonts w:hint="eastAsia"/>
          <w:color w:val="000000" w:themeColor="text1"/>
          <w:kern w:val="2"/>
          <w14:textFill>
            <w14:solidFill>
              <w14:schemeClr w14:val="tx1"/>
            </w14:solidFill>
          </w14:textFill>
        </w:rPr>
        <w:fldChar w:fldCharType="begin"/>
      </w:r>
      <w:r>
        <w:rPr>
          <w:rFonts w:hint="eastAsia"/>
          <w:color w:val="000000" w:themeColor="text1"/>
          <w:kern w:val="2"/>
          <w14:textFill>
            <w14:solidFill>
              <w14:schemeClr w14:val="tx1"/>
            </w14:solidFill>
          </w14:textFill>
        </w:rPr>
        <w:instrText xml:space="preserve"> eq \o\ac(</w:instrText>
      </w:r>
      <w:r>
        <w:rPr>
          <w:rFonts w:hint="eastAsia"/>
          <w:color w:val="000000" w:themeColor="text1"/>
          <w:kern w:val="2"/>
          <w:position w:val="-4"/>
          <w:sz w:val="36"/>
          <w14:textFill>
            <w14:solidFill>
              <w14:schemeClr w14:val="tx1"/>
            </w14:solidFill>
          </w14:textFill>
        </w:rPr>
        <w:instrText xml:space="preserve">□,</w:instrText>
      </w:r>
      <w:r>
        <w:rPr>
          <w:rFonts w:hint="eastAsia"/>
          <w:color w:val="000000" w:themeColor="text1"/>
          <w:kern w:val="2"/>
          <w:sz w:val="25"/>
          <w14:textFill>
            <w14:solidFill>
              <w14:schemeClr w14:val="tx1"/>
            </w14:solidFill>
          </w14:textFill>
        </w:rPr>
        <w:instrText xml:space="preserve">√</w:instrText>
      </w:r>
      <w:r>
        <w:rPr>
          <w:rFonts w:hint="eastAsia"/>
          <w:color w:val="000000" w:themeColor="text1"/>
          <w:kern w:val="2"/>
          <w14:textFill>
            <w14:solidFill>
              <w14:schemeClr w14:val="tx1"/>
            </w14:solidFill>
          </w14:textFill>
        </w:rPr>
        <w:instrText xml:space="preserve">)</w:instrText>
      </w:r>
      <w:r>
        <w:rPr>
          <w:rFonts w:hint="eastAsia"/>
          <w:color w:val="000000" w:themeColor="text1"/>
          <w:kern w:val="2"/>
          <w14:textFill>
            <w14:solidFill>
              <w14:schemeClr w14:val="tx1"/>
            </w14:solidFill>
          </w14:textFill>
        </w:rPr>
        <w:fldChar w:fldCharType="end"/>
      </w:r>
      <w:r>
        <w:rPr>
          <w:rFonts w:hint="eastAsia"/>
          <w:color w:val="000000" w:themeColor="text1"/>
          <w:kern w:val="2"/>
          <w14:textFill>
            <w14:solidFill>
              <w14:schemeClr w14:val="tx1"/>
            </w14:solidFill>
          </w14:textFill>
        </w:rPr>
        <w:t>或</w:t>
      </w:r>
      <w:r>
        <w:rPr>
          <w:rFonts w:hint="eastAsia"/>
          <w:color w:val="000000" w:themeColor="text1"/>
          <w14:textFill>
            <w14:solidFill>
              <w14:schemeClr w14:val="tx1"/>
            </w14:solidFill>
          </w14:textFill>
        </w:rPr>
        <w:sym w:font="Wingdings 2" w:char="0052"/>
      </w:r>
      <w:r>
        <w:rPr>
          <w:rFonts w:hint="eastAsia"/>
          <w:color w:val="000000" w:themeColor="text1"/>
          <w:kern w:val="2"/>
          <w14:textFill>
            <w14:solidFill>
              <w14:schemeClr w14:val="tx1"/>
            </w14:solidFill>
          </w14:textFill>
        </w:rPr>
        <w:t>”标示选择使用该项</w:t>
      </w:r>
      <w:bookmarkStart w:id="22" w:name="_Toc1621"/>
      <w:bookmarkStart w:id="23" w:name="_Toc20759"/>
    </w:p>
    <w:p w14:paraId="4E94BC5B">
      <w:pPr>
        <w:pStyle w:val="119"/>
        <w:widowControl w:val="0"/>
        <w:wordWrap w:val="0"/>
        <w:spacing w:before="0" w:beforeAutospacing="0" w:after="0" w:afterAutospacing="0" w:line="500" w:lineRule="atLeast"/>
        <w:jc w:val="both"/>
        <w:rPr>
          <w:b/>
          <w:color w:val="000000" w:themeColor="text1"/>
          <w:sz w:val="32"/>
          <w:szCs w:val="28"/>
          <w14:textFill>
            <w14:solidFill>
              <w14:schemeClr w14:val="tx1"/>
            </w14:solidFill>
          </w14:textFill>
        </w:rPr>
      </w:pPr>
    </w:p>
    <w:p w14:paraId="262E6485">
      <w:pPr>
        <w:pStyle w:val="119"/>
        <w:widowControl w:val="0"/>
        <w:wordWrap w:val="0"/>
        <w:spacing w:before="0" w:beforeAutospacing="0" w:after="0" w:afterAutospacing="0" w:line="500" w:lineRule="atLeast"/>
        <w:jc w:val="both"/>
        <w:rPr>
          <w:b/>
          <w:color w:val="000000" w:themeColor="text1"/>
          <w:sz w:val="32"/>
          <w:szCs w:val="28"/>
          <w14:textFill>
            <w14:solidFill>
              <w14:schemeClr w14:val="tx1"/>
            </w14:solidFill>
          </w14:textFill>
        </w:rPr>
      </w:pPr>
    </w:p>
    <w:p w14:paraId="405D51F1">
      <w:pPr>
        <w:pStyle w:val="119"/>
        <w:widowControl w:val="0"/>
        <w:spacing w:before="0" w:beforeAutospacing="0" w:after="0" w:afterAutospacing="0" w:line="500" w:lineRule="atLeast"/>
        <w:jc w:val="center"/>
        <w:rPr>
          <w:b/>
          <w:color w:val="000000" w:themeColor="text1"/>
          <w:sz w:val="32"/>
          <w:szCs w:val="28"/>
          <w14:textFill>
            <w14:solidFill>
              <w14:schemeClr w14:val="tx1"/>
            </w14:solidFill>
          </w14:textFill>
        </w:rPr>
      </w:pPr>
      <w:r>
        <w:rPr>
          <w:rFonts w:hint="eastAsia"/>
          <w:b/>
          <w:color w:val="000000" w:themeColor="text1"/>
          <w:sz w:val="32"/>
          <w:szCs w:val="28"/>
          <w14:textFill>
            <w14:solidFill>
              <w14:schemeClr w14:val="tx1"/>
            </w14:solidFill>
          </w14:textFill>
        </w:rPr>
        <w:t>一、 说明</w:t>
      </w:r>
      <w:bookmarkEnd w:id="22"/>
      <w:bookmarkEnd w:id="23"/>
    </w:p>
    <w:p w14:paraId="2057A0D5">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1.1适用范围</w:t>
      </w:r>
    </w:p>
    <w:p w14:paraId="6B2410BE">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1.1.1本磋商文件仅适用于本磋商公告中所述项目货物及服务的采购。</w:t>
      </w:r>
    </w:p>
    <w:p w14:paraId="3F459382">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1.2定义</w:t>
      </w:r>
    </w:p>
    <w:p w14:paraId="277EEF5C">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1.2.1“采购人”是指：详见供应商须知前附表。</w:t>
      </w:r>
    </w:p>
    <w:p w14:paraId="0A89455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1.2.2“采购代理机构”是指：详见供应商须知前附表。</w:t>
      </w:r>
    </w:p>
    <w:p w14:paraId="081844C1">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1.2.3“供应商”是指：响应磋商文件要求并且符合磋商文件规定资格条件和参加竞争性磋商的法人、其他组织或者自然人。</w:t>
      </w:r>
    </w:p>
    <w:p w14:paraId="7D87117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1.2.4“电子响应文件”是指：编制加密的响应文件。</w:t>
      </w:r>
    </w:p>
    <w:p w14:paraId="000D333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1.2.5“成交供应商”是指: 是指经磋商小组评审，授予合同的供应商。</w:t>
      </w:r>
    </w:p>
    <w:p w14:paraId="23B261ED">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1.2.6采购人和采购代理机构统称为招标采购单位。</w:t>
      </w:r>
    </w:p>
    <w:p w14:paraId="6D24628A">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1.3 货物和服务</w:t>
      </w:r>
    </w:p>
    <w:p w14:paraId="6090C9F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宋体" w:hAnsi="宋体" w:cs="宋体"/>
          <w:snapToGrid w:val="0"/>
          <w:color w:val="000000" w:themeColor="text1"/>
          <w:kern w:val="0"/>
          <w:sz w:val="24"/>
          <w:szCs w:val="24"/>
          <w14:textFill>
            <w14:solidFill>
              <w14:schemeClr w14:val="tx1"/>
            </w14:solidFill>
          </w14:textFill>
        </w:rPr>
        <w:t>提供的货物必须是其合法生产的符合国家有关标准要求的货物，并能够按照合同规定的品牌、产地、质量、价格和有效期等履约。</w:t>
      </w:r>
    </w:p>
    <w:p w14:paraId="32C8EE65">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1.3.2“服务”是指：除货物和工程以外的其他政府采购对象。包括：政府自身需要的服务和政府向社会公众提供的公共服务。</w:t>
      </w:r>
    </w:p>
    <w:p w14:paraId="3152C405">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1.4 磋商费用</w:t>
      </w:r>
    </w:p>
    <w:p w14:paraId="60EF7469">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1.4.1供应商应承担所有与准备和参加竞争性磋商有关的费用。不论磋商的结果如何，采购单位均无义务和责任承担这些费用。</w:t>
      </w:r>
    </w:p>
    <w:p w14:paraId="5696AE91">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24" w:name="_Toc256000003"/>
      <w:bookmarkStart w:id="25" w:name="_Toc446599311"/>
      <w:bookmarkStart w:id="26" w:name="_Toc293738992"/>
      <w:bookmarkStart w:id="27" w:name="_Toc18317"/>
      <w:bookmarkStart w:id="28" w:name="_Toc293736011"/>
      <w:bookmarkStart w:id="29" w:name="_Toc293736054"/>
      <w:bookmarkStart w:id="30" w:name="_Toc3092"/>
      <w:r>
        <w:rPr>
          <w:rFonts w:hint="eastAsia" w:ascii="宋体" w:hAnsi="宋体" w:cs="宋体"/>
          <w:b/>
          <w:color w:val="000000" w:themeColor="text1"/>
          <w:sz w:val="24"/>
          <w:szCs w:val="24"/>
          <w14:textFill>
            <w14:solidFill>
              <w14:schemeClr w14:val="tx1"/>
            </w14:solidFill>
          </w14:textFill>
        </w:rPr>
        <w:t>二、磋商文件</w:t>
      </w:r>
      <w:bookmarkEnd w:id="24"/>
      <w:bookmarkEnd w:id="25"/>
      <w:bookmarkEnd w:id="26"/>
      <w:bookmarkEnd w:id="27"/>
      <w:bookmarkEnd w:id="28"/>
      <w:bookmarkEnd w:id="29"/>
      <w:bookmarkEnd w:id="30"/>
    </w:p>
    <w:p w14:paraId="1E6D5815">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2.1 磋商文件的构成</w:t>
      </w:r>
    </w:p>
    <w:p w14:paraId="43F36EF3">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2.1.1磋商文件由下列文件以及在采购过程中发出的修正和补充文件组成：</w:t>
      </w:r>
    </w:p>
    <w:p w14:paraId="0FD8E095">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(1)磋商公告；</w:t>
      </w:r>
    </w:p>
    <w:p w14:paraId="5475ABF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(2)供应商须知；</w:t>
      </w:r>
    </w:p>
    <w:p w14:paraId="48088639">
      <w:pPr>
        <w:pStyle w:val="104"/>
        <w:tabs>
          <w:tab w:val="left" w:pos="5840"/>
        </w:tabs>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(3)采购项目服务要求；</w:t>
      </w:r>
      <w:r>
        <w:rPr>
          <w:rFonts w:hint="eastAsia" w:ascii="宋体" w:hAnsi="宋体" w:cs="宋体"/>
          <w:color w:val="000000" w:themeColor="text1"/>
          <w:sz w:val="24"/>
          <w:szCs w:val="24"/>
          <w14:textFill>
            <w14:solidFill>
              <w14:schemeClr w14:val="tx1"/>
            </w14:solidFill>
          </w14:textFill>
        </w:rPr>
        <w:tab/>
      </w:r>
    </w:p>
    <w:p w14:paraId="678A3728">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(4)评审方法、步骤、标准；</w:t>
      </w:r>
    </w:p>
    <w:p w14:paraId="74F28C14">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(5)合同格式及合同条款；</w:t>
      </w:r>
    </w:p>
    <w:p w14:paraId="5B78D229">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(6)响应文件格式；</w:t>
      </w:r>
    </w:p>
    <w:p w14:paraId="31A0897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(7)在磋商过程中由采购单位发出的澄清和补充文件等。</w:t>
      </w:r>
    </w:p>
    <w:p w14:paraId="62006DF9">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2DF46461">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2.2. 磋商文件的澄清</w:t>
      </w:r>
    </w:p>
    <w:p w14:paraId="2B30F81E">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供应商应仔细阅读和检查磋商文件的全部内容。供应商若对磋商文件有任何疑问，均应在响应文件递交截止时间5日前，按磋商公告中的联系地址以书面形式送达采购代理机构，采购代理机构将以书面形式予以答复。答复中包括原提出的问题，但不包括问题的来源。</w:t>
      </w:r>
    </w:p>
    <w:p w14:paraId="601B4C47">
      <w:pPr>
        <w:pStyle w:val="104"/>
        <w:wordWrap w:val="0"/>
        <w:spacing w:line="500" w:lineRule="atLeast"/>
        <w:ind w:firstLine="460"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供应商在本项目采购公告期限届满之日起5个工作日内未对磋商文件提出异议的，采购单位将视其为同意。在规定的时间后就磋商文件内容提出的质疑将不予受理。</w:t>
      </w:r>
    </w:p>
    <w:p w14:paraId="1E3AF861">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2.3. 磋商文件的修改</w:t>
      </w:r>
    </w:p>
    <w:p w14:paraId="74BCA8EA">
      <w:pPr>
        <w:pStyle w:val="104"/>
        <w:wordWrap w:val="0"/>
        <w:spacing w:line="500" w:lineRule="atLeast"/>
        <w:ind w:firstLine="460" w:firstLineChars="202"/>
        <w:jc w:val="left"/>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2.3.1采购代理机构可以对已发出的磋商文件进行必要的澄清或者修改。</w:t>
      </w:r>
      <w:r>
        <w:rPr>
          <w:rFonts w:hint="eastAsia" w:ascii="宋体" w:hAnsi="宋体" w:cs="宋体"/>
          <w:color w:val="000000" w:themeColor="text1"/>
          <w:sz w:val="24"/>
          <w:szCs w:val="24"/>
          <w14:textFill>
            <w14:solidFill>
              <w14:schemeClr w14:val="tx1"/>
            </w14:solidFill>
          </w14:textFill>
        </w:rPr>
        <w:t xml:space="preserve">澄清或者修改的内容可能影响响应文件编制的，采购单位将在响应文件递交截止时间五日前，以书面通知已领取磋商文件的潜在供应商。 </w:t>
      </w:r>
    </w:p>
    <w:p w14:paraId="38243247">
      <w:pPr>
        <w:pStyle w:val="104"/>
        <w:wordWrap w:val="0"/>
        <w:spacing w:line="500" w:lineRule="atLeast"/>
        <w:ind w:firstLine="460"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2.3.2澄清或者修改的内容是磋商文件的组成部分</w:t>
      </w:r>
      <w:r>
        <w:rPr>
          <w:rFonts w:hint="eastAsia" w:ascii="宋体" w:hAnsi="宋体" w:cs="宋体"/>
          <w:color w:val="000000" w:themeColor="text1"/>
          <w:sz w:val="24"/>
          <w:szCs w:val="24"/>
          <w14:textFill>
            <w14:solidFill>
              <w14:schemeClr w14:val="tx1"/>
            </w14:solidFill>
          </w14:textFill>
        </w:rPr>
        <w:t>，对供应商具有约束力。</w:t>
      </w:r>
    </w:p>
    <w:p w14:paraId="02E9E7CA">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2.3.3为使供应商有充足的时间对磋商文件的修改部分进行研究，</w:t>
      </w:r>
      <w:r>
        <w:rPr>
          <w:rFonts w:hint="eastAsia" w:ascii="宋体" w:hAnsi="宋体" w:cs="宋体"/>
          <w:color w:val="000000" w:themeColor="text1"/>
          <w:spacing w:val="-6"/>
          <w:sz w:val="24"/>
          <w:szCs w:val="24"/>
          <w14:textFill>
            <w14:solidFill>
              <w14:schemeClr w14:val="tx1"/>
            </w14:solidFill>
          </w14:textFill>
        </w:rPr>
        <w:t>采购代理机构</w:t>
      </w:r>
      <w:r>
        <w:rPr>
          <w:rFonts w:hint="eastAsia" w:ascii="宋体" w:hAnsi="宋体" w:cs="宋体"/>
          <w:color w:val="000000" w:themeColor="text1"/>
          <w:sz w:val="24"/>
          <w:szCs w:val="24"/>
          <w14:textFill>
            <w14:solidFill>
              <w14:schemeClr w14:val="tx1"/>
            </w14:solidFill>
          </w14:textFill>
        </w:rPr>
        <w:t>可适当推迟响应文件递交截止时间，并以书面通知所有登记备案并领取了磋商文件的潜在供应商。</w:t>
      </w:r>
    </w:p>
    <w:p w14:paraId="0560729C">
      <w:pPr>
        <w:pStyle w:val="104"/>
        <w:wordWrap w:val="0"/>
        <w:spacing w:line="500" w:lineRule="atLeast"/>
        <w:ind w:firstLine="460" w:firstLineChars="202"/>
        <w:jc w:val="left"/>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2.3.4因供应商原因未及时获知澄清、修改或补充内容而导致的任何后果将由供应商自行承担。</w:t>
      </w:r>
    </w:p>
    <w:p w14:paraId="6E205D94">
      <w:pPr>
        <w:pStyle w:val="111"/>
        <w:wordWrap w:val="0"/>
        <w:spacing w:before="0" w:after="0" w:line="500" w:lineRule="atLeast"/>
        <w:ind w:left="0" w:leftChars="0"/>
        <w:rPr>
          <w:rFonts w:cs="宋体"/>
          <w:color w:val="000000" w:themeColor="text1"/>
          <w:sz w:val="24"/>
          <w:szCs w:val="24"/>
          <w14:textFill>
            <w14:solidFill>
              <w14:schemeClr w14:val="tx1"/>
            </w14:solidFill>
          </w14:textFill>
        </w:rPr>
      </w:pPr>
      <w:bookmarkStart w:id="31" w:name="_Toc256000005"/>
      <w:bookmarkStart w:id="32" w:name="_Toc256000004"/>
      <w:bookmarkStart w:id="33" w:name="_Toc293738994"/>
      <w:bookmarkStart w:id="34" w:name="_Toc446599313"/>
      <w:bookmarkStart w:id="35" w:name="_Toc293736013"/>
      <w:bookmarkStart w:id="36" w:name="_Toc293736056"/>
      <w:r>
        <w:rPr>
          <w:rFonts w:hint="eastAsia" w:cs="宋体"/>
          <w:color w:val="000000" w:themeColor="text1"/>
          <w:sz w:val="24"/>
          <w:szCs w:val="24"/>
          <w14:textFill>
            <w14:solidFill>
              <w14:schemeClr w14:val="tx1"/>
            </w14:solidFill>
          </w14:textFill>
        </w:rPr>
        <w:t>三、响应文件的编制和数量</w:t>
      </w:r>
      <w:bookmarkEnd w:id="31"/>
      <w:bookmarkEnd w:id="32"/>
    </w:p>
    <w:p w14:paraId="0F596F58">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3.1．响应文件的语言</w:t>
      </w:r>
    </w:p>
    <w:p w14:paraId="4BBC9DC0">
      <w:pPr>
        <w:pStyle w:val="129"/>
        <w:wordWrap w:val="0"/>
        <w:spacing w:line="500" w:lineRule="atLeast"/>
        <w:ind w:firstLine="460" w:firstLineChars="202"/>
        <w:jc w:val="left"/>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2B79B9E0">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3.2响应文件的构成</w:t>
      </w:r>
    </w:p>
    <w:p w14:paraId="33DDBA75">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3.2.1供应商编制的响应文件应包括但不少于下列内容：</w:t>
      </w:r>
    </w:p>
    <w:p w14:paraId="0BC6BC35">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pacing w:val="-6"/>
          <w:sz w:val="24"/>
          <w:szCs w:val="24"/>
          <w14:textFill>
            <w14:solidFill>
              <w14:schemeClr w14:val="tx1"/>
            </w14:solidFill>
          </w14:textFill>
        </w:rPr>
        <w:t>商务</w:t>
      </w:r>
      <w:r>
        <w:rPr>
          <w:rFonts w:hint="eastAsia" w:ascii="宋体" w:hAnsi="宋体" w:cs="宋体"/>
          <w:color w:val="000000" w:themeColor="text1"/>
          <w:sz w:val="24"/>
          <w:szCs w:val="24"/>
          <w14:textFill>
            <w14:solidFill>
              <w14:schemeClr w14:val="tx1"/>
            </w14:solidFill>
          </w14:textFill>
        </w:rPr>
        <w:t>文件内容（详见第六章商务文件组成）</w:t>
      </w:r>
    </w:p>
    <w:p w14:paraId="5CFE8D8B">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（2)技术文件内容（详见第六章技术文件组成）</w:t>
      </w:r>
    </w:p>
    <w:p w14:paraId="3594882B">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3.3响应文件编制</w:t>
      </w:r>
    </w:p>
    <w:p w14:paraId="4011D746">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3.3.1</w:t>
      </w:r>
      <w:r>
        <w:rPr>
          <w:rFonts w:hint="eastAsia" w:ascii="宋体" w:hAnsi="宋体" w:cs="宋体"/>
          <w:color w:val="000000" w:themeColor="text1"/>
          <w:spacing w:val="-6"/>
          <w:sz w:val="24"/>
          <w:szCs w:val="24"/>
          <w14:textFill>
            <w14:solidFill>
              <w14:schemeClr w14:val="tx1"/>
            </w14:solidFill>
          </w14:textFill>
        </w:rPr>
        <w:t>电子</w:t>
      </w:r>
      <w:r>
        <w:rPr>
          <w:rFonts w:hint="eastAsia" w:ascii="宋体" w:hAnsi="宋体" w:cs="宋体"/>
          <w:color w:val="000000" w:themeColor="text1"/>
          <w:kern w:val="0"/>
          <w:sz w:val="24"/>
          <w:szCs w:val="24"/>
          <w14:textFill>
            <w14:solidFill>
              <w14:schemeClr w14:val="tx1"/>
            </w14:solidFill>
          </w14:textFill>
        </w:rPr>
        <w:t>响应文件制作时，应按照磋商文件中明确的响应文件目录和投标</w:t>
      </w:r>
      <w:r>
        <w:rPr>
          <w:rFonts w:hint="eastAsia" w:ascii="宋体" w:hAnsi="宋体" w:cs="宋体"/>
          <w:color w:val="000000" w:themeColor="text1"/>
          <w:sz w:val="24"/>
          <w:szCs w:val="24"/>
          <w14:textFill>
            <w14:solidFill>
              <w14:schemeClr w14:val="tx1"/>
            </w14:solidFill>
          </w14:textFill>
        </w:rPr>
        <w:t>技术规格、参数及相关要求</w:t>
      </w:r>
      <w:r>
        <w:rPr>
          <w:rFonts w:hint="eastAsia" w:ascii="宋体" w:hAnsi="宋体" w:cs="宋体"/>
          <w:color w:val="000000" w:themeColor="text1"/>
          <w:kern w:val="0"/>
          <w:sz w:val="24"/>
          <w:szCs w:val="24"/>
          <w14:textFill>
            <w14:solidFill>
              <w14:schemeClr w14:val="tx1"/>
            </w14:solidFill>
          </w14:textFill>
        </w:rPr>
        <w:t>格式进行编制，保证目录清晰、内容完整。</w:t>
      </w:r>
    </w:p>
    <w:p w14:paraId="21E1D5C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3.3.2供应商应按照供应商须知前附表要求的份数编制响应文件。</w:t>
      </w:r>
    </w:p>
    <w:p w14:paraId="57B5AE4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3.3.3以网上</w:t>
      </w:r>
      <w:r>
        <w:rPr>
          <w:rFonts w:hint="eastAsia" w:ascii="宋体" w:hAnsi="宋体" w:cs="宋体"/>
          <w:color w:val="000000" w:themeColor="text1"/>
          <w:spacing w:val="-6"/>
          <w:sz w:val="24"/>
          <w:szCs w:val="24"/>
          <w14:textFill>
            <w14:solidFill>
              <w14:schemeClr w14:val="tx1"/>
            </w14:solidFill>
          </w14:textFill>
        </w:rPr>
        <w:t>提交</w:t>
      </w:r>
      <w:r>
        <w:rPr>
          <w:rFonts w:hint="eastAsia" w:ascii="宋体" w:hAnsi="宋体" w:cs="宋体"/>
          <w:color w:val="000000" w:themeColor="text1"/>
          <w:kern w:val="0"/>
          <w:sz w:val="24"/>
          <w:szCs w:val="24"/>
          <w14:textFill>
            <w14:solidFill>
              <w14:schemeClr w14:val="tx1"/>
            </w14:solidFill>
          </w14:textFill>
        </w:rPr>
        <w:t xml:space="preserve">的（加密）电子响应文件为准。 </w:t>
      </w:r>
    </w:p>
    <w:p w14:paraId="26F7A691">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3.3.4供应商因自身原因导致电子响应文件无法上传至新疆政府采购网的，该响应文件视为无效文件。 </w:t>
      </w:r>
    </w:p>
    <w:p w14:paraId="183DF3F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3.3.5电子响应文件具有法律效力,与其他形式的响应文件在内容和格式上等同，若响应文件与磋商文件要求不一致，其内容影响成交结果时，责任由供应商自行承担。 </w:t>
      </w:r>
    </w:p>
    <w:p w14:paraId="74084BE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3.3.6为了保证</w:t>
      </w:r>
      <w:r>
        <w:rPr>
          <w:rFonts w:hint="eastAsia" w:ascii="宋体" w:hAnsi="宋体" w:cs="宋体"/>
          <w:color w:val="000000" w:themeColor="text1"/>
          <w:spacing w:val="-6"/>
          <w:sz w:val="24"/>
          <w:szCs w:val="24"/>
          <w14:textFill>
            <w14:solidFill>
              <w14:schemeClr w14:val="tx1"/>
            </w14:solidFill>
          </w14:textFill>
        </w:rPr>
        <w:t>电子</w:t>
      </w:r>
      <w:r>
        <w:rPr>
          <w:rFonts w:hint="eastAsia" w:ascii="宋体" w:hAnsi="宋体" w:cs="宋体"/>
          <w:color w:val="000000" w:themeColor="text1"/>
          <w:kern w:val="0"/>
          <w:sz w:val="24"/>
          <w:szCs w:val="24"/>
          <w14:textFill>
            <w14:solidFill>
              <w14:schemeClr w14:val="tx1"/>
            </w14:solidFill>
          </w14:textFill>
        </w:rPr>
        <w:t>标书的合法性、安全性和完整性，电子响应文件转换完成后，应在规定区域加盖单位和法定代表人CA印章。电子响应文件若无 CA电子签章，则视为无效文件。</w:t>
      </w:r>
    </w:p>
    <w:p w14:paraId="1D4B40E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3.3.7供应商应完整地</w:t>
      </w:r>
      <w:r>
        <w:rPr>
          <w:rFonts w:hint="eastAsia" w:ascii="宋体" w:hAnsi="宋体" w:cs="宋体"/>
          <w:color w:val="000000" w:themeColor="text1"/>
          <w:spacing w:val="-6"/>
          <w:sz w:val="24"/>
          <w:szCs w:val="24"/>
          <w14:textFill>
            <w14:solidFill>
              <w14:schemeClr w14:val="tx1"/>
            </w14:solidFill>
          </w14:textFill>
        </w:rPr>
        <w:t>填写</w:t>
      </w:r>
      <w:r>
        <w:rPr>
          <w:rFonts w:hint="eastAsia" w:ascii="宋体" w:hAnsi="宋体" w:cs="宋体"/>
          <w:color w:val="000000" w:themeColor="text1"/>
          <w:kern w:val="0"/>
          <w:sz w:val="24"/>
          <w:szCs w:val="24"/>
          <w14:textFill>
            <w14:solidFill>
              <w14:schemeClr w14:val="tx1"/>
            </w14:solidFill>
          </w14:textFill>
        </w:rPr>
        <w:t xml:space="preserve">磋商文件中提供的《竞争性磋商函》、《竞争性磋商报价一览表》、《竞争性磋商报价明细表》等磋商文件中规定的所有内容。 </w:t>
      </w:r>
    </w:p>
    <w:p w14:paraId="0A19A91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3.3.8供应商必须保证响应文件所提供的全部资料真实可靠，并接受采购单位对其中任何资料进一步核实的要求。 </w:t>
      </w:r>
    </w:p>
    <w:p w14:paraId="21CE216A">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3.4. 磋商报价要求</w:t>
      </w:r>
    </w:p>
    <w:p w14:paraId="6B08EBC3">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3.4.1供应商所提供的货物和服务均以人民币报价。</w:t>
      </w:r>
    </w:p>
    <w:p w14:paraId="79E2AA25">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3.4.2供应商应按照“第三章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14F1116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3.4.3《竞争性磋商报价明细表》填写时应响应下列要求：</w:t>
      </w:r>
    </w:p>
    <w:p w14:paraId="17448605">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（1）对于报价免费的项目应标明“免费”；</w:t>
      </w:r>
    </w:p>
    <w:p w14:paraId="426F06C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（2）所有根据合同或其它原因应由供应商支付的税款和其它应交纳的费用都要包括在供应商提交的磋商总价中；</w:t>
      </w:r>
    </w:p>
    <w:p w14:paraId="6DA6D98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（3）应包含货物运至最终目的地的运输、保险和伴随货物服务的有关费用。</w:t>
      </w:r>
    </w:p>
    <w:p w14:paraId="2BC248E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3.4.5每一种规格的货物、服务只允许有一个报价，否则将被视为无效投标。</w:t>
      </w:r>
    </w:p>
    <w:p w14:paraId="1AA60AF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3.4.6供应商所报的总价在合同执行过程中是固定不变的，不得以任何理由予以变更。</w:t>
      </w:r>
    </w:p>
    <w:p w14:paraId="136A7A7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3.4.7供应商的最后磋商报价超过项目采购预算的为无效报价。</w:t>
      </w:r>
    </w:p>
    <w:p w14:paraId="09ED2F28">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3.5备选方案（不允许）</w:t>
      </w:r>
    </w:p>
    <w:p w14:paraId="62956E25">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3.5.1供应商应按照供应商须知前附表要求编制磋商备选方案，否则将被视为无效响应文件。</w:t>
      </w:r>
    </w:p>
    <w:p w14:paraId="08464E8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3.6联合体投标（不接受联合体）</w:t>
      </w:r>
    </w:p>
    <w:p w14:paraId="3147C89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3.6.1两个以上供应商可以组成一个联合体，以一个供应商的身份共同参与磋商。</w:t>
      </w:r>
    </w:p>
    <w:p w14:paraId="7348CD8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2001CAA6">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3.6.3联合体各方之间必须签订联合磋商协议，明确约定联合体主体及各方承担的工作和相应的责任，其响应文件中必须提供联合磋商协议。</w:t>
      </w:r>
    </w:p>
    <w:p w14:paraId="5D27D4D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3.6.4以联合体形式参加政府采购活动的，联合体各方不得再单独参加或者与其他供应商另外组成联合体参加同一合同项下的政府采购活动。</w:t>
      </w:r>
    </w:p>
    <w:p w14:paraId="5D85876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3.6.5采取联合体形式投标的，其响应文件必须由联合体所有成员或其各自正式书面授权的代表签署（盖章），以便对所有成员作为整体及作为个体均具有法律约束力。</w:t>
      </w:r>
    </w:p>
    <w:p w14:paraId="39F37527">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3.6.6联合体成交的，联合体各方应当共同与采购人签订采购合同。</w:t>
      </w:r>
    </w:p>
    <w:p w14:paraId="286A8DC9">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3.6.7联合体中有同类资质的供应商按照联合体分工承担相同工作的，应当按照资质等级较低的供应商确定资质等级。</w:t>
      </w:r>
    </w:p>
    <w:p w14:paraId="49050D1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 供应商资格证明文件</w:t>
      </w:r>
    </w:p>
    <w:p w14:paraId="32E8556D">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3.7.1供应商应提交证明其有资格参加磋商和成交后有能力履行合同的文件，并作为其响应文件的一部分。</w:t>
      </w:r>
    </w:p>
    <w:p w14:paraId="19C9ECF3">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3.7.2资格证明文件必须真实可靠、不得伪造。</w:t>
      </w:r>
    </w:p>
    <w:p w14:paraId="6E40286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3.7.3供应商相关资格证明文件：</w:t>
      </w:r>
    </w:p>
    <w:p w14:paraId="7A0A1BF3">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（1）法人或者其他组织的营业执照等证明文件，自然人的身份证明；</w:t>
      </w:r>
    </w:p>
    <w:p w14:paraId="09307FB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（2）财务状况报告，依法缴纳税收和社会保障资金的相关材料；</w:t>
      </w:r>
    </w:p>
    <w:p w14:paraId="5AAA0D0C">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（3）具备履行合同所必需的设备和专业技术能力的证明材料；</w:t>
      </w:r>
    </w:p>
    <w:p w14:paraId="5707BBF9">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（4）参加政府采购活动前3年内在经营活动中没有重大违法记录的书面声明；</w:t>
      </w:r>
    </w:p>
    <w:p w14:paraId="66E94597">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（5）具备法律、行政法规规定的其他条件的证明材料；</w:t>
      </w:r>
    </w:p>
    <w:p w14:paraId="6BE5BB3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（6）采购项目有特殊要求的，供应商还应当提供其符合特殊要求的证明材料或者情况说明；</w:t>
      </w:r>
    </w:p>
    <w:p w14:paraId="556C484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（7）信用信息查询记录；</w:t>
      </w:r>
    </w:p>
    <w:p w14:paraId="65E0D5F7">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（8）磋商文件要求或供应商认为需提供的其它相关资格证明材料。</w:t>
      </w:r>
    </w:p>
    <w:p w14:paraId="75BCDBC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3.7.4 证明投标货物、服务的合格性和符合磋商文件规定的文件。</w:t>
      </w:r>
    </w:p>
    <w:p w14:paraId="18C92362">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采取资格预审方式项目的投标人在递交投标文件时，其资格条件与资格预审时发生变化的，提交变化后的资料。</w:t>
      </w:r>
    </w:p>
    <w:p w14:paraId="4C0E5401">
      <w:pPr>
        <w:pStyle w:val="82"/>
        <w:wordWrap w:val="0"/>
        <w:spacing w:line="500" w:lineRule="atLeast"/>
        <w:ind w:firstLine="484" w:firstLineChars="201"/>
        <w:contextualSpacing/>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3.8. 磋商保证金</w:t>
      </w:r>
    </w:p>
    <w:p w14:paraId="26356629">
      <w:pPr>
        <w:pStyle w:val="129"/>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3.8.1</w:t>
      </w:r>
      <w:r>
        <w:rPr>
          <w:rFonts w:hint="eastAsia" w:ascii="宋体" w:hAnsi="宋体" w:cs="宋体"/>
          <w:color w:val="000000" w:themeColor="text1"/>
          <w:kern w:val="0"/>
          <w:sz w:val="24"/>
          <w:szCs w:val="24"/>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应在响应文件截止时间之前，通过企业基本账户，将所规定数额的保证金以转账或电汇方式缴纳至该项目所</w:t>
      </w:r>
      <w:r>
        <w:rPr>
          <w:rFonts w:hint="eastAsia" w:ascii="宋体" w:hAnsi="宋体" w:cs="宋体"/>
          <w:color w:val="000000" w:themeColor="text1"/>
          <w:kern w:val="0"/>
          <w:sz w:val="24"/>
          <w:szCs w:val="24"/>
          <w14:textFill>
            <w14:solidFill>
              <w14:schemeClr w14:val="tx1"/>
            </w14:solidFill>
          </w14:textFill>
        </w:rPr>
        <w:t>对应的保证金收取账号内（不接受现金缴纳）。保证金缴纳时间以该项目所对应的保证金收取账号中显示的到账时间为准。</w:t>
      </w:r>
    </w:p>
    <w:p w14:paraId="36970FA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3.8.2对于未能按要求提交保证金的将视为未响应磋商文件的要求，其响应文件无效。</w:t>
      </w:r>
    </w:p>
    <w:p w14:paraId="0D163FE4">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AED223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3.8.4成交供应商的磋商保证金,在供应商与采购人签订合同，并将合同原件报采购代理机构后5个工作日内，按照保证金的来款渠道原路退还至供应商缴纳保证金的企业银行账户内。</w:t>
      </w:r>
    </w:p>
    <w:p w14:paraId="7B86521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3.8.5有下列情形之一的，保证金将被没收：</w:t>
      </w:r>
    </w:p>
    <w:p w14:paraId="6B63CCF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（1）供应商在响应文件中提供虚假资料的；</w:t>
      </w:r>
    </w:p>
    <w:p w14:paraId="1ABFE70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（2）除因不可抗力或磋商文件认可的情形以外，成交供应商不与采购人签订合同的；</w:t>
      </w:r>
    </w:p>
    <w:p w14:paraId="2B7FDF4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（3）供应商与采购人、其他供应商或者采购代理机构恶意串通的；</w:t>
      </w:r>
    </w:p>
    <w:p w14:paraId="47CC7F19">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（4）磋商文件规定的其他情形。</w:t>
      </w:r>
    </w:p>
    <w:p w14:paraId="1D04C00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3.8.6如开标时投标人对本单位投标保证金缴纳情况有疑义，投标人应在开标结束前向招标人提交书面申请核实保证金缴纳情况。由银行或保险公司核实后出具书面材料予以答复。</w:t>
      </w:r>
    </w:p>
    <w:p w14:paraId="726E9E3E">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3.8.7开标结束后，转账、电汇、网银形式缴纳的保证金由采购代理或采购人统一办理中标人和未中标人的保证金退还事宜。如本项目招标中遇质疑，投诉，复议等特殊情况，保证金退还时间按相关规定执行。</w:t>
      </w:r>
    </w:p>
    <w:p w14:paraId="4EB30B4B">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3.9. 磋商的有效期</w:t>
      </w:r>
    </w:p>
    <w:p w14:paraId="3E5A194F">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3.9.1磋商有效期详见供应商须知前附表。供应商响应文件中有效期不足的将被视为无效文件。</w:t>
      </w:r>
    </w:p>
    <w:p w14:paraId="1DA2DEA0">
      <w:pPr>
        <w:pStyle w:val="129"/>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3.9.2 有效期内供应商未经采购结果确认谈判达成一致不得改变其磋商最后报价及承诺的全部义务。</w:t>
      </w:r>
    </w:p>
    <w:p w14:paraId="42D2758A">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37" w:name="_Toc256000006"/>
      <w:r>
        <w:rPr>
          <w:rFonts w:hint="eastAsia" w:ascii="宋体" w:hAnsi="宋体" w:cs="宋体"/>
          <w:b/>
          <w:color w:val="000000" w:themeColor="text1"/>
          <w:sz w:val="24"/>
          <w:szCs w:val="24"/>
          <w14:textFill>
            <w14:solidFill>
              <w14:schemeClr w14:val="tx1"/>
            </w14:solidFill>
          </w14:textFill>
        </w:rPr>
        <w:t>四、响应文件的递交</w:t>
      </w:r>
      <w:bookmarkEnd w:id="33"/>
      <w:bookmarkEnd w:id="34"/>
      <w:bookmarkEnd w:id="35"/>
      <w:bookmarkEnd w:id="36"/>
      <w:bookmarkEnd w:id="37"/>
    </w:p>
    <w:p w14:paraId="1FB8357B">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 响应文件的密封和标记</w:t>
      </w:r>
    </w:p>
    <w:p w14:paraId="2558273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4.1.1响应文件的密封和标记。电子响应文件的内容通过数字证书进行加密并签章。未按要求加密和数字证书认证的响应文件，电子评标系统将无法接受,采购代理机构不予受理。</w:t>
      </w:r>
    </w:p>
    <w:p w14:paraId="3C0E2931">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4.1.2是否采用不见面开标方式详见投标人须知前附表，若本项目采用不见面开标，开标后2日内将纸质版投标文件（2份）及不加密电子版投标书3份（3个U盘）交于招标代理公司，纸质版投标文件内容须与电子版投标文件一致。</w:t>
      </w:r>
    </w:p>
    <w:p w14:paraId="6AADBE84">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4.2响应文件的递交</w:t>
      </w:r>
    </w:p>
    <w:p w14:paraId="4FD03099">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4.2.1供应商应在磋商文件规定的响应文件递交截止时间前将电子响应文件上传到</w:t>
      </w:r>
      <w:r>
        <w:rPr>
          <w:rFonts w:hint="eastAsia" w:ascii="宋体" w:hAnsi="宋体" w:cs="宋体"/>
          <w:color w:val="000000" w:themeColor="text1"/>
          <w:sz w:val="24"/>
          <w:szCs w:val="24"/>
          <w14:textFill>
            <w14:solidFill>
              <w14:schemeClr w14:val="tx1"/>
            </w14:solidFill>
          </w14:textFill>
        </w:rPr>
        <w:t>新疆政府采购网（http://www.ccgp-xinjiang.gov.cn）</w:t>
      </w:r>
      <w:r>
        <w:rPr>
          <w:rFonts w:hint="eastAsia" w:ascii="宋体" w:hAnsi="宋体" w:cs="宋体"/>
          <w:color w:val="000000" w:themeColor="text1"/>
          <w:kern w:val="0"/>
          <w:sz w:val="24"/>
          <w:szCs w:val="24"/>
          <w14:textFill>
            <w14:solidFill>
              <w14:schemeClr w14:val="tx1"/>
            </w14:solidFill>
          </w14:textFill>
        </w:rPr>
        <w:t>的指定栏目。未在响应文件递交截止时间前完成上传的电子响应文件视为逾期送达。逾期上传或未按规定方式上传的电子响应文件，采购代理机构不予受理。</w:t>
      </w:r>
    </w:p>
    <w:p w14:paraId="512D42B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4.2.2是否采用不见面开标详见供应商须知前附表，若项目采用不见面开标。只需将电子投标文件在投标截止时间前通过</w:t>
      </w:r>
      <w:r>
        <w:rPr>
          <w:rFonts w:hint="eastAsia" w:ascii="宋体" w:hAnsi="宋体" w:cs="宋体"/>
          <w:color w:val="000000" w:themeColor="text1"/>
          <w:sz w:val="24"/>
          <w:szCs w:val="24"/>
          <w14:textFill>
            <w14:solidFill>
              <w14:schemeClr w14:val="tx1"/>
            </w14:solidFill>
          </w14:textFill>
        </w:rPr>
        <w:t>新疆政府采购网（http://www.ccgp-xinjiang.gov.cn）</w:t>
      </w:r>
      <w:r>
        <w:rPr>
          <w:rFonts w:hint="eastAsia" w:ascii="宋体" w:hAnsi="宋体" w:cs="宋体"/>
          <w:color w:val="000000" w:themeColor="text1"/>
          <w:kern w:val="0"/>
          <w:sz w:val="24"/>
          <w:szCs w:val="24"/>
          <w14:textFill>
            <w14:solidFill>
              <w14:schemeClr w14:val="tx1"/>
            </w14:solidFill>
          </w14:textFill>
        </w:rPr>
        <w:t>加密上传完成。逾期上传的或者未上传到平台的投标文件，采购人不予受理。</w:t>
      </w:r>
    </w:p>
    <w:p w14:paraId="5329003D">
      <w:pPr>
        <w:pStyle w:val="104"/>
        <w:wordWrap w:val="0"/>
        <w:spacing w:line="500" w:lineRule="atLeast"/>
        <w:ind w:firstLine="484" w:firstLineChars="201"/>
        <w:contextualSpacing/>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4.3迟交的响应文件</w:t>
      </w:r>
    </w:p>
    <w:p w14:paraId="76EE4E28">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t>.1采购代理机构</w:t>
      </w:r>
      <w:r>
        <w:rPr>
          <w:rFonts w:hint="eastAsia" w:ascii="宋体" w:hAnsi="宋体" w:cs="宋体"/>
          <w:color w:val="000000" w:themeColor="text1"/>
          <w:kern w:val="0"/>
          <w:sz w:val="24"/>
          <w:szCs w:val="24"/>
          <w14:textFill>
            <w14:solidFill>
              <w14:schemeClr w14:val="tx1"/>
            </w14:solidFill>
          </w14:textFill>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cs="宋体"/>
          <w:color w:val="000000" w:themeColor="text1"/>
          <w:sz w:val="24"/>
          <w:szCs w:val="24"/>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不负任何责任。建议于开标前1个工作日完成响应文件的制作与上传。</w:t>
      </w:r>
    </w:p>
    <w:p w14:paraId="0CF09C32">
      <w:pPr>
        <w:pStyle w:val="104"/>
        <w:wordWrap w:val="0"/>
        <w:spacing w:line="500" w:lineRule="atLeast"/>
        <w:ind w:firstLine="484" w:firstLineChars="201"/>
        <w:contextualSpacing/>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4.4响应文件的修改和撤回</w:t>
      </w:r>
    </w:p>
    <w:p w14:paraId="66A731E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486DEA4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4.4.2供应商所提交的响应文件在评审结束后，无论中标与否都不退还。</w:t>
      </w:r>
    </w:p>
    <w:p w14:paraId="4B8EA48B">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38" w:name="_Toc293736057"/>
      <w:bookmarkStart w:id="39" w:name="_Toc293738995"/>
      <w:bookmarkStart w:id="40" w:name="_Toc446599314"/>
      <w:bookmarkStart w:id="41" w:name="_Toc293736014"/>
      <w:bookmarkStart w:id="42" w:name="_Toc4087"/>
      <w:bookmarkStart w:id="43" w:name="_Toc256000007"/>
      <w:bookmarkStart w:id="44" w:name="_Toc9220"/>
      <w:r>
        <w:rPr>
          <w:rFonts w:hint="eastAsia" w:ascii="宋体" w:hAnsi="宋体" w:cs="宋体"/>
          <w:b/>
          <w:color w:val="000000" w:themeColor="text1"/>
          <w:sz w:val="24"/>
          <w:szCs w:val="24"/>
          <w14:textFill>
            <w14:solidFill>
              <w14:schemeClr w14:val="tx1"/>
            </w14:solidFill>
          </w14:textFill>
        </w:rPr>
        <w:t>五、</w:t>
      </w:r>
      <w:bookmarkEnd w:id="38"/>
      <w:bookmarkEnd w:id="39"/>
      <w:bookmarkEnd w:id="40"/>
      <w:bookmarkEnd w:id="41"/>
      <w:r>
        <w:rPr>
          <w:rFonts w:hint="eastAsia" w:ascii="宋体" w:hAnsi="宋体" w:cs="宋体"/>
          <w:b/>
          <w:color w:val="000000" w:themeColor="text1"/>
          <w:sz w:val="24"/>
          <w:szCs w:val="24"/>
          <w14:textFill>
            <w14:solidFill>
              <w14:schemeClr w14:val="tx1"/>
            </w14:solidFill>
          </w14:textFill>
        </w:rPr>
        <w:t>竞争性磋商程序</w:t>
      </w:r>
      <w:bookmarkEnd w:id="42"/>
      <w:bookmarkEnd w:id="43"/>
      <w:bookmarkEnd w:id="44"/>
    </w:p>
    <w:p w14:paraId="1D5C2486">
      <w:pPr>
        <w:pStyle w:val="104"/>
        <w:widowControl/>
        <w:wordWrap w:val="0"/>
        <w:spacing w:line="500" w:lineRule="atLeast"/>
        <w:ind w:firstLine="482" w:firstLineChars="20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w:t>
      </w:r>
      <w:r>
        <w:rPr>
          <w:rFonts w:hint="eastAsia" w:ascii="宋体" w:hAnsi="宋体" w:cs="宋体"/>
          <w:b/>
          <w:color w:val="000000" w:themeColor="text1"/>
          <w:kern w:val="0"/>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1磋商小组的组成</w:t>
      </w:r>
    </w:p>
    <w:p w14:paraId="5995FF72">
      <w:pPr>
        <w:pStyle w:val="104"/>
        <w:wordWrap w:val="0"/>
        <w:spacing w:line="500" w:lineRule="atLeas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"file:///C:\\Users\\zww\\Documents\\WeChat%20Files\\wxid_6509915098812\\WordForm\\e944b4b1-01b6-4e42-b170-f783fcf7903a.doc" \l "_评标委员会"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4"/>
          <w:szCs w:val="24"/>
          <w14:textFill>
            <w14:solidFill>
              <w14:schemeClr w14:val="tx1"/>
            </w14:solidFill>
          </w14:textFill>
        </w:rPr>
        <w:t>供应商须知前附表</w:t>
      </w:r>
      <w:r>
        <w:rPr>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w:t>
      </w:r>
    </w:p>
    <w:p w14:paraId="27C003F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5.2磋商方法</w:t>
      </w:r>
    </w:p>
    <w:p w14:paraId="7A85CEE7">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5.2.1磋商小组将按照磋商文件确定的评审方法进行评审。磋商小组对响应文件的评审分为响应文件初审、澄清有关问题、比较与评价响应文件、推荐中标候选人名单。</w:t>
      </w:r>
    </w:p>
    <w:p w14:paraId="3632094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5.2.1项目评审方法详见磋商文件“第四章 评审方法。</w:t>
      </w:r>
    </w:p>
    <w:p w14:paraId="29E1AE72">
      <w:pPr>
        <w:pStyle w:val="104"/>
        <w:wordWrap w:val="0"/>
        <w:spacing w:line="500" w:lineRule="atLeast"/>
        <w:rPr>
          <w:rFonts w:ascii="宋体" w:hAnsi="宋体" w:cs="宋体"/>
          <w:b/>
          <w:color w:val="000000" w:themeColor="text1"/>
          <w:sz w:val="24"/>
          <w:szCs w:val="24"/>
          <w:highlight w:val="white"/>
          <w14:textFill>
            <w14:solidFill>
              <w14:schemeClr w14:val="tx1"/>
            </w14:solidFill>
          </w14:textFill>
        </w:rPr>
      </w:pPr>
      <w:r>
        <w:rPr>
          <w:rFonts w:hint="eastAsia" w:ascii="宋体" w:hAnsi="宋体" w:cs="宋体"/>
          <w:b/>
          <w:color w:val="000000" w:themeColor="text1"/>
          <w:sz w:val="24"/>
          <w:szCs w:val="24"/>
          <w:highlight w:val="white"/>
          <w14:textFill>
            <w14:solidFill>
              <w14:schemeClr w14:val="tx1"/>
            </w14:solidFill>
          </w14:textFill>
        </w:rPr>
        <w:t>A．采用见面开标方式</w:t>
      </w:r>
    </w:p>
    <w:p w14:paraId="08F7C62A">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5.3响应文件的初审</w:t>
      </w:r>
    </w:p>
    <w:p w14:paraId="2D07015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初审分为资格性检查和符合性检查。</w:t>
      </w:r>
    </w:p>
    <w:p w14:paraId="1E46E90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5.3.1资格性检查</w:t>
      </w:r>
    </w:p>
    <w:p w14:paraId="1F382441">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（1）磋商小组根据评审办法前附表规定的评审因素和评审标准，对供应商的响应文件进行资格评审。资格性检查不合格的供应商的响应文件作无效文件处理。</w:t>
      </w:r>
    </w:p>
    <w:p w14:paraId="4E562331">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（2）磋商小组在进行资格检查时，不得改变磋商文件中已载明的资格条件、标准和办法。资格性检查不合格的供应商的响应文件作无效文件处理。</w:t>
      </w:r>
    </w:p>
    <w:p w14:paraId="40140A6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（3）供应商在递交响应文件的同时，应逐项对照上述资格性检查要求提交相应的原件和资格证明文件供磋商小组核查，否则评委将不予采信。</w:t>
      </w:r>
    </w:p>
    <w:p w14:paraId="7B40FDFC">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（4）磋商小组在评审中必要时可按供应商提供的联系方式就有关问题进行查询核实，或要求供应商做出书面澄清，查询及澄清结果将作为审查的依据。</w:t>
      </w:r>
    </w:p>
    <w:p w14:paraId="757F1C89">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（5）通过全部资格性检查条件合格的供应商才能通过资格检查，其响应文件方可进入下一个检查阶段。</w:t>
      </w:r>
    </w:p>
    <w:p w14:paraId="07EE831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5.3.2符合性检查</w:t>
      </w:r>
    </w:p>
    <w:p w14:paraId="2881C230">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磋商小组根据评审办法前附表规定的评审因素和评审标准，对供应商的响应文件进行符合性检查。符合性检查不合格的供应商的响应文件作无效文件处理。</w:t>
      </w:r>
    </w:p>
    <w:p w14:paraId="27DB04EF">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5.4违法违规行为 </w:t>
      </w:r>
    </w:p>
    <w:p w14:paraId="198BCB2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5.4.1在评审过程中，磋商小组发现供应商有下列情形之一的，作无效文件处理：</w:t>
      </w:r>
    </w:p>
    <w:p w14:paraId="3881E569">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（1）属于同一集团、协会、商会等组织成员的供应商按照该组织要求协同投标；</w:t>
      </w:r>
    </w:p>
    <w:p w14:paraId="46C208BC">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（2）不同供应商的响应文件由同一单位或者个人编制；</w:t>
      </w:r>
    </w:p>
    <w:p w14:paraId="6846707F">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（3）不同供应商委托同一单位或者个人办理投标事宜；</w:t>
      </w:r>
    </w:p>
    <w:p w14:paraId="53D97EB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（4）不同供应商的响应文件载明的项目管理成员为同一人；</w:t>
      </w:r>
    </w:p>
    <w:p w14:paraId="71EEBBCC">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（5）不同供应商的响应文件异常一致或者投标报价呈规律性差异；</w:t>
      </w:r>
    </w:p>
    <w:p w14:paraId="0395C155">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（6）不同供应商的响应文件相互混装；</w:t>
      </w:r>
    </w:p>
    <w:p w14:paraId="0DD03C6B">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（7）不同供应商的投标保证金从同一单位或者个人的账户转出；</w:t>
      </w:r>
    </w:p>
    <w:p w14:paraId="16BBC77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（8）使用伪造、变造的行政许可证件；</w:t>
      </w:r>
    </w:p>
    <w:p w14:paraId="5D813347">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（9）提供虚假的财务状况或者业绩；</w:t>
      </w:r>
    </w:p>
    <w:p w14:paraId="0D46DA1E">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（10）提供虚假的项目负责人或者主要技术人员简历、劳动关系证明；</w:t>
      </w:r>
    </w:p>
    <w:p w14:paraId="0BF72A5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（11）提供虚假的信用状况；</w:t>
      </w:r>
    </w:p>
    <w:p w14:paraId="318CEBB6">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（12）其他弄虚作假的行为。</w:t>
      </w:r>
    </w:p>
    <w:p w14:paraId="34EBB0C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 磋商小组审查响应文件是否完整、有无计算上的错误等。</w:t>
      </w:r>
    </w:p>
    <w:p w14:paraId="02DCA088">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5.5.1 响应文件的修正及澄清</w:t>
      </w:r>
    </w:p>
    <w:p w14:paraId="1ED33B8D">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（1）磋商小组对确定为实质上响应磋商文件要求的响应文件进行校核，看其是否有计算或表达上的错误，算术错误将按以下方法更正：</w:t>
      </w:r>
    </w:p>
    <w:p w14:paraId="7253BA87">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响应文件中开标一览表（报价表）内容与响应文件中相应内容不一致的，以开标一览表（报价表）为准；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E6E6B82">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6C8C4A53">
      <w:pPr>
        <w:pStyle w:val="104"/>
        <w:wordWrap w:val="0"/>
        <w:spacing w:line="500" w:lineRule="atLeast"/>
        <w:ind w:firstLine="484" w:firstLineChars="202"/>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5.5.3实质上没有响应磋商文件要求的响应文件将被视为无效文件。供应商不得通过修正或撤销不合要求的偏离从而使其成为实质上响应的文件。</w:t>
      </w:r>
    </w:p>
    <w:p w14:paraId="7B440E09">
      <w:pPr>
        <w:pStyle w:val="104"/>
        <w:wordWrap w:val="0"/>
        <w:spacing w:line="500" w:lineRule="atLeast"/>
        <w:ind w:firstLine="482" w:firstLineChars="201"/>
        <w:contextualSpacing/>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857EEE7">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5.5.5供应商的澄清文件是其响应文件</w:t>
      </w:r>
      <w:r>
        <w:rPr>
          <w:rFonts w:hint="eastAsia" w:ascii="宋体" w:hAnsi="宋体" w:cs="宋体"/>
          <w:color w:val="000000" w:themeColor="text1"/>
          <w:sz w:val="24"/>
          <w:szCs w:val="24"/>
          <w14:textFill>
            <w14:solidFill>
              <w14:schemeClr w14:val="tx1"/>
            </w14:solidFill>
          </w14:textFill>
        </w:rPr>
        <w:t>的组成部分。</w:t>
      </w:r>
    </w:p>
    <w:p w14:paraId="49464534">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5.6磋商</w:t>
      </w:r>
    </w:p>
    <w:p w14:paraId="2525297B">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5.6.1磋商小组所有成员应当集中与单一供应商分别进行磋商，并给予所有参加磋商的供应商平等的磋商机会。</w:t>
      </w:r>
    </w:p>
    <w:p w14:paraId="08E3B032">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5.6.2在磋商过程中，磋商小组可以根据磋商文件和磋商情况实质性变动采购需求中的技术、服务要求以及合同草案条款，但不得变动磋商文件中的其他内容。实质性变动的内容，须经采购人代表确认。</w:t>
      </w:r>
      <w:r>
        <w:rPr>
          <w:rFonts w:hint="eastAsia" w:ascii="宋体" w:hAnsi="宋体" w:cs="宋体"/>
          <w:color w:val="000000" w:themeColor="text1"/>
          <w:sz w:val="24"/>
          <w:szCs w:val="24"/>
          <w:highlight w:val="white"/>
          <w14:textFill>
            <w14:solidFill>
              <w14:schemeClr w14:val="tx1"/>
            </w14:solidFill>
          </w14:textFill>
        </w:rPr>
        <w:br w:type="textWrapping"/>
      </w:r>
      <w:r>
        <w:rPr>
          <w:rFonts w:hint="eastAsia" w:ascii="宋体" w:hAnsi="宋体" w:cs="宋体"/>
          <w:color w:val="000000" w:themeColor="text1"/>
          <w:sz w:val="24"/>
          <w:szCs w:val="24"/>
          <w:highlight w:val="white"/>
          <w14:textFill>
            <w14:solidFill>
              <w14:schemeClr w14:val="tx1"/>
            </w14:solidFill>
          </w14:textFill>
        </w:rPr>
        <w:t>　　5.6.3对磋商文件作出的实质性变动是磋商文件的有效组成部分，磋商小组应当及时以书面形式同时通知所有参加磋商的供应商。</w:t>
      </w:r>
      <w:r>
        <w:rPr>
          <w:rFonts w:hint="eastAsia" w:ascii="宋体" w:hAnsi="宋体" w:cs="宋体"/>
          <w:color w:val="000000" w:themeColor="text1"/>
          <w:sz w:val="24"/>
          <w:szCs w:val="24"/>
          <w:highlight w:val="white"/>
          <w14:textFill>
            <w14:solidFill>
              <w14:schemeClr w14:val="tx1"/>
            </w14:solidFill>
          </w14:textFill>
        </w:rPr>
        <w:br w:type="textWrapping"/>
      </w:r>
      <w:r>
        <w:rPr>
          <w:rFonts w:hint="eastAsia" w:ascii="宋体" w:hAnsi="宋体" w:cs="宋体"/>
          <w:color w:val="000000" w:themeColor="text1"/>
          <w:sz w:val="24"/>
          <w:szCs w:val="24"/>
          <w:highlight w:val="white"/>
          <w14:textFill>
            <w14:solidFill>
              <w14:schemeClr w14:val="tx1"/>
            </w14:solidFill>
          </w14:textFill>
        </w:rPr>
        <w:t>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宋体"/>
          <w:color w:val="000000" w:themeColor="text1"/>
          <w:sz w:val="24"/>
          <w:szCs w:val="24"/>
          <w:highlight w:val="white"/>
          <w14:textFill>
            <w14:solidFill>
              <w14:schemeClr w14:val="tx1"/>
            </w14:solidFill>
          </w14:textFill>
        </w:rPr>
        <w:br w:type="textWrapping"/>
      </w:r>
      <w:r>
        <w:rPr>
          <w:rFonts w:hint="eastAsia" w:ascii="宋体" w:hAnsi="宋体" w:cs="宋体"/>
          <w:color w:val="000000" w:themeColor="text1"/>
          <w:sz w:val="24"/>
          <w:szCs w:val="24"/>
          <w:highlight w:val="white"/>
          <w14:textFill>
            <w14:solidFill>
              <w14:schemeClr w14:val="tx1"/>
            </w14:solidFill>
          </w14:textFill>
        </w:rPr>
        <w:t>　  5.6.5磋商文件能够详细列明采购标的的技术、服务要求的，磋商结束后，磋商小组应当要求所有实质性响应的供应商在规定时间内提交最后报价，提交最后报价的供应商不得少于</w:t>
      </w:r>
      <w:r>
        <w:rPr>
          <w:rFonts w:ascii="宋体" w:hAnsi="宋体" w:cs="宋体"/>
          <w:color w:val="000000" w:themeColor="text1"/>
          <w:sz w:val="24"/>
          <w:szCs w:val="24"/>
          <w:highlight w:val="white"/>
          <w14:textFill>
            <w14:solidFill>
              <w14:schemeClr w14:val="tx1"/>
            </w14:solidFill>
          </w14:textFill>
        </w:rPr>
        <w:t>3</w:t>
      </w:r>
      <w:r>
        <w:rPr>
          <w:rFonts w:hint="eastAsia" w:ascii="宋体" w:hAnsi="宋体" w:cs="宋体"/>
          <w:color w:val="000000" w:themeColor="text1"/>
          <w:sz w:val="24"/>
          <w:szCs w:val="24"/>
          <w:highlight w:val="white"/>
          <w14:textFill>
            <w14:solidFill>
              <w14:schemeClr w14:val="tx1"/>
            </w14:solidFill>
          </w14:textFill>
        </w:rPr>
        <w:t>家。</w:t>
      </w:r>
    </w:p>
    <w:p w14:paraId="7419E1EB">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5.5.6磋商文件不能详细列明采购标的的技术、服务要求，需经磋商由供应商提供最终设计方案或解决方案的，磋商结束后，磋商小组应当按照少数服从多数的原则投票推荐</w:t>
      </w:r>
      <w:r>
        <w:rPr>
          <w:rFonts w:ascii="宋体" w:hAnsi="宋体" w:cs="宋体"/>
          <w:color w:val="000000" w:themeColor="text1"/>
          <w:sz w:val="24"/>
          <w:szCs w:val="24"/>
          <w:highlight w:val="white"/>
          <w14:textFill>
            <w14:solidFill>
              <w14:schemeClr w14:val="tx1"/>
            </w14:solidFill>
          </w14:textFill>
        </w:rPr>
        <w:t>3</w:t>
      </w:r>
      <w:r>
        <w:rPr>
          <w:rFonts w:hint="eastAsia" w:ascii="宋体" w:hAnsi="宋体" w:cs="宋体"/>
          <w:color w:val="000000" w:themeColor="text1"/>
          <w:sz w:val="24"/>
          <w:szCs w:val="24"/>
          <w:highlight w:val="white"/>
          <w14:textFill>
            <w14:solidFill>
              <w14:schemeClr w14:val="tx1"/>
            </w14:solidFill>
          </w14:textFill>
        </w:rPr>
        <w:t>家以上供应商的设计方案或者解决方案，并要求其在规定时间内提交最后报价。</w:t>
      </w:r>
    </w:p>
    <w:p w14:paraId="50F7E93D">
      <w:pPr>
        <w:pStyle w:val="104"/>
        <w:wordWrap w:val="0"/>
        <w:spacing w:line="500" w:lineRule="atLeast"/>
        <w:ind w:firstLine="484" w:firstLineChars="202"/>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5.6.7已提交响应文件的供应商，在提交最后报价之前，可以根据磋商情况退出磋商。其磋商保证金将予以退还。</w:t>
      </w:r>
    </w:p>
    <w:p w14:paraId="0B971E0E">
      <w:pPr>
        <w:pStyle w:val="104"/>
        <w:widowControl/>
        <w:wordWrap w:val="0"/>
        <w:spacing w:line="500" w:lineRule="atLeast"/>
        <w:ind w:firstLine="480" w:firstLineChars="200"/>
        <w:textAlignment w:val="baseline"/>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5.6.8</w:t>
      </w:r>
      <w:r>
        <w:rPr>
          <w:rFonts w:hint="eastAsia" w:ascii="宋体" w:hAnsi="宋体" w:cs="宋体"/>
          <w:color w:val="000000" w:themeColor="text1"/>
          <w:sz w:val="24"/>
          <w:szCs w:val="24"/>
          <w14:textFill>
            <w14:solidFill>
              <w14:schemeClr w14:val="tx1"/>
            </w14:solidFill>
          </w14:textFill>
        </w:rPr>
        <w:t>最后报价是供应商响应文件的有效组成部分，提交最后报价的供应商可以为2家。</w:t>
      </w:r>
    </w:p>
    <w:p w14:paraId="131EBDB9">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5.6.9经磋商确定最终采购需求和提交最后报价的供应商后，由磋商小组采用综合评分法对提交最后报价的供应商的响应文件和最后报价进行综合评分。</w:t>
      </w:r>
    </w:p>
    <w:p w14:paraId="19604827">
      <w:pPr>
        <w:pStyle w:val="104"/>
        <w:wordWrap w:val="0"/>
        <w:spacing w:line="500" w:lineRule="atLeas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B．采用不见面开标方式</w:t>
      </w:r>
      <w:r>
        <w:rPr>
          <w:rFonts w:hint="eastAsia" w:ascii="宋体" w:hAnsi="宋体" w:cs="宋体"/>
          <w:color w:val="000000" w:themeColor="text1"/>
          <w:sz w:val="24"/>
          <w:szCs w:val="24"/>
          <w14:textFill>
            <w14:solidFill>
              <w14:schemeClr w14:val="tx1"/>
            </w14:solidFill>
          </w14:textFill>
        </w:rPr>
        <w:t>（是否采用详见供应商须知前附表）</w:t>
      </w:r>
    </w:p>
    <w:p w14:paraId="5F0F025C">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采购人在本章规定的投标截止时间（开标时间）和投标人须知前附表规定的地点开标。投标人的法定代表人或其委托代理人无需到达开标现场，仅需在任意地点通过</w:t>
      </w:r>
      <w:r>
        <w:rPr>
          <w:rFonts w:hint="eastAsia" w:ascii="宋体" w:hAnsi="宋体" w:cs="宋体"/>
          <w:color w:val="000000" w:themeColor="text1"/>
          <w:sz w:val="24"/>
          <w:szCs w:val="24"/>
          <w14:textFill>
            <w14:solidFill>
              <w14:schemeClr w14:val="tx1"/>
            </w14:solidFill>
          </w14:textFill>
        </w:rPr>
        <w:t>新疆政府采购网进入</w:t>
      </w:r>
      <w:r>
        <w:rPr>
          <w:rFonts w:hint="eastAsia" w:ascii="宋体" w:hAnsi="宋体" w:cs="宋体"/>
          <w:color w:val="000000" w:themeColor="text1"/>
          <w:sz w:val="24"/>
          <w:szCs w:val="24"/>
          <w:highlight w:val="white"/>
          <w14:textFill>
            <w14:solidFill>
              <w14:schemeClr w14:val="tx1"/>
            </w14:solidFill>
          </w14:textFill>
        </w:rPr>
        <w:t>不见面开标系统，使用CA密钥完成远程解密、提疑澄清、开标唱标、结果公布等交互环节。</w:t>
      </w:r>
    </w:p>
    <w:p w14:paraId="4DA270A4">
      <w:pPr>
        <w:pStyle w:val="104"/>
        <w:wordWrap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670FCEF">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5.6.10采购结果确认</w:t>
      </w:r>
    </w:p>
    <w:p w14:paraId="24DB47F3">
      <w:pPr>
        <w:pStyle w:val="104"/>
        <w:wordWrap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5E9BCFF6">
      <w:pPr>
        <w:pStyle w:val="104"/>
        <w:wordWrap w:val="0"/>
        <w:adjustRightInd w:val="0"/>
        <w:snapToGrid w:val="0"/>
        <w:spacing w:line="500" w:lineRule="atLeast"/>
        <w:ind w:firstLine="480" w:firstLineChars="200"/>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5.7.公示或公告</w:t>
      </w:r>
    </w:p>
    <w:p w14:paraId="7F1A0F8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成交供应商确定后，采购代理机构将在政府采购监管部门指定的媒体上发布成交公告，同时向成交供应商发出《成交通知书》。《成交通知书》是合同的组成部分,对成交供应商和采购人具有同等法律效力。</w:t>
      </w:r>
    </w:p>
    <w:p w14:paraId="0DEE88DC">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highlight w:val="green"/>
          <w14:textFill>
            <w14:solidFill>
              <w14:schemeClr w14:val="tx1"/>
            </w14:solidFill>
          </w14:textFill>
        </w:rPr>
      </w:pPr>
      <w:bookmarkStart w:id="45" w:name="_Toc293736058"/>
      <w:bookmarkStart w:id="46" w:name="_Toc10373"/>
      <w:bookmarkStart w:id="47" w:name="_Toc446599315"/>
      <w:bookmarkStart w:id="48" w:name="_Toc256000008"/>
      <w:bookmarkStart w:id="49" w:name="_Toc293736015"/>
      <w:bookmarkStart w:id="50" w:name="_Toc21441"/>
      <w:bookmarkStart w:id="51" w:name="_Toc293738996"/>
      <w:r>
        <w:rPr>
          <w:rFonts w:hint="eastAsia" w:ascii="宋体" w:hAnsi="宋体" w:cs="宋体"/>
          <w:b/>
          <w:color w:val="000000" w:themeColor="text1"/>
          <w:sz w:val="24"/>
          <w:szCs w:val="24"/>
          <w14:textFill>
            <w14:solidFill>
              <w14:schemeClr w14:val="tx1"/>
            </w14:solidFill>
          </w14:textFill>
        </w:rPr>
        <w:t>六、 授予合同</w:t>
      </w:r>
      <w:bookmarkEnd w:id="45"/>
      <w:bookmarkEnd w:id="46"/>
      <w:bookmarkEnd w:id="47"/>
      <w:bookmarkEnd w:id="48"/>
      <w:bookmarkEnd w:id="49"/>
      <w:bookmarkEnd w:id="50"/>
      <w:bookmarkEnd w:id="51"/>
    </w:p>
    <w:p w14:paraId="25F7F500">
      <w:pPr>
        <w:pStyle w:val="104"/>
        <w:wordWrap w:val="0"/>
        <w:adjustRightInd w:val="0"/>
        <w:snapToGrid w:val="0"/>
        <w:spacing w:line="500" w:lineRule="atLeas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 签订合同</w:t>
      </w:r>
    </w:p>
    <w:p w14:paraId="2B87986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6.1.1采购人应在成交通知书发出后30日内，根据成交结果和磋商文件、响应文件及有关补遗文件等与成交供应商签订采购合同。</w:t>
      </w:r>
    </w:p>
    <w:p w14:paraId="075F9AF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6.1.2采购人应按磋商文件要求和中标人的响应文件承诺订立书面合同，不得超出磋商文件和中标人响应文件的范围，也不得再另行订立背离合同实质性内容的其他协议。</w:t>
      </w:r>
    </w:p>
    <w:p w14:paraId="60E93273">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6.1.3采购人应在《中标通知书》发出之日起30天内与中标人签订政府采购合同。签订政府采购合同后7个工作日内，采购人应将政府采购合同副本报政府采购监管部门和政府采购代理机构备案。</w:t>
      </w:r>
    </w:p>
    <w:p w14:paraId="42C6040F">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52" w:name="_Toc293738997"/>
      <w:bookmarkStart w:id="53" w:name="_Toc446599316"/>
      <w:bookmarkStart w:id="54" w:name="_Toc293736016"/>
      <w:bookmarkStart w:id="55" w:name="_Toc293736059"/>
      <w:bookmarkStart w:id="56" w:name="_Toc14775"/>
      <w:bookmarkStart w:id="57" w:name="_Toc3715"/>
      <w:bookmarkStart w:id="58" w:name="_Toc256000009"/>
      <w:r>
        <w:rPr>
          <w:rFonts w:hint="eastAsia" w:ascii="宋体" w:hAnsi="宋体" w:cs="宋体"/>
          <w:b/>
          <w:color w:val="000000" w:themeColor="text1"/>
          <w:sz w:val="24"/>
          <w:szCs w:val="24"/>
          <w14:textFill>
            <w14:solidFill>
              <w14:schemeClr w14:val="tx1"/>
            </w14:solidFill>
          </w14:textFill>
        </w:rPr>
        <w:t>七、质疑</w:t>
      </w:r>
      <w:bookmarkEnd w:id="52"/>
      <w:bookmarkEnd w:id="53"/>
      <w:bookmarkEnd w:id="54"/>
      <w:bookmarkEnd w:id="55"/>
      <w:r>
        <w:rPr>
          <w:rFonts w:hint="eastAsia" w:ascii="宋体" w:hAnsi="宋体" w:cs="宋体"/>
          <w:b/>
          <w:color w:val="000000" w:themeColor="text1"/>
          <w:sz w:val="24"/>
          <w:szCs w:val="24"/>
          <w14:textFill>
            <w14:solidFill>
              <w14:schemeClr w14:val="tx1"/>
            </w14:solidFill>
          </w14:textFill>
        </w:rPr>
        <w:t>和投诉</w:t>
      </w:r>
      <w:bookmarkEnd w:id="56"/>
      <w:bookmarkEnd w:id="57"/>
      <w:bookmarkEnd w:id="58"/>
    </w:p>
    <w:p w14:paraId="4050718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bookmarkStart w:id="59" w:name="_Toc293738998"/>
      <w:bookmarkStart w:id="60" w:name="_Toc446599317"/>
      <w:bookmarkStart w:id="61" w:name="_Toc293736060"/>
      <w:bookmarkStart w:id="62" w:name="_Toc293736017"/>
      <w:bookmarkStart w:id="63" w:name="_Toc294515577"/>
      <w:r>
        <w:rPr>
          <w:rFonts w:hint="eastAsia" w:ascii="宋体" w:hAnsi="宋体" w:cs="宋体"/>
          <w:color w:val="000000" w:themeColor="text1"/>
          <w:sz w:val="24"/>
          <w:szCs w:val="24"/>
          <w:highlight w:val="white"/>
          <w14:textFill>
            <w14:solidFill>
              <w14:schemeClr w14:val="tx1"/>
            </w14:solidFill>
          </w14:textFill>
        </w:rPr>
        <w:t>7.1质疑</w:t>
      </w:r>
    </w:p>
    <w:p w14:paraId="5458555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7.1.1供应商提出质疑应当符合以下条件：</w:t>
      </w:r>
    </w:p>
    <w:p w14:paraId="4CC540C1">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如果供应商对此次采购活动有疑问，可依据《政府采购法》等相关规定，在规定的时间内以书面形式向采购人或代理机构提出质疑。质疑书应当包括下列主要内容：</w:t>
      </w:r>
    </w:p>
    <w:p w14:paraId="5A9361B1">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（1）质疑人的名称、地址、电话等；</w:t>
      </w:r>
    </w:p>
    <w:p w14:paraId="3BB1AD3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（2）质疑人法人签章和单位公章；</w:t>
      </w:r>
    </w:p>
    <w:p w14:paraId="5AC7287E">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（3）具体的质疑事项及事实依据；</w:t>
      </w:r>
    </w:p>
    <w:p w14:paraId="4378BD40">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（4）明确的请求和必要（合法来源）的证明材料；</w:t>
      </w:r>
    </w:p>
    <w:p w14:paraId="7AC76847">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（5）以联合体形式参与资格预审的，则必须联合体各方共同签署、盖章；</w:t>
      </w:r>
    </w:p>
    <w:p w14:paraId="2F1BE734">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（6）提起质疑的日期。</w:t>
      </w:r>
    </w:p>
    <w:p w14:paraId="7936220A">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特注：未按上述程序规定的必备内容进行质疑的，采购人或代理机构将不予以受理。</w:t>
      </w:r>
    </w:p>
    <w:p w14:paraId="46F88DC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6C39B82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7.1.3质疑人可以委托代理人办理质疑事项，代理人办理质疑事项时，除提交质疑书外，还应当提交质疑人的授权委托书及代理人的有效身份证明，授权委托书应当载明委托代理的具体权限和事项。</w:t>
      </w:r>
    </w:p>
    <w:p w14:paraId="1283BD98">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7.1.4被质疑人应当在受理质疑后7个工作日内作出答复，并以书面形式通知质疑人和其他有关供应商，答复内容仅限于供应商所质疑的内容，不得涉及国家秘密和商业秘密。</w:t>
      </w:r>
    </w:p>
    <w:p w14:paraId="7FFD8CD8">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bookmarkStart w:id="64" w:name="_Toc450546725"/>
      <w:bookmarkStart w:id="65" w:name="_Toc483174929"/>
      <w:bookmarkStart w:id="66" w:name="_Toc456336161"/>
      <w:bookmarkStart w:id="67" w:name="_Toc9365"/>
      <w:r>
        <w:rPr>
          <w:rFonts w:hint="eastAsia" w:ascii="宋体" w:hAnsi="宋体" w:cs="宋体"/>
          <w:color w:val="000000" w:themeColor="text1"/>
          <w:sz w:val="24"/>
          <w:szCs w:val="24"/>
          <w:highlight w:val="white"/>
          <w14:textFill>
            <w14:solidFill>
              <w14:schemeClr w14:val="tx1"/>
            </w14:solidFill>
          </w14:textFill>
        </w:rPr>
        <w:t>7.2投诉</w:t>
      </w:r>
      <w:bookmarkEnd w:id="64"/>
      <w:bookmarkEnd w:id="65"/>
      <w:bookmarkEnd w:id="66"/>
      <w:bookmarkEnd w:id="67"/>
    </w:p>
    <w:p w14:paraId="210E854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489466C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7.2.2投诉人提起投诉应符合以下条件：</w:t>
      </w:r>
    </w:p>
    <w:p w14:paraId="32D4847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(1)投诉人应是参与项目的供应商；</w:t>
      </w:r>
    </w:p>
    <w:p w14:paraId="00137407">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(2)投诉前已依法进行质疑；</w:t>
      </w:r>
    </w:p>
    <w:p w14:paraId="24CAB5E9">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(3)投诉书内容符合中华人民共和国财政部94号令《政府采购质疑和投诉办法》的规定；</w:t>
      </w:r>
    </w:p>
    <w:p w14:paraId="6D5086EB">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(4)在投诉有效期内；</w:t>
      </w:r>
    </w:p>
    <w:p w14:paraId="7040ADDC">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(5)同一投诉事项未经处理的；</w:t>
      </w:r>
    </w:p>
    <w:p w14:paraId="62BA2F61">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lang w:val="en-GB"/>
          <w14:textFill>
            <w14:solidFill>
              <w14:schemeClr w14:val="tx1"/>
            </w14:solidFill>
          </w14:textFill>
        </w:rPr>
        <w:t>(6)</w:t>
      </w:r>
      <w:r>
        <w:rPr>
          <w:rFonts w:hint="eastAsia" w:ascii="宋体" w:hAnsi="宋体" w:cs="宋体"/>
          <w:color w:val="000000" w:themeColor="text1"/>
          <w:sz w:val="24"/>
          <w:szCs w:val="24"/>
          <w:highlight w:val="white"/>
          <w14:textFill>
            <w14:solidFill>
              <w14:schemeClr w14:val="tx1"/>
            </w14:solidFill>
          </w14:textFill>
        </w:rPr>
        <w:t>相关法律、法规和省级以上人民政府财政部门规定的其他条件。</w:t>
      </w:r>
    </w:p>
    <w:p w14:paraId="28DD18B9">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7.2.3供应商投诉时，应当当面提交投诉书，投诉书应当包括下列主要内容：</w:t>
      </w:r>
    </w:p>
    <w:p w14:paraId="40ED373B">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(1)投诉人的姓名或者名称、住所、联系方式及相关证明；</w:t>
      </w:r>
    </w:p>
    <w:p w14:paraId="0836FD1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(2)被投诉人的名称、住所、联系方式；</w:t>
      </w:r>
    </w:p>
    <w:p w14:paraId="494A583A">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(3)具体的投诉事项、事实根据和法律依据；</w:t>
      </w:r>
    </w:p>
    <w:p w14:paraId="233F2E98">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(4)质疑和质疑答复情况及相关证明材料；</w:t>
      </w:r>
    </w:p>
    <w:p w14:paraId="3FCE2E8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(5)提起投诉的日期。</w:t>
      </w:r>
    </w:p>
    <w:p w14:paraId="63B6E08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投诉人为自然人的，应当由本人签字。投诉人为法人的，应当由其法定代表人签字并加盖单位公章。投诉人为其他组织的，应当由其主要负责人签字盖章并加盖单位公章。</w:t>
      </w:r>
    </w:p>
    <w:p w14:paraId="59D5ED56">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7.2.4投诉人可以授权代理人办理投诉事务。代理人办理投诉事务时，除提交投诉书外，还应当向监督部门提交投诉人的授权委托书，授权委托书应当载明委托代理的具体权限和事项。</w:t>
      </w:r>
    </w:p>
    <w:p w14:paraId="0EC0DB17">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7.2.5投诉人不符合上述规定提起的投诉，政府采购监督部门不予受理。</w:t>
      </w:r>
    </w:p>
    <w:p w14:paraId="413014A8">
      <w:pPr>
        <w:pStyle w:val="104"/>
        <w:keepNext/>
        <w:keepLines/>
        <w:wordWrap w:val="0"/>
        <w:adjustRightInd w:val="0"/>
        <w:snapToGrid w:val="0"/>
        <w:spacing w:line="500" w:lineRule="atLeast"/>
        <w:contextualSpacing/>
        <w:jc w:val="center"/>
        <w:outlineLvl w:val="1"/>
        <w:rPr>
          <w:rFonts w:ascii="宋体" w:hAnsi="宋体" w:cs="宋体"/>
          <w:b/>
          <w:color w:val="000000" w:themeColor="text1"/>
          <w:kern w:val="0"/>
          <w:sz w:val="24"/>
          <w:szCs w:val="24"/>
          <w14:textFill>
            <w14:solidFill>
              <w14:schemeClr w14:val="tx1"/>
            </w14:solidFill>
          </w14:textFill>
        </w:rPr>
      </w:pPr>
      <w:bookmarkStart w:id="68" w:name="_Toc3182"/>
      <w:bookmarkStart w:id="69" w:name="_Toc8018"/>
      <w:bookmarkStart w:id="70" w:name="_Toc256000010"/>
      <w:r>
        <w:rPr>
          <w:rFonts w:hint="eastAsia" w:ascii="宋体" w:hAnsi="宋体" w:cs="宋体"/>
          <w:b/>
          <w:color w:val="000000" w:themeColor="text1"/>
          <w:sz w:val="24"/>
          <w:szCs w:val="24"/>
          <w14:textFill>
            <w14:solidFill>
              <w14:schemeClr w14:val="tx1"/>
            </w14:solidFill>
          </w14:textFill>
        </w:rPr>
        <w:t>八、项目验收</w:t>
      </w:r>
      <w:bookmarkEnd w:id="59"/>
      <w:bookmarkEnd w:id="60"/>
      <w:bookmarkEnd w:id="61"/>
      <w:bookmarkEnd w:id="62"/>
      <w:bookmarkEnd w:id="63"/>
      <w:bookmarkEnd w:id="68"/>
      <w:bookmarkEnd w:id="69"/>
      <w:bookmarkEnd w:id="70"/>
    </w:p>
    <w:p w14:paraId="4CC3C4E3">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8.1采购单位按照政府采购合同规定的技术、服务、安全标准对供应商履约情况进行验收，并出具验收书。验收书包括每一项技术、服务、安全标准的履约情况。</w:t>
      </w:r>
    </w:p>
    <w:p w14:paraId="67A0540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8.2验收标准:磋商文件、响应文件、政府采购合同规定的标准。</w:t>
      </w:r>
    </w:p>
    <w:p w14:paraId="40341AD2">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71" w:name="_Toc293736061"/>
      <w:bookmarkStart w:id="72" w:name="_Toc6671"/>
      <w:bookmarkStart w:id="73" w:name="_Toc28499"/>
      <w:bookmarkStart w:id="74" w:name="_Toc293736018"/>
      <w:bookmarkStart w:id="75" w:name="_Toc256000011"/>
      <w:bookmarkStart w:id="76" w:name="_Toc293738999"/>
      <w:bookmarkStart w:id="77" w:name="_Toc446599318"/>
      <w:r>
        <w:rPr>
          <w:rFonts w:hint="eastAsia" w:ascii="宋体" w:hAnsi="宋体" w:cs="宋体"/>
          <w:b/>
          <w:color w:val="000000" w:themeColor="text1"/>
          <w:sz w:val="24"/>
          <w:szCs w:val="24"/>
          <w14:textFill>
            <w14:solidFill>
              <w14:schemeClr w14:val="tx1"/>
            </w14:solidFill>
          </w14:textFill>
        </w:rPr>
        <w:t>九、适用法律</w:t>
      </w:r>
      <w:bookmarkEnd w:id="71"/>
      <w:bookmarkEnd w:id="72"/>
      <w:bookmarkEnd w:id="73"/>
      <w:bookmarkEnd w:id="74"/>
      <w:bookmarkEnd w:id="75"/>
      <w:bookmarkEnd w:id="76"/>
      <w:bookmarkEnd w:id="77"/>
    </w:p>
    <w:p w14:paraId="56017F2C">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9.1招标采购单位和供应商的一切招标投标活动均适用于《政府采购法》、《政府采购实施条例》、《政府采购竞争性磋商采购方式管理办法》等相关规定。</w:t>
      </w:r>
    </w:p>
    <w:p w14:paraId="026C5245">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78" w:name="_Toc256000012"/>
      <w:bookmarkStart w:id="79" w:name="_Toc26356"/>
      <w:bookmarkStart w:id="80" w:name="_Toc272247702"/>
      <w:bookmarkStart w:id="81" w:name="_Toc278891599"/>
      <w:bookmarkStart w:id="82" w:name="_Toc446599319"/>
      <w:bookmarkStart w:id="83" w:name="_Toc437611460"/>
      <w:bookmarkStart w:id="84" w:name="_Toc21968"/>
      <w:r>
        <w:rPr>
          <w:rFonts w:hint="eastAsia" w:ascii="宋体" w:hAnsi="宋体" w:cs="宋体"/>
          <w:b/>
          <w:color w:val="000000" w:themeColor="text1"/>
          <w:sz w:val="24"/>
          <w:szCs w:val="24"/>
          <w14:textFill>
            <w14:solidFill>
              <w14:schemeClr w14:val="tx1"/>
            </w14:solidFill>
          </w14:textFill>
        </w:rPr>
        <w:t>十、磋商文件的解释权</w:t>
      </w:r>
      <w:bookmarkEnd w:id="78"/>
      <w:bookmarkEnd w:id="79"/>
      <w:bookmarkEnd w:id="80"/>
      <w:bookmarkEnd w:id="81"/>
      <w:bookmarkEnd w:id="82"/>
      <w:bookmarkEnd w:id="83"/>
      <w:bookmarkEnd w:id="84"/>
    </w:p>
    <w:p w14:paraId="421B2A82">
      <w:pPr>
        <w:pStyle w:val="104"/>
        <w:wordWrap w:val="0"/>
        <w:spacing w:line="500" w:lineRule="atLeast"/>
        <w:ind w:firstLine="484" w:firstLineChars="202"/>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10.1本项目磋商文件的最终解释权为采购代理机构所有。</w:t>
      </w:r>
    </w:p>
    <w:p w14:paraId="26EF56DB">
      <w:pPr>
        <w:pStyle w:val="104"/>
        <w:keepNext/>
        <w:keepLines/>
        <w:wordWrap w:val="0"/>
        <w:adjustRightInd w:val="0"/>
        <w:snapToGrid w:val="0"/>
        <w:spacing w:line="500" w:lineRule="atLeast"/>
        <w:contextualSpacing/>
        <w:jc w:val="center"/>
        <w:outlineLvl w:val="1"/>
        <w:rPr>
          <w:rFonts w:ascii="宋体" w:hAnsi="宋体" w:cs="宋体"/>
          <w:b/>
          <w:color w:val="000000" w:themeColor="text1"/>
          <w:sz w:val="24"/>
          <w:szCs w:val="24"/>
          <w14:textFill>
            <w14:solidFill>
              <w14:schemeClr w14:val="tx1"/>
            </w14:solidFill>
          </w14:textFill>
        </w:rPr>
      </w:pPr>
      <w:bookmarkStart w:id="85" w:name="_Toc21207"/>
      <w:bookmarkStart w:id="86" w:name="_Toc437611461"/>
      <w:bookmarkStart w:id="87" w:name="_Toc446599320"/>
      <w:bookmarkStart w:id="88" w:name="_Toc256000013"/>
      <w:bookmarkStart w:id="89" w:name="_Toc15447"/>
      <w:r>
        <w:rPr>
          <w:rFonts w:hint="eastAsia" w:ascii="宋体" w:hAnsi="宋体" w:cs="宋体"/>
          <w:b/>
          <w:color w:val="000000" w:themeColor="text1"/>
          <w:sz w:val="24"/>
          <w:szCs w:val="24"/>
          <w14:textFill>
            <w14:solidFill>
              <w14:schemeClr w14:val="tx1"/>
            </w14:solidFill>
          </w14:textFill>
        </w:rPr>
        <w:t>十一、其他注意事项</w:t>
      </w:r>
      <w:bookmarkEnd w:id="85"/>
      <w:bookmarkEnd w:id="86"/>
      <w:bookmarkEnd w:id="87"/>
      <w:bookmarkEnd w:id="88"/>
      <w:bookmarkEnd w:id="89"/>
    </w:p>
    <w:p w14:paraId="449D31A5">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11.1单位负责人为同一人或者存在直接控股、管理关系的不同供应商，不得参加同一合同项下的政府采购活动。</w:t>
      </w:r>
    </w:p>
    <w:p w14:paraId="7216262F">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11.2供应商为采购项目提供整体设计、规范编制或者项目管理、监理、检测等服务的供应商，不得再参加该采购项目的其他采购活动。</w:t>
      </w:r>
    </w:p>
    <w:p w14:paraId="5459E272">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11.3政府采购法第二十二条第一款第五项所称重大违法记录，是指供应商因违法经营受到刑事处罚或者责令停产停业、吊销许可证或者执照、较大数额罚款等行政处罚。</w:t>
      </w:r>
    </w:p>
    <w:p w14:paraId="0D7C2A9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11.4按照财政部《关于规范政府采购行政处罚有关问题的通知》的规定，各级人民政府财政部门依法对参加政府采购活动的供应商作出的禁止参加政府采购活动等行政处罚决定在全国范围内生效。</w:t>
      </w:r>
    </w:p>
    <w:p w14:paraId="19C4C82D">
      <w:pPr>
        <w:pStyle w:val="104"/>
        <w:tabs>
          <w:tab w:val="left" w:pos="1875"/>
        </w:tabs>
        <w:wordWrap w:val="0"/>
        <w:adjustRightInd w:val="0"/>
        <w:snapToGrid w:val="0"/>
        <w:spacing w:line="500" w:lineRule="atLeast"/>
        <w:ind w:firstLine="480" w:firstLineChars="200"/>
        <w:jc w:val="left"/>
        <w:rPr>
          <w:rFonts w:ascii="宋体" w:hAnsi="宋体" w:cs="宋体"/>
          <w:color w:val="000000" w:themeColor="text1"/>
          <w:sz w:val="24"/>
          <w:szCs w:val="24"/>
          <w:highlight w:val="white"/>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11.5供应商在参加政府采购活动前3年内因违法经营被禁止在一定期限内参加政府采购活动，期限届满的，可以参加政府采购活动。</w:t>
      </w:r>
    </w:p>
    <w:bookmarkEnd w:id="19"/>
    <w:p w14:paraId="307875F2">
      <w:pPr>
        <w:wordWrap w:val="0"/>
        <w:spacing w:line="500" w:lineRule="atLeast"/>
        <w:rPr>
          <w:rFonts w:ascii="宋体" w:hAnsi="宋体" w:cs="宋体"/>
          <w:color w:val="000000" w:themeColor="text1"/>
          <w:sz w:val="24"/>
          <w:szCs w:val="24"/>
          <w:highlight w:val="white"/>
          <w14:textFill>
            <w14:solidFill>
              <w14:schemeClr w14:val="tx1"/>
            </w14:solidFill>
          </w14:textFill>
        </w:rPr>
      </w:pPr>
    </w:p>
    <w:bookmarkEnd w:id="7"/>
    <w:bookmarkEnd w:id="20"/>
    <w:p w14:paraId="358EB4A3">
      <w:pPr>
        <w:wordWrap w:val="0"/>
        <w:spacing w:line="500" w:lineRule="atLeast"/>
        <w:rPr>
          <w:rFonts w:ascii="宋体" w:hAnsi="宋体" w:cs="宋体"/>
          <w:color w:val="000000" w:themeColor="text1"/>
          <w:sz w:val="24"/>
          <w:szCs w:val="24"/>
          <w14:textFill>
            <w14:solidFill>
              <w14:schemeClr w14:val="tx1"/>
            </w14:solidFill>
          </w14:textFill>
        </w:rPr>
        <w:sectPr>
          <w:pgSz w:w="11906" w:h="16838"/>
          <w:pgMar w:top="1440" w:right="1797" w:bottom="1440" w:left="1797" w:header="851" w:footer="992" w:gutter="0"/>
          <w:pgNumType w:fmt="decimal"/>
          <w:cols w:space="720" w:num="1"/>
          <w:docGrid w:linePitch="312" w:charSpace="0"/>
        </w:sectPr>
      </w:pPr>
    </w:p>
    <w:p w14:paraId="5D41CA81">
      <w:pPr>
        <w:pStyle w:val="2"/>
        <w:wordWrap w:val="0"/>
        <w:spacing w:before="0" w:after="0" w:line="240" w:lineRule="auto"/>
        <w:rPr>
          <w:rFonts w:ascii="宋体" w:hAnsi="宋体" w:cs="宋体"/>
          <w:b/>
          <w:bCs w:val="0"/>
          <w:color w:val="000000" w:themeColor="text1"/>
          <w:sz w:val="30"/>
          <w:szCs w:val="30"/>
          <w14:textFill>
            <w14:solidFill>
              <w14:schemeClr w14:val="tx1"/>
            </w14:solidFill>
          </w14:textFill>
        </w:rPr>
      </w:pPr>
      <w:bookmarkStart w:id="90" w:name="_Toc293739000"/>
      <w:bookmarkStart w:id="91" w:name="_Toc293736062"/>
      <w:bookmarkStart w:id="92" w:name="_Toc293736019"/>
      <w:bookmarkStart w:id="93" w:name="_Toc11453"/>
      <w:bookmarkStart w:id="94" w:name="_Toc446599321"/>
      <w:bookmarkStart w:id="95" w:name="_Toc534380785"/>
      <w:bookmarkStart w:id="96" w:name="_Toc446599322"/>
      <w:bookmarkStart w:id="97" w:name="_Toc293736020"/>
      <w:bookmarkStart w:id="98" w:name="_Toc293739001"/>
      <w:bookmarkStart w:id="99" w:name="_Toc293736063"/>
      <w:r>
        <w:rPr>
          <w:rFonts w:hint="eastAsia" w:ascii="宋体" w:hAnsi="宋体" w:cs="宋体"/>
          <w:b/>
          <w:bCs w:val="0"/>
          <w:color w:val="000000" w:themeColor="text1"/>
          <w:sz w:val="30"/>
          <w:szCs w:val="30"/>
          <w:highlight w:val="white"/>
          <w14:textFill>
            <w14:solidFill>
              <w14:schemeClr w14:val="tx1"/>
            </w14:solidFill>
          </w14:textFill>
        </w:rPr>
        <w:t>第三章 采购</w:t>
      </w:r>
      <w:bookmarkEnd w:id="90"/>
      <w:bookmarkEnd w:id="91"/>
      <w:bookmarkEnd w:id="92"/>
      <w:bookmarkStart w:id="100" w:name="_Toc294515580"/>
      <w:r>
        <w:rPr>
          <w:rFonts w:hint="eastAsia" w:ascii="宋体" w:hAnsi="宋体" w:cs="宋体"/>
          <w:b/>
          <w:bCs w:val="0"/>
          <w:color w:val="000000" w:themeColor="text1"/>
          <w:sz w:val="30"/>
          <w:szCs w:val="30"/>
          <w:highlight w:val="white"/>
          <w14:textFill>
            <w14:solidFill>
              <w14:schemeClr w14:val="tx1"/>
            </w14:solidFill>
          </w14:textFill>
        </w:rPr>
        <w:t>需求</w:t>
      </w:r>
      <w:bookmarkEnd w:id="93"/>
      <w:bookmarkEnd w:id="94"/>
      <w:bookmarkEnd w:id="95"/>
    </w:p>
    <w:bookmarkEnd w:id="100"/>
    <w:p w14:paraId="3940A83B">
      <w:pPr>
        <w:spacing w:line="500" w:lineRule="exact"/>
        <w:outlineLvl w:val="2"/>
        <w:rPr>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（一）项目概况</w:t>
      </w:r>
    </w:p>
    <w:p w14:paraId="2FFF505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项目名称：</w:t>
      </w:r>
      <w:r>
        <w:rPr>
          <w:rFonts w:hint="eastAsia" w:cs="宋体"/>
          <w:color w:val="000000" w:themeColor="text1"/>
          <w:kern w:val="2"/>
          <w:sz w:val="24"/>
          <w:szCs w:val="24"/>
          <w:highlight w:val="white"/>
          <w:lang w:val="en-US" w:eastAsia="zh-CN" w:bidi="ar-SA"/>
          <w14:textFill>
            <w14:solidFill>
              <w14:schemeClr w14:val="tx1"/>
            </w14:solidFill>
          </w14:textFill>
        </w:rPr>
        <w:t>哈密市伊吾县县城供热管网建设项目(监理）采购项目</w:t>
      </w:r>
    </w:p>
    <w:p w14:paraId="7122108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cs="宋体"/>
          <w:color w:val="000000" w:themeColor="text1"/>
          <w:kern w:val="2"/>
          <w:sz w:val="24"/>
          <w:szCs w:val="24"/>
          <w:highlight w:val="white"/>
          <w:lang w:val="en-US" w:eastAsia="zh-CN" w:bidi="ar-SA"/>
          <w14:textFill>
            <w14:solidFill>
              <w14:schemeClr w14:val="tx1"/>
            </w14:solidFill>
          </w14:textFill>
        </w:rPr>
      </w:pPr>
      <w:r>
        <w:rPr>
          <w:rFonts w:hint="eastAsia" w:cs="宋体"/>
          <w:color w:val="000000" w:themeColor="text1"/>
          <w:kern w:val="2"/>
          <w:sz w:val="24"/>
          <w:szCs w:val="24"/>
          <w:highlight w:val="white"/>
          <w:lang w:val="en-US" w:eastAsia="zh-CN" w:bidi="ar-SA"/>
          <w14:textFill>
            <w14:solidFill>
              <w14:schemeClr w14:val="tx1"/>
            </w14:solidFill>
          </w14:textFill>
        </w:rPr>
        <w:t>建设地点：伊吾县城</w:t>
      </w:r>
    </w:p>
    <w:p w14:paraId="1B03FB3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建设规模及主要内容:</w:t>
      </w:r>
      <w:r>
        <w:rPr>
          <w:rFonts w:hint="eastAsia" w:cs="宋体"/>
          <w:color w:val="000000" w:themeColor="text1"/>
          <w:kern w:val="2"/>
          <w:sz w:val="24"/>
          <w:szCs w:val="24"/>
          <w:highlight w:val="white"/>
          <w:lang w:val="en-US" w:eastAsia="zh-CN" w:bidi="ar-SA"/>
          <w14:textFill>
            <w14:solidFill>
              <w14:schemeClr w14:val="tx1"/>
            </w14:solidFill>
          </w14:textFill>
        </w:rPr>
        <w:t>扩建现有锅炉房，新建70MW热水锅炉一座及环保等附属设施;新建热交换站5座;新建DN200-DN700热力一次网2x6735.1米，DN300热力二次网2x350 米.</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(完成本项目建设过程中的全部监理服务。）</w:t>
      </w:r>
    </w:p>
    <w:p w14:paraId="164913C2">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default"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cs="宋体"/>
          <w:color w:val="000000" w:themeColor="text1"/>
          <w:kern w:val="2"/>
          <w:sz w:val="24"/>
          <w:szCs w:val="24"/>
          <w:highlight w:val="white"/>
          <w:lang w:val="en-US" w:eastAsia="zh-CN" w:bidi="ar-SA"/>
          <w14:textFill>
            <w14:solidFill>
              <w14:schemeClr w14:val="tx1"/>
            </w14:solidFill>
          </w14:textFill>
        </w:rPr>
        <w:t>预算金额：980000.00元。</w:t>
      </w:r>
    </w:p>
    <w:p w14:paraId="7C26A201">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cs="宋体"/>
          <w:color w:val="000000" w:themeColor="text1"/>
          <w:kern w:val="2"/>
          <w:sz w:val="24"/>
          <w:szCs w:val="24"/>
          <w:highlight w:val="white"/>
          <w:lang w:val="en-US" w:eastAsia="zh-CN" w:bidi="ar-SA"/>
          <w14:textFill>
            <w14:solidFill>
              <w14:schemeClr w14:val="tx1"/>
            </w14:solidFill>
          </w14:textFill>
        </w:rPr>
        <w:t>（二）采</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购需求：</w:t>
      </w:r>
      <w:r>
        <w:rPr>
          <w:rFonts w:hint="eastAsia" w:cs="宋体"/>
          <w:color w:val="000000" w:themeColor="text1"/>
          <w:kern w:val="2"/>
          <w:sz w:val="24"/>
          <w:szCs w:val="24"/>
          <w:highlight w:val="white"/>
          <w:lang w:val="en-US" w:eastAsia="zh-CN" w:bidi="ar-SA"/>
          <w14:textFill>
            <w14:solidFill>
              <w14:schemeClr w14:val="tx1"/>
            </w14:solidFill>
          </w14:textFill>
        </w:rPr>
        <w:t>扩建现有锅炉房，新建70MW热水锅炉一座及环保等附属设施;新建热交换站5座;新建DN200-DN700热力一次网2x6735.1米，DN300热力二次网2x350 米.</w:t>
      </w: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(完成本项目建设过程中的全部监理服务。）</w:t>
      </w:r>
    </w:p>
    <w:p w14:paraId="67BC5BFB">
      <w:pPr>
        <w:spacing w:line="500" w:lineRule="exact"/>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工期</w:t>
      </w:r>
    </w:p>
    <w:p w14:paraId="647AA061">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firstLine="480" w:firstLineChars="20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同履约期限：</w:t>
      </w:r>
      <w:r>
        <w:rPr>
          <w:rFonts w:hint="eastAsia" w:cs="宋体"/>
          <w:color w:val="000000" w:themeColor="text1"/>
          <w:kern w:val="2"/>
          <w:sz w:val="24"/>
          <w:szCs w:val="24"/>
          <w:highlight w:val="white"/>
          <w:lang w:val="en-US" w:eastAsia="zh-CN" w:bidi="ar-SA"/>
          <w14:textFill>
            <w14:solidFill>
              <w14:schemeClr w14:val="tx1"/>
            </w14:solidFill>
          </w14:textFill>
        </w:rPr>
        <w:t>同施工工期</w:t>
      </w:r>
    </w:p>
    <w:p w14:paraId="2BA09804">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textAlignment w:val="auto"/>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（四）质量要求及付款方式</w:t>
      </w:r>
    </w:p>
    <w:p w14:paraId="1D24866A">
      <w:pPr>
        <w:keepNext w:val="0"/>
        <w:keepLines w:val="0"/>
        <w:widowControl/>
        <w:suppressLineNumbers w:val="0"/>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white"/>
          <w:lang w:val="en-US" w:eastAsia="zh-CN" w:bidi="ar-SA"/>
          <w14:textFill>
            <w14:solidFill>
              <w14:schemeClr w14:val="tx1"/>
            </w14:solidFill>
          </w14:textFill>
        </w:rPr>
        <w:t xml:space="preserve">质量要求： </w:t>
      </w:r>
      <w:r>
        <w:rPr>
          <w:rFonts w:hint="eastAsia" w:ascii="宋体" w:hAnsi="宋体" w:cs="宋体"/>
          <w:color w:val="000000" w:themeColor="text1"/>
          <w:kern w:val="2"/>
          <w:sz w:val="24"/>
          <w:szCs w:val="24"/>
          <w:highlight w:val="white"/>
          <w:lang w:val="en-US" w:eastAsia="zh-CN" w:bidi="ar-SA"/>
          <w14:textFill>
            <w14:solidFill>
              <w14:schemeClr w14:val="tx1"/>
            </w14:solidFill>
          </w14:textFill>
        </w:rPr>
        <w:t>合格</w:t>
      </w:r>
    </w:p>
    <w:p w14:paraId="012BC38E">
      <w:pPr>
        <w:pStyle w:val="102"/>
        <w:wordWrap w:val="0"/>
        <w:snapToGrid w:val="0"/>
        <w:spacing w:line="440" w:lineRule="atLeast"/>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付款方式：</w:t>
      </w:r>
      <w:r>
        <w:rPr>
          <w:rFonts w:hint="eastAsia" w:ascii="宋体" w:hAnsi="宋体" w:cs="宋体"/>
          <w:color w:val="000000" w:themeColor="text1"/>
          <w:kern w:val="0"/>
          <w:sz w:val="24"/>
          <w:szCs w:val="24"/>
          <w:lang w:val="en-US" w:eastAsia="zh-CN" w:bidi="ar-SA"/>
          <w14:textFill>
            <w14:solidFill>
              <w14:schemeClr w14:val="tx1"/>
            </w14:solidFill>
          </w14:textFill>
        </w:rPr>
        <w:t>按甲方要求</w:t>
      </w:r>
    </w:p>
    <w:p w14:paraId="711457A1">
      <w:pPr>
        <w:pStyle w:val="102"/>
        <w:wordWrap w:val="0"/>
        <w:snapToGrid w:val="0"/>
        <w:spacing w:line="440" w:lineRule="atLeast"/>
        <w:ind w:firstLine="482" w:firstLineChars="200"/>
        <w:outlineLvl w:val="0"/>
        <w:rPr>
          <w:rFonts w:hint="eastAsia" w:ascii="宋体" w:hAnsi="宋体"/>
          <w:b/>
          <w:bCs/>
          <w:color w:val="000000" w:themeColor="text1"/>
          <w:sz w:val="24"/>
          <w:szCs w:val="24"/>
          <w14:textFill>
            <w14:solidFill>
              <w14:schemeClr w14:val="tx1"/>
            </w14:solidFill>
          </w14:textFill>
        </w:rPr>
      </w:pPr>
    </w:p>
    <w:p w14:paraId="3404A720">
      <w:pPr>
        <w:pStyle w:val="102"/>
        <w:wordWrap w:val="0"/>
        <w:snapToGrid w:val="0"/>
        <w:spacing w:line="440" w:lineRule="atLeast"/>
        <w:ind w:firstLine="482" w:firstLineChars="200"/>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注：如对本招标文件有任何疑问或要求澄清，请按本招标文件的规定提出，否则视同理解和接受。</w:t>
      </w:r>
    </w:p>
    <w:p w14:paraId="18EF80FE">
      <w:pPr>
        <w:pStyle w:val="175"/>
        <w:ind w:firstLine="560"/>
        <w:rPr>
          <w:rFonts w:ascii="宋体" w:hAnsi="宋体" w:cs="宋体"/>
          <w:color w:val="000000" w:themeColor="text1"/>
          <w:kern w:val="0"/>
          <w:sz w:val="28"/>
          <w:szCs w:val="28"/>
          <w:lang w:val="en-US"/>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339F5C1">
      <w:pPr>
        <w:pStyle w:val="2"/>
        <w:wordWrap w:val="0"/>
        <w:spacing w:before="0" w:after="0" w:line="240" w:lineRule="auto"/>
        <w:rPr>
          <w:rFonts w:ascii="宋体" w:hAnsi="宋体" w:cs="宋体"/>
          <w:b/>
          <w:bCs w:val="0"/>
          <w:color w:val="000000" w:themeColor="text1"/>
          <w:highlight w:val="white"/>
          <w14:textFill>
            <w14:solidFill>
              <w14:schemeClr w14:val="tx1"/>
            </w14:solidFill>
          </w14:textFill>
        </w:rPr>
      </w:pPr>
      <w:bookmarkStart w:id="101" w:name="_Toc36032162"/>
      <w:bookmarkEnd w:id="101"/>
      <w:bookmarkStart w:id="102" w:name="_Toc5888556"/>
      <w:bookmarkEnd w:id="102"/>
      <w:bookmarkStart w:id="103" w:name="_Toc6399391"/>
      <w:bookmarkEnd w:id="103"/>
      <w:bookmarkStart w:id="104" w:name="_Toc36032040"/>
      <w:bookmarkEnd w:id="104"/>
      <w:bookmarkStart w:id="105" w:name="_Toc36031365"/>
      <w:bookmarkEnd w:id="105"/>
      <w:bookmarkStart w:id="106" w:name="_Toc534380786"/>
      <w:bookmarkStart w:id="107" w:name="_Toc6049"/>
      <w:r>
        <w:rPr>
          <w:rFonts w:hint="eastAsia" w:ascii="宋体" w:hAnsi="宋体" w:cs="宋体"/>
          <w:b/>
          <w:bCs w:val="0"/>
          <w:color w:val="000000" w:themeColor="text1"/>
          <w:highlight w:val="white"/>
          <w14:textFill>
            <w14:solidFill>
              <w14:schemeClr w14:val="tx1"/>
            </w14:solidFill>
          </w14:textFill>
        </w:rPr>
        <w:t>第四章 评审方法</w:t>
      </w:r>
      <w:bookmarkEnd w:id="96"/>
      <w:bookmarkEnd w:id="97"/>
      <w:bookmarkEnd w:id="98"/>
      <w:bookmarkEnd w:id="99"/>
      <w:bookmarkEnd w:id="106"/>
      <w:bookmarkEnd w:id="107"/>
    </w:p>
    <w:p w14:paraId="0FB05B64">
      <w:pPr>
        <w:tabs>
          <w:tab w:val="left" w:pos="420"/>
          <w:tab w:val="left" w:pos="7560"/>
          <w:tab w:val="left" w:pos="7740"/>
          <w:tab w:val="left" w:pos="7920"/>
        </w:tabs>
        <w:wordWrap w:val="0"/>
        <w:adjustRightInd w:val="0"/>
        <w:snapToGrid w:val="0"/>
        <w:spacing w:line="500" w:lineRule="atLeas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highlight w:val="white"/>
          <w14:textFill>
            <w14:solidFill>
              <w14:schemeClr w14:val="tx1"/>
            </w14:solidFill>
          </w14:textFill>
        </w:rPr>
        <w:t>一、综合评分</w:t>
      </w:r>
    </w:p>
    <w:p w14:paraId="12A2ED6D">
      <w:pPr>
        <w:wordWrap w:val="0"/>
        <w:adjustRightInd w:val="0"/>
        <w:snapToGrid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1.经磋商确定最终采购需求和提交最后报价的投标人后，由磋商小组采用综合评分法对提交最后报价的投标人的响应文件和最后报价进行综合评分。</w:t>
      </w:r>
    </w:p>
    <w:p w14:paraId="3E3307A9">
      <w:pPr>
        <w:wordWrap w:val="0"/>
        <w:adjustRightInd w:val="0"/>
        <w:snapToGrid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综合评分法，是指响应文件满足磋商文件全部实质性要求且按评审因素的量化指标评审得分最高的投标人为成交候选投标人的评审方法。</w:t>
      </w:r>
    </w:p>
    <w:p w14:paraId="2ABFC04B">
      <w:pPr>
        <w:wordWrap w:val="0"/>
        <w:adjustRightInd w:val="0"/>
        <w:snapToGrid w:val="0"/>
        <w:spacing w:line="500" w:lineRule="atLeas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white"/>
          <w14:textFill>
            <w14:solidFill>
              <w14:schemeClr w14:val="tx1"/>
            </w14:solidFill>
          </w14:textFill>
        </w:rPr>
        <w:t>2.评审时，磋商小组各成员应当独立对每个有效响应的文件进行评价、打分，然后汇总每个投标人每项评分因素的得分。</w:t>
      </w:r>
    </w:p>
    <w:p w14:paraId="6ED5E08B">
      <w:pPr>
        <w:wordWrap w:val="0"/>
        <w:adjustRightInd w:val="0"/>
        <w:snapToGrid w:val="0"/>
        <w:spacing w:line="500" w:lineRule="atLeast"/>
        <w:rPr>
          <w:rFonts w:hint="eastAsia" w:ascii="宋体" w:hAnsi="宋体" w:cs="宋体"/>
          <w:b/>
          <w:bCs/>
          <w:color w:val="000000" w:themeColor="text1"/>
          <w:sz w:val="24"/>
          <w:szCs w:val="24"/>
          <w:highlight w:val="white"/>
          <w14:textFill>
            <w14:solidFill>
              <w14:schemeClr w14:val="tx1"/>
            </w14:solidFill>
          </w14:textFill>
        </w:rPr>
      </w:pPr>
      <w:r>
        <w:rPr>
          <w:rFonts w:hint="eastAsia" w:ascii="宋体" w:hAnsi="宋体" w:cs="宋体"/>
          <w:b/>
          <w:bCs/>
          <w:color w:val="000000" w:themeColor="text1"/>
          <w:sz w:val="24"/>
          <w:szCs w:val="24"/>
          <w:highlight w:val="white"/>
          <w14:textFill>
            <w14:solidFill>
              <w14:schemeClr w14:val="tx1"/>
            </w14:solidFill>
          </w14:textFill>
        </w:rPr>
        <w:t>二.综合评分细则表</w:t>
      </w:r>
    </w:p>
    <w:p w14:paraId="22661872">
      <w:pPr>
        <w:adjustRightInd w:val="0"/>
        <w:snapToGrid w:val="0"/>
        <w:spacing w:line="360" w:lineRule="auto"/>
        <w:jc w:val="center"/>
        <w:outlineLvl w:val="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资格性审查表</w:t>
      </w:r>
    </w:p>
    <w:p w14:paraId="04AA89AD">
      <w:pPr>
        <w:spacing w:line="440" w:lineRule="exact"/>
        <w:jc w:val="center"/>
        <w:rPr>
          <w:rFonts w:hint="eastAsia" w:ascii="仿宋" w:hAnsi="仿宋" w:eastAsia="仿宋" w:cs="仿宋"/>
          <w:b/>
          <w:color w:val="000000" w:themeColor="text1"/>
          <w:sz w:val="24"/>
          <w14:textFill>
            <w14:solidFill>
              <w14:schemeClr w14:val="tx1"/>
            </w14:solidFill>
          </w14:textFill>
        </w:rPr>
        <w:sectPr>
          <w:footerReference r:id="rId8" w:type="first"/>
          <w:footerReference r:id="rId7" w:type="default"/>
          <w:pgSz w:w="11906" w:h="16838"/>
          <w:pgMar w:top="1928" w:right="1588" w:bottom="1928" w:left="1588" w:header="1588" w:footer="1701" w:gutter="0"/>
          <w:pgNumType w:fmt="decimal"/>
          <w:cols w:space="720" w:num="1"/>
          <w:titlePg/>
          <w:docGrid w:type="lines" w:linePitch="312" w:charSpace="0"/>
        </w:sectPr>
      </w:pPr>
    </w:p>
    <w:tbl>
      <w:tblPr>
        <w:tblStyle w:val="33"/>
        <w:tblpPr w:leftFromText="180" w:rightFromText="180" w:vertAnchor="text" w:horzAnchor="page" w:tblpXSpec="center" w:tblpY="29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31"/>
        <w:gridCol w:w="5285"/>
        <w:gridCol w:w="703"/>
      </w:tblGrid>
      <w:tr w14:paraId="13C9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14:paraId="4F115C5F">
            <w:pPr>
              <w:keepNext w:val="0"/>
              <w:keepLines w:val="0"/>
              <w:suppressLineNumbers w:val="0"/>
              <w:spacing w:before="0" w:beforeAutospacing="0" w:after="0" w:afterAutospacing="0" w:line="440" w:lineRule="exact"/>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w:t>
            </w:r>
          </w:p>
        </w:tc>
        <w:tc>
          <w:tcPr>
            <w:tcW w:w="2631" w:type="dxa"/>
            <w:noWrap w:val="0"/>
            <w:vAlign w:val="center"/>
          </w:tcPr>
          <w:p w14:paraId="3548F851">
            <w:pPr>
              <w:keepNext w:val="0"/>
              <w:keepLines w:val="0"/>
              <w:suppressLineNumbers w:val="0"/>
              <w:spacing w:before="0" w:beforeAutospacing="0" w:after="0" w:afterAutospacing="0" w:line="440" w:lineRule="exact"/>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评审因素</w:t>
            </w:r>
          </w:p>
        </w:tc>
        <w:tc>
          <w:tcPr>
            <w:tcW w:w="5285" w:type="dxa"/>
            <w:noWrap w:val="0"/>
            <w:vAlign w:val="center"/>
          </w:tcPr>
          <w:p w14:paraId="06FC30B0">
            <w:pPr>
              <w:keepNext w:val="0"/>
              <w:keepLines w:val="0"/>
              <w:suppressLineNumbers w:val="0"/>
              <w:spacing w:before="0" w:beforeAutospacing="0" w:after="0" w:afterAutospacing="0" w:line="440" w:lineRule="exact"/>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评审标准</w:t>
            </w:r>
          </w:p>
        </w:tc>
        <w:tc>
          <w:tcPr>
            <w:tcW w:w="703" w:type="dxa"/>
            <w:noWrap w:val="0"/>
            <w:vAlign w:val="center"/>
          </w:tcPr>
          <w:p w14:paraId="70C5D4C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是否符合</w:t>
            </w:r>
          </w:p>
        </w:tc>
      </w:tr>
      <w:tr w14:paraId="3A89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vMerge w:val="restart"/>
            <w:noWrap w:val="0"/>
            <w:vAlign w:val="center"/>
          </w:tcPr>
          <w:p w14:paraId="4A1888E3">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资格性</w:t>
            </w:r>
          </w:p>
          <w:p w14:paraId="07A22131">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审查</w:t>
            </w:r>
          </w:p>
        </w:tc>
        <w:tc>
          <w:tcPr>
            <w:tcW w:w="2631" w:type="dxa"/>
            <w:noWrap w:val="0"/>
            <w:vAlign w:val="center"/>
          </w:tcPr>
          <w:p w14:paraId="030139E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供应商应为中小企业</w:t>
            </w:r>
          </w:p>
        </w:tc>
        <w:tc>
          <w:tcPr>
            <w:tcW w:w="5285" w:type="dxa"/>
            <w:noWrap w:val="0"/>
            <w:vAlign w:val="center"/>
          </w:tcPr>
          <w:p w14:paraId="7314ACC2">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提供《中小企业声明函》。格式以采购文件要求为准。</w:t>
            </w:r>
          </w:p>
        </w:tc>
        <w:tc>
          <w:tcPr>
            <w:tcW w:w="703" w:type="dxa"/>
            <w:noWrap w:val="0"/>
            <w:vAlign w:val="center"/>
          </w:tcPr>
          <w:p w14:paraId="658D0C4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405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01" w:type="dxa"/>
            <w:vMerge w:val="continue"/>
            <w:noWrap w:val="0"/>
            <w:vAlign w:val="center"/>
          </w:tcPr>
          <w:p w14:paraId="4CE6E8F7">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47DFD6D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具有独立承担民事责任的能力</w:t>
            </w:r>
          </w:p>
        </w:tc>
        <w:tc>
          <w:tcPr>
            <w:tcW w:w="5285" w:type="dxa"/>
            <w:noWrap w:val="0"/>
            <w:vAlign w:val="center"/>
          </w:tcPr>
          <w:p w14:paraId="4970350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提供有效的三证合一营业执照；</w:t>
            </w:r>
          </w:p>
        </w:tc>
        <w:tc>
          <w:tcPr>
            <w:tcW w:w="703" w:type="dxa"/>
            <w:noWrap w:val="0"/>
            <w:vAlign w:val="center"/>
          </w:tcPr>
          <w:p w14:paraId="77F4547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24E3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01" w:type="dxa"/>
            <w:vMerge w:val="continue"/>
            <w:noWrap w:val="0"/>
            <w:vAlign w:val="center"/>
          </w:tcPr>
          <w:p w14:paraId="6935C05B">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322EDD0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具有健全的财务会计制度</w:t>
            </w:r>
          </w:p>
        </w:tc>
        <w:tc>
          <w:tcPr>
            <w:tcW w:w="5285" w:type="dxa"/>
            <w:noWrap w:val="0"/>
            <w:vAlign w:val="center"/>
          </w:tcPr>
          <w:p w14:paraId="53C77F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年的财务审计报告或财务报表（如供应商新成立的，则提供成立至今的财务报表）</w:t>
            </w:r>
          </w:p>
        </w:tc>
        <w:tc>
          <w:tcPr>
            <w:tcW w:w="703" w:type="dxa"/>
            <w:noWrap w:val="0"/>
            <w:vAlign w:val="center"/>
          </w:tcPr>
          <w:p w14:paraId="3155AD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430C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1" w:type="dxa"/>
            <w:vMerge w:val="continue"/>
            <w:noWrap w:val="0"/>
            <w:vAlign w:val="center"/>
          </w:tcPr>
          <w:p w14:paraId="2D8B37BF">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45F8D33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具有履行合同所必需的设备和专业技术能力</w:t>
            </w:r>
          </w:p>
        </w:tc>
        <w:tc>
          <w:tcPr>
            <w:tcW w:w="5285" w:type="dxa"/>
            <w:noWrap w:val="0"/>
            <w:vAlign w:val="center"/>
          </w:tcPr>
          <w:p w14:paraId="3DEC194B">
            <w:pPr>
              <w:keepNext w:val="0"/>
              <w:keepLines w:val="0"/>
              <w:suppressLineNumbers w:val="0"/>
              <w:spacing w:before="0" w:beforeAutospacing="0" w:after="0" w:afterAutospacing="0" w:line="276" w:lineRule="auto"/>
              <w:ind w:left="0" w:right="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提供承诺函（详见格式）</w:t>
            </w:r>
          </w:p>
        </w:tc>
        <w:tc>
          <w:tcPr>
            <w:tcW w:w="703" w:type="dxa"/>
            <w:noWrap w:val="0"/>
            <w:vAlign w:val="center"/>
          </w:tcPr>
          <w:p w14:paraId="7A196F6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2C2E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7D661AA1">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2D7721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有依法缴纳税收和社会保障资金的良好记录</w:t>
            </w:r>
          </w:p>
        </w:tc>
        <w:tc>
          <w:tcPr>
            <w:tcW w:w="5285" w:type="dxa"/>
            <w:noWrap w:val="0"/>
            <w:vAlign w:val="center"/>
          </w:tcPr>
          <w:p w14:paraId="77D15DC3">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提供近半年任意1个月依法缴纳税收和缴纳社会保障资金的证明；</w:t>
            </w:r>
          </w:p>
        </w:tc>
        <w:tc>
          <w:tcPr>
            <w:tcW w:w="703" w:type="dxa"/>
            <w:noWrap w:val="0"/>
            <w:vAlign w:val="center"/>
          </w:tcPr>
          <w:p w14:paraId="1DEAFDF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4E68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01" w:type="dxa"/>
            <w:vMerge w:val="continue"/>
            <w:noWrap w:val="0"/>
            <w:vAlign w:val="center"/>
          </w:tcPr>
          <w:p w14:paraId="261C7E8A">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63D8B1A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参加政府采购活动前三年内，在经营活动中没有重大违法记录</w:t>
            </w:r>
          </w:p>
        </w:tc>
        <w:tc>
          <w:tcPr>
            <w:tcW w:w="5285" w:type="dxa"/>
            <w:noWrap w:val="0"/>
            <w:vAlign w:val="center"/>
          </w:tcPr>
          <w:p w14:paraId="20338ACF">
            <w:pPr>
              <w:keepNext w:val="0"/>
              <w:keepLines w:val="0"/>
              <w:suppressLineNumbers w:val="0"/>
              <w:spacing w:before="0" w:beforeAutospacing="0" w:after="0" w:afterAutospacing="0" w:line="276" w:lineRule="auto"/>
              <w:ind w:left="0" w:right="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参加政府采购活动前三年内，在经营活动中没有重大违法记录（详见格式）</w:t>
            </w:r>
          </w:p>
        </w:tc>
        <w:tc>
          <w:tcPr>
            <w:tcW w:w="703" w:type="dxa"/>
            <w:noWrap w:val="0"/>
            <w:vAlign w:val="center"/>
          </w:tcPr>
          <w:p w14:paraId="17EEFF5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2D95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Merge w:val="continue"/>
            <w:noWrap w:val="0"/>
            <w:vAlign w:val="center"/>
          </w:tcPr>
          <w:p w14:paraId="0AEA8866">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3541A41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法律、行政法规规定的其他条件</w:t>
            </w:r>
          </w:p>
        </w:tc>
        <w:tc>
          <w:tcPr>
            <w:tcW w:w="5285" w:type="dxa"/>
            <w:noWrap w:val="0"/>
            <w:vAlign w:val="center"/>
          </w:tcPr>
          <w:p w14:paraId="1BA0E08F">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提供承诺书，格式自拟</w:t>
            </w:r>
          </w:p>
        </w:tc>
        <w:tc>
          <w:tcPr>
            <w:tcW w:w="703" w:type="dxa"/>
            <w:noWrap w:val="0"/>
            <w:vAlign w:val="center"/>
          </w:tcPr>
          <w:p w14:paraId="6F5A62A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35FC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101" w:type="dxa"/>
            <w:vMerge w:val="continue"/>
            <w:noWrap w:val="0"/>
            <w:vAlign w:val="center"/>
          </w:tcPr>
          <w:p w14:paraId="38F0A72D">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08B30F4E">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特定资质</w:t>
            </w:r>
          </w:p>
        </w:tc>
        <w:tc>
          <w:tcPr>
            <w:tcW w:w="5285" w:type="dxa"/>
            <w:noWrap w:val="0"/>
            <w:vAlign w:val="center"/>
          </w:tcPr>
          <w:p w14:paraId="6983AC6C">
            <w:pPr>
              <w:keepNext w:val="0"/>
              <w:keepLines w:val="0"/>
              <w:suppressLineNumbers w:val="0"/>
              <w:spacing w:before="0" w:beforeAutospacing="0" w:after="0" w:afterAutospacing="0"/>
              <w:ind w:left="0" w:right="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（1）企业资质要求：市政公用工程监理乙级（含）以上或工程监理综合资质；</w:t>
            </w:r>
          </w:p>
          <w:p w14:paraId="795D1DA5">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（2）项目负责人资质要求：总监理工程师为市政公用工程注册监理工程师；</w:t>
            </w:r>
          </w:p>
        </w:tc>
        <w:tc>
          <w:tcPr>
            <w:tcW w:w="703" w:type="dxa"/>
            <w:noWrap w:val="0"/>
            <w:vAlign w:val="center"/>
          </w:tcPr>
          <w:p w14:paraId="3470F33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3A5D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101" w:type="dxa"/>
            <w:vMerge w:val="continue"/>
            <w:noWrap w:val="0"/>
            <w:vAlign w:val="center"/>
          </w:tcPr>
          <w:p w14:paraId="447F9E1B">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p>
        </w:tc>
        <w:tc>
          <w:tcPr>
            <w:tcW w:w="2631" w:type="dxa"/>
            <w:noWrap w:val="0"/>
            <w:vAlign w:val="center"/>
          </w:tcPr>
          <w:p w14:paraId="21F98E5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企业信用信息</w:t>
            </w:r>
          </w:p>
        </w:tc>
        <w:tc>
          <w:tcPr>
            <w:tcW w:w="5285" w:type="dxa"/>
            <w:noWrap w:val="0"/>
            <w:vAlign w:val="center"/>
          </w:tcPr>
          <w:p w14:paraId="7684A036">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未被“信用中国”网站（ www.creditchina.gov.cn）</w:t>
            </w:r>
            <w:bookmarkStart w:id="108" w:name="OLE_LINK28"/>
            <w:r>
              <w:rPr>
                <w:rFonts w:hint="eastAsia" w:ascii="仿宋" w:hAnsi="仿宋" w:eastAsia="仿宋" w:cs="仿宋"/>
                <w:color w:val="000000" w:themeColor="text1"/>
                <w:sz w:val="24"/>
                <w14:textFill>
                  <w14:solidFill>
                    <w14:schemeClr w14:val="tx1"/>
                  </w14:solidFill>
                </w14:textFill>
              </w:rPr>
              <w:t xml:space="preserve"> 列入</w:t>
            </w:r>
            <w:bookmarkEnd w:id="108"/>
            <w:r>
              <w:rPr>
                <w:rFonts w:hint="eastAsia" w:ascii="仿宋" w:hAnsi="仿宋" w:eastAsia="仿宋" w:cs="仿宋"/>
                <w:color w:val="000000" w:themeColor="text1"/>
                <w:sz w:val="24"/>
                <w14:textFill>
                  <w14:solidFill>
                    <w14:schemeClr w14:val="tx1"/>
                  </w14:solidFill>
                </w14:textFill>
              </w:rPr>
              <w:t>失信被执行人（或中国执行公开网）、</w:t>
            </w:r>
            <w:bookmarkStart w:id="109" w:name="OLE_LINK27"/>
            <w:r>
              <w:rPr>
                <w:rFonts w:hint="eastAsia" w:ascii="仿宋" w:hAnsi="仿宋" w:eastAsia="仿宋" w:cs="仿宋"/>
                <w:color w:val="000000" w:themeColor="text1"/>
                <w:sz w:val="24"/>
                <w14:textFill>
                  <w14:solidFill>
                    <w14:schemeClr w14:val="tx1"/>
                  </w14:solidFill>
                </w14:textFill>
              </w:rPr>
              <w:t>重大税收违法失信主体</w:t>
            </w:r>
            <w:bookmarkEnd w:id="109"/>
            <w:r>
              <w:rPr>
                <w:rFonts w:hint="eastAsia" w:ascii="仿宋" w:hAnsi="仿宋" w:eastAsia="仿宋" w:cs="仿宋"/>
                <w:color w:val="000000" w:themeColor="text1"/>
                <w:sz w:val="24"/>
                <w14:textFill>
                  <w14:solidFill>
                    <w14:schemeClr w14:val="tx1"/>
                  </w14:solidFill>
                </w14:textFill>
              </w:rPr>
              <w:t>、中国政府采购网（http://www.ccgp.gov.cn/search/cr/）</w:t>
            </w:r>
            <w:bookmarkStart w:id="110" w:name="OLE_LINK26"/>
            <w:r>
              <w:rPr>
                <w:rFonts w:hint="eastAsia" w:ascii="仿宋" w:hAnsi="仿宋" w:eastAsia="仿宋" w:cs="仿宋"/>
                <w:color w:val="000000" w:themeColor="text1"/>
                <w:sz w:val="24"/>
                <w14:textFill>
                  <w14:solidFill>
                    <w14:schemeClr w14:val="tx1"/>
                  </w14:solidFill>
                </w14:textFill>
              </w:rPr>
              <w:t>严重违法失信行为记录名单的（尚在处罚期内的）</w:t>
            </w:r>
            <w:bookmarkEnd w:id="110"/>
            <w:r>
              <w:rPr>
                <w:rFonts w:hint="eastAsia" w:ascii="仿宋" w:hAnsi="仿宋" w:eastAsia="仿宋" w:cs="仿宋"/>
                <w:color w:val="000000" w:themeColor="text1"/>
                <w:sz w:val="24"/>
                <w14:textFill>
                  <w14:solidFill>
                    <w14:schemeClr w14:val="tx1"/>
                  </w14:solidFill>
                </w14:textFill>
              </w:rPr>
              <w:t>，将拒绝其参加本次招标活动(</w:t>
            </w:r>
            <w:r>
              <w:rPr>
                <w:rFonts w:hint="eastAsia" w:ascii="仿宋" w:hAnsi="仿宋" w:eastAsia="仿宋" w:cs="仿宋"/>
                <w:b/>
                <w:bCs/>
                <w:color w:val="000000" w:themeColor="text1"/>
                <w:sz w:val="24"/>
                <w14:textFill>
                  <w14:solidFill>
                    <w14:schemeClr w14:val="tx1"/>
                  </w14:solidFill>
                </w14:textFill>
              </w:rPr>
              <w:t>提供开标截止时间前的截图，</w:t>
            </w:r>
            <w:r>
              <w:rPr>
                <w:rFonts w:hint="eastAsia" w:ascii="仿宋" w:hAnsi="仿宋" w:eastAsia="仿宋" w:cs="仿宋"/>
                <w:color w:val="000000" w:themeColor="text1"/>
                <w:sz w:val="24"/>
                <w14:textFill>
                  <w14:solidFill>
                    <w14:schemeClr w14:val="tx1"/>
                  </w14:solidFill>
                </w14:textFill>
              </w:rPr>
              <w:t>如投标单位提供信用截图在评标过程中有争议，以招标代理机构或评标委员会成员现场查询截图为准)；</w:t>
            </w:r>
          </w:p>
        </w:tc>
        <w:tc>
          <w:tcPr>
            <w:tcW w:w="703" w:type="dxa"/>
            <w:noWrap w:val="0"/>
            <w:vAlign w:val="center"/>
          </w:tcPr>
          <w:p w14:paraId="4BE53D1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bl>
    <w:p w14:paraId="55BA3543">
      <w:pPr>
        <w:pStyle w:val="11"/>
        <w:ind w:left="0" w:leftChars="0" w:firstLine="0" w:firstLineChars="0"/>
        <w:rPr>
          <w:rFonts w:hint="eastAsia" w:ascii="仿宋" w:hAnsi="仿宋" w:eastAsia="仿宋" w:cs="仿宋"/>
          <w:b/>
          <w:color w:val="000000" w:themeColor="text1"/>
          <w:sz w:val="24"/>
          <w14:textFill>
            <w14:solidFill>
              <w14:schemeClr w14:val="tx1"/>
            </w14:solidFill>
          </w14:textFill>
        </w:rPr>
      </w:pPr>
    </w:p>
    <w:p w14:paraId="6E0FB727">
      <w:pPr>
        <w:pStyle w:val="1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备注：如有一项未通过，评审小组将认定整个投标文件未响应招标文件而予以废标处理。</w:t>
      </w:r>
    </w:p>
    <w:p w14:paraId="2F021867">
      <w:pPr>
        <w:adjustRightInd w:val="0"/>
        <w:snapToGrid w:val="0"/>
        <w:spacing w:line="360" w:lineRule="auto"/>
        <w:jc w:val="center"/>
        <w:outlineLvl w:val="2"/>
        <w:rPr>
          <w:rFonts w:hint="eastAsia" w:ascii="仿宋" w:hAnsi="仿宋" w:eastAsia="仿宋" w:cs="仿宋"/>
          <w:b/>
          <w:color w:val="000000" w:themeColor="text1"/>
          <w:sz w:val="28"/>
          <w:szCs w:val="28"/>
          <w14:textFill>
            <w14:solidFill>
              <w14:schemeClr w14:val="tx1"/>
            </w14:solidFill>
          </w14:textFill>
        </w:rPr>
      </w:pPr>
    </w:p>
    <w:p w14:paraId="0CE9CA5B">
      <w:pPr>
        <w:adjustRightInd w:val="0"/>
        <w:snapToGrid w:val="0"/>
        <w:spacing w:line="360" w:lineRule="auto"/>
        <w:jc w:val="center"/>
        <w:outlineLvl w:val="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符合性审查表</w:t>
      </w:r>
    </w:p>
    <w:tbl>
      <w:tblPr>
        <w:tblStyle w:val="33"/>
        <w:tblpPr w:leftFromText="180" w:rightFromText="180" w:vertAnchor="text" w:horzAnchor="page" w:tblpXSpec="center" w:tblpY="29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654"/>
        <w:gridCol w:w="5331"/>
        <w:gridCol w:w="709"/>
      </w:tblGrid>
      <w:tr w14:paraId="6504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noWrap w:val="0"/>
            <w:vAlign w:val="center"/>
          </w:tcPr>
          <w:p w14:paraId="2F35588D">
            <w:pPr>
              <w:keepNext w:val="0"/>
              <w:keepLines w:val="0"/>
              <w:suppressLineNumbers w:val="0"/>
              <w:spacing w:before="0" w:beforeAutospacing="0" w:after="0" w:afterAutospacing="0" w:line="440" w:lineRule="exact"/>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w:t>
            </w:r>
          </w:p>
        </w:tc>
        <w:tc>
          <w:tcPr>
            <w:tcW w:w="2654" w:type="dxa"/>
            <w:noWrap w:val="0"/>
            <w:vAlign w:val="center"/>
          </w:tcPr>
          <w:p w14:paraId="33251A58">
            <w:pPr>
              <w:keepNext w:val="0"/>
              <w:keepLines w:val="0"/>
              <w:suppressLineNumbers w:val="0"/>
              <w:spacing w:before="0" w:beforeAutospacing="0" w:after="0" w:afterAutospacing="0" w:line="440" w:lineRule="exact"/>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评审因素</w:t>
            </w:r>
          </w:p>
        </w:tc>
        <w:tc>
          <w:tcPr>
            <w:tcW w:w="5331" w:type="dxa"/>
            <w:noWrap w:val="0"/>
            <w:vAlign w:val="center"/>
          </w:tcPr>
          <w:p w14:paraId="21CBD2C8">
            <w:pPr>
              <w:keepNext w:val="0"/>
              <w:keepLines w:val="0"/>
              <w:suppressLineNumbers w:val="0"/>
              <w:spacing w:before="0" w:beforeAutospacing="0" w:after="0" w:afterAutospacing="0" w:line="440" w:lineRule="exact"/>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评审标准</w:t>
            </w:r>
          </w:p>
        </w:tc>
        <w:tc>
          <w:tcPr>
            <w:tcW w:w="709" w:type="dxa"/>
            <w:noWrap w:val="0"/>
            <w:vAlign w:val="center"/>
          </w:tcPr>
          <w:p w14:paraId="0ECBCA4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是否符合</w:t>
            </w:r>
          </w:p>
        </w:tc>
      </w:tr>
      <w:tr w14:paraId="50A8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restart"/>
            <w:noWrap w:val="0"/>
            <w:vAlign w:val="center"/>
          </w:tcPr>
          <w:p w14:paraId="7850FCD0">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符合性</w:t>
            </w:r>
          </w:p>
          <w:p w14:paraId="3764F94C">
            <w:pPr>
              <w:keepNext w:val="0"/>
              <w:keepLines w:val="0"/>
              <w:suppressLineNumbers w:val="0"/>
              <w:spacing w:before="0" w:beforeAutospacing="0" w:after="0" w:afterAutospacing="0" w:line="440" w:lineRule="exact"/>
              <w:ind w:left="0" w:right="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审查</w:t>
            </w:r>
          </w:p>
        </w:tc>
        <w:tc>
          <w:tcPr>
            <w:tcW w:w="2654" w:type="dxa"/>
            <w:noWrap w:val="0"/>
            <w:vAlign w:val="center"/>
          </w:tcPr>
          <w:p w14:paraId="722ADE7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投标文件格式</w:t>
            </w:r>
          </w:p>
        </w:tc>
        <w:tc>
          <w:tcPr>
            <w:tcW w:w="5331" w:type="dxa"/>
            <w:noWrap w:val="0"/>
            <w:vAlign w:val="center"/>
          </w:tcPr>
          <w:p w14:paraId="35AF08D9">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投标文件按照招标文件规定的内容、格式填写，字迹清晰可辨</w:t>
            </w:r>
          </w:p>
        </w:tc>
        <w:tc>
          <w:tcPr>
            <w:tcW w:w="709" w:type="dxa"/>
            <w:noWrap w:val="0"/>
            <w:vAlign w:val="center"/>
          </w:tcPr>
          <w:p w14:paraId="13211B4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49FE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7D55C086">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6578A7D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投标授权委托</w:t>
            </w:r>
          </w:p>
        </w:tc>
        <w:tc>
          <w:tcPr>
            <w:tcW w:w="5331" w:type="dxa"/>
            <w:noWrap w:val="0"/>
            <w:vAlign w:val="center"/>
          </w:tcPr>
          <w:p w14:paraId="2D5E7135">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投标文件提供法定代表人授权委托书或提供法定代表人身份证明</w:t>
            </w:r>
          </w:p>
        </w:tc>
        <w:tc>
          <w:tcPr>
            <w:tcW w:w="709" w:type="dxa"/>
            <w:noWrap w:val="0"/>
            <w:vAlign w:val="center"/>
          </w:tcPr>
          <w:p w14:paraId="3548D22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7325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7E54051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2BFCECC7">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签字盖章</w:t>
            </w:r>
          </w:p>
        </w:tc>
        <w:tc>
          <w:tcPr>
            <w:tcW w:w="5331" w:type="dxa"/>
            <w:noWrap w:val="0"/>
            <w:vAlign w:val="center"/>
          </w:tcPr>
          <w:p w14:paraId="0D9F7B46">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投标文件按磋招标文件要求签字、盖章</w:t>
            </w:r>
          </w:p>
        </w:tc>
        <w:tc>
          <w:tcPr>
            <w:tcW w:w="709" w:type="dxa"/>
            <w:noWrap w:val="0"/>
            <w:vAlign w:val="center"/>
          </w:tcPr>
          <w:p w14:paraId="64E0B5A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249F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1DDFB52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3619455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tc>
        <w:tc>
          <w:tcPr>
            <w:tcW w:w="5331" w:type="dxa"/>
            <w:noWrap w:val="0"/>
            <w:vAlign w:val="center"/>
          </w:tcPr>
          <w:p w14:paraId="7628DA95">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投标人报价未高于招标文件规定的最高限价</w:t>
            </w:r>
          </w:p>
        </w:tc>
        <w:tc>
          <w:tcPr>
            <w:tcW w:w="709" w:type="dxa"/>
            <w:noWrap w:val="0"/>
            <w:vAlign w:val="center"/>
          </w:tcPr>
          <w:p w14:paraId="2C2A587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07A5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1" w:type="dxa"/>
            <w:vMerge w:val="continue"/>
            <w:noWrap w:val="0"/>
            <w:vAlign w:val="center"/>
          </w:tcPr>
          <w:p w14:paraId="2CA4671A">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3FC422CB">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投标有效期</w:t>
            </w:r>
          </w:p>
        </w:tc>
        <w:tc>
          <w:tcPr>
            <w:tcW w:w="5331" w:type="dxa"/>
            <w:noWrap w:val="0"/>
            <w:vAlign w:val="center"/>
          </w:tcPr>
          <w:p w14:paraId="27BB0947">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投标文件投标有效期满足招标文件要求</w:t>
            </w:r>
          </w:p>
        </w:tc>
        <w:tc>
          <w:tcPr>
            <w:tcW w:w="709" w:type="dxa"/>
            <w:noWrap w:val="0"/>
            <w:vAlign w:val="center"/>
          </w:tcPr>
          <w:p w14:paraId="2808A0A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024C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11" w:type="dxa"/>
            <w:vMerge w:val="continue"/>
            <w:noWrap w:val="0"/>
            <w:vAlign w:val="center"/>
          </w:tcPr>
          <w:p w14:paraId="0374B7E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5BF943F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投标保证金</w:t>
            </w:r>
          </w:p>
        </w:tc>
        <w:tc>
          <w:tcPr>
            <w:tcW w:w="5331" w:type="dxa"/>
            <w:noWrap w:val="0"/>
            <w:vAlign w:val="center"/>
          </w:tcPr>
          <w:p w14:paraId="13ED4FF8">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按要求递交并在投标文件中附保证金递交证明材料</w:t>
            </w:r>
          </w:p>
        </w:tc>
        <w:tc>
          <w:tcPr>
            <w:tcW w:w="709" w:type="dxa"/>
            <w:noWrap w:val="0"/>
            <w:vAlign w:val="center"/>
          </w:tcPr>
          <w:p w14:paraId="5E293AB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3505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11" w:type="dxa"/>
            <w:vMerge w:val="continue"/>
            <w:noWrap w:val="0"/>
            <w:vAlign w:val="center"/>
          </w:tcPr>
          <w:p w14:paraId="6AB63077">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p>
        </w:tc>
        <w:tc>
          <w:tcPr>
            <w:tcW w:w="2654" w:type="dxa"/>
            <w:noWrap w:val="0"/>
            <w:vAlign w:val="center"/>
          </w:tcPr>
          <w:p w14:paraId="55CD4F8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w:t>
            </w:r>
          </w:p>
        </w:tc>
        <w:tc>
          <w:tcPr>
            <w:tcW w:w="5331" w:type="dxa"/>
            <w:noWrap w:val="0"/>
            <w:vAlign w:val="center"/>
          </w:tcPr>
          <w:p w14:paraId="56E21F49">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符合招标文件的相关技术要求。</w:t>
            </w:r>
          </w:p>
        </w:tc>
        <w:tc>
          <w:tcPr>
            <w:tcW w:w="709" w:type="dxa"/>
            <w:noWrap w:val="0"/>
            <w:vAlign w:val="center"/>
          </w:tcPr>
          <w:p w14:paraId="641689C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bl>
    <w:p w14:paraId="52E9BF4E">
      <w:pPr>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备注：如有一项未通过，评审小组将认定整个投标文件未响应招标文件而予以废标处理。</w:t>
      </w:r>
    </w:p>
    <w:p w14:paraId="2F3CB31E">
      <w:pPr>
        <w:spacing w:line="440" w:lineRule="exact"/>
        <w:jc w:val="center"/>
        <w:rPr>
          <w:rFonts w:hint="eastAsia" w:ascii="仿宋" w:hAnsi="仿宋" w:eastAsia="仿宋" w:cs="仿宋"/>
          <w:b/>
          <w:color w:val="000000" w:themeColor="text1"/>
          <w:sz w:val="24"/>
          <w14:textFill>
            <w14:solidFill>
              <w14:schemeClr w14:val="tx1"/>
            </w14:solidFill>
          </w14:textFill>
        </w:rPr>
        <w:sectPr>
          <w:footerReference r:id="rId10" w:type="first"/>
          <w:footerReference r:id="rId9" w:type="default"/>
          <w:pgSz w:w="11906" w:h="16838"/>
          <w:pgMar w:top="1928" w:right="1588" w:bottom="1928" w:left="1588" w:header="1588" w:footer="1701" w:gutter="0"/>
          <w:pgNumType w:fmt="decimal"/>
          <w:cols w:space="720" w:num="1"/>
          <w:titlePg/>
          <w:docGrid w:type="lines" w:linePitch="312" w:charSpace="0"/>
        </w:sectPr>
      </w:pPr>
    </w:p>
    <w:p w14:paraId="40C60854">
      <w:pPr>
        <w:spacing w:line="360" w:lineRule="auto"/>
        <w:rPr>
          <w:rFonts w:hint="eastAsia" w:ascii="仿宋" w:hAnsi="仿宋" w:eastAsia="仿宋" w:cs="仿宋"/>
          <w:b/>
          <w:color w:val="000000" w:themeColor="text1"/>
          <w:sz w:val="24"/>
          <w14:textFill>
            <w14:solidFill>
              <w14:schemeClr w14:val="tx1"/>
            </w14:solidFill>
          </w14:textFill>
        </w:rPr>
      </w:pPr>
    </w:p>
    <w:p w14:paraId="4CE26343">
      <w:pPr>
        <w:spacing w:line="360" w:lineRule="auto"/>
        <w:ind w:left="108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商务部分评审表</w:t>
      </w:r>
    </w:p>
    <w:p w14:paraId="77C96980">
      <w:pPr>
        <w:spacing w:line="360" w:lineRule="auto"/>
        <w:ind w:left="1080"/>
        <w:jc w:val="center"/>
        <w:rPr>
          <w:rFonts w:hint="eastAsia" w:ascii="仿宋" w:hAnsi="仿宋" w:eastAsia="仿宋" w:cs="仿宋"/>
          <w:b/>
          <w:bCs/>
          <w:color w:val="000000" w:themeColor="text1"/>
          <w:sz w:val="28"/>
          <w:szCs w:val="28"/>
          <w14:textFill>
            <w14:solidFill>
              <w14:schemeClr w14:val="tx1"/>
            </w14:solidFill>
          </w14:textFill>
        </w:rPr>
      </w:pPr>
    </w:p>
    <w:tbl>
      <w:tblPr>
        <w:tblStyle w:val="3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97"/>
        <w:gridCol w:w="1350"/>
        <w:gridCol w:w="5790"/>
        <w:gridCol w:w="632"/>
      </w:tblGrid>
      <w:tr w14:paraId="0629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75" w:type="dxa"/>
            <w:noWrap/>
            <w:vAlign w:val="center"/>
          </w:tcPr>
          <w:p w14:paraId="52B5F2E8">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2247" w:type="dxa"/>
            <w:gridSpan w:val="2"/>
            <w:noWrap/>
            <w:vAlign w:val="center"/>
          </w:tcPr>
          <w:p w14:paraId="58D56340">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项目</w:t>
            </w:r>
          </w:p>
        </w:tc>
        <w:tc>
          <w:tcPr>
            <w:tcW w:w="5790" w:type="dxa"/>
            <w:noWrap/>
            <w:vAlign w:val="center"/>
          </w:tcPr>
          <w:p w14:paraId="62BD07CD">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评审内容</w:t>
            </w:r>
          </w:p>
        </w:tc>
        <w:tc>
          <w:tcPr>
            <w:tcW w:w="632" w:type="dxa"/>
            <w:noWrap/>
            <w:vAlign w:val="center"/>
          </w:tcPr>
          <w:p w14:paraId="55C01BF6">
            <w:pPr>
              <w:keepNext w:val="0"/>
              <w:keepLines w:val="0"/>
              <w:suppressLineNumbers w:val="0"/>
              <w:tabs>
                <w:tab w:val="left" w:pos="267"/>
              </w:tabs>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分值</w:t>
            </w:r>
          </w:p>
        </w:tc>
      </w:tr>
      <w:tr w14:paraId="2BF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75" w:type="dxa"/>
            <w:vMerge w:val="restart"/>
            <w:noWrap/>
            <w:vAlign w:val="center"/>
          </w:tcPr>
          <w:p w14:paraId="77B3A15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14:textFill>
                  <w14:solidFill>
                    <w14:schemeClr w14:val="tx1"/>
                  </w14:solidFill>
                </w14:textFill>
              </w:rPr>
            </w:pPr>
            <w:bookmarkStart w:id="111" w:name="OLE_LINK18" w:colFirst="3" w:colLast="3"/>
            <w:bookmarkStart w:id="112" w:name="OLE_LINK16" w:colFirst="4" w:colLast="4"/>
            <w:bookmarkStart w:id="113" w:name="OLE_LINK13" w:colFirst="2" w:colLast="2"/>
            <w:r>
              <w:rPr>
                <w:rFonts w:hint="eastAsia" w:ascii="仿宋" w:hAnsi="仿宋" w:eastAsia="仿宋" w:cs="仿宋"/>
                <w:color w:val="000000" w:themeColor="text1"/>
                <w:kern w:val="0"/>
                <w:sz w:val="24"/>
                <w14:textFill>
                  <w14:solidFill>
                    <w14:schemeClr w14:val="tx1"/>
                  </w14:solidFill>
                </w14:textFill>
              </w:rPr>
              <w:t>1</w:t>
            </w:r>
          </w:p>
        </w:tc>
        <w:tc>
          <w:tcPr>
            <w:tcW w:w="897" w:type="dxa"/>
            <w:vMerge w:val="restart"/>
            <w:noWrap/>
            <w:vAlign w:val="center"/>
          </w:tcPr>
          <w:p w14:paraId="79BCBF6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14:textFill>
                  <w14:solidFill>
                    <w14:schemeClr w14:val="tx1"/>
                  </w14:solidFill>
                </w14:textFill>
              </w:rPr>
            </w:pPr>
            <w:bookmarkStart w:id="114" w:name="OLE_LINK14"/>
            <w:r>
              <w:rPr>
                <w:rFonts w:hint="eastAsia" w:ascii="仿宋" w:hAnsi="仿宋" w:eastAsia="仿宋" w:cs="仿宋"/>
                <w:color w:val="000000" w:themeColor="text1"/>
                <w:kern w:val="0"/>
                <w:sz w:val="24"/>
                <w14:textFill>
                  <w14:solidFill>
                    <w14:schemeClr w14:val="tx1"/>
                  </w14:solidFill>
                </w14:textFill>
              </w:rPr>
              <w:t>商务部分</w:t>
            </w:r>
          </w:p>
          <w:bookmarkEnd w:id="114"/>
          <w:p w14:paraId="2375A265">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lang w:eastAsia="zh-CN"/>
                <w14:textFill>
                  <w14:solidFill>
                    <w14:schemeClr w14:val="tx1"/>
                  </w14:solidFill>
                </w14:textFill>
              </w:rPr>
            </w:pPr>
            <w:r>
              <w:rPr>
                <w:rFonts w:hint="eastAsia" w:cs="仿宋"/>
                <w:color w:val="000000" w:themeColor="text1"/>
                <w:kern w:val="0"/>
                <w:sz w:val="24"/>
                <w:szCs w:val="22"/>
                <w:lang w:val="en-US" w:eastAsia="zh-CN" w:bidi="ar-SA"/>
                <w14:textFill>
                  <w14:solidFill>
                    <w14:schemeClr w14:val="tx1"/>
                  </w14:solidFill>
                </w14:textFill>
              </w:rPr>
              <w:t>20</w:t>
            </w:r>
            <w:r>
              <w:rPr>
                <w:rFonts w:hint="eastAsia" w:ascii="仿宋" w:hAnsi="仿宋" w:eastAsia="仿宋" w:cs="仿宋"/>
                <w:color w:val="000000" w:themeColor="text1"/>
                <w:kern w:val="0"/>
                <w:sz w:val="24"/>
                <w:szCs w:val="22"/>
                <w:lang w:val="en-US" w:eastAsia="en-US" w:bidi="ar-SA"/>
                <w14:textFill>
                  <w14:solidFill>
                    <w14:schemeClr w14:val="tx1"/>
                  </w14:solidFill>
                </w14:textFill>
              </w:rPr>
              <w:t>分</w:t>
            </w:r>
          </w:p>
        </w:tc>
        <w:tc>
          <w:tcPr>
            <w:tcW w:w="1350" w:type="dxa"/>
            <w:noWrap/>
            <w:vAlign w:val="center"/>
          </w:tcPr>
          <w:p w14:paraId="79E9CB8A">
            <w:pPr>
              <w:pStyle w:val="17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仿宋" w:hAnsi="仿宋" w:eastAsia="仿宋" w:cs="仿宋"/>
                <w:color w:val="000000" w:themeColor="text1"/>
                <w:kern w:val="0"/>
                <w:sz w:val="24"/>
                <w:szCs w:val="22"/>
                <w:lang w:val="en-US" w:eastAsia="en-US" w:bidi="ar-SA"/>
                <w14:textFill>
                  <w14:solidFill>
                    <w14:schemeClr w14:val="tx1"/>
                  </w14:solidFill>
                </w14:textFill>
              </w:rPr>
            </w:pPr>
            <w:r>
              <w:rPr>
                <w:rFonts w:hint="eastAsia" w:ascii="仿宋" w:hAnsi="仿宋" w:eastAsia="仿宋" w:cs="仿宋"/>
                <w:color w:val="000000" w:themeColor="text1"/>
                <w:kern w:val="0"/>
                <w:sz w:val="24"/>
                <w:szCs w:val="22"/>
                <w:lang w:val="en-US" w:eastAsia="en-US" w:bidi="ar-SA"/>
                <w14:textFill>
                  <w14:solidFill>
                    <w14:schemeClr w14:val="tx1"/>
                  </w14:solidFill>
                </w14:textFill>
              </w:rPr>
              <w:t>企业业绩（</w:t>
            </w:r>
            <w:r>
              <w:rPr>
                <w:rFonts w:hint="eastAsia" w:cs="仿宋"/>
                <w:color w:val="000000" w:themeColor="text1"/>
                <w:kern w:val="0"/>
                <w:sz w:val="24"/>
                <w:szCs w:val="22"/>
                <w:lang w:val="en-US" w:eastAsia="zh-CN" w:bidi="ar-SA"/>
                <w14:textFill>
                  <w14:solidFill>
                    <w14:schemeClr w14:val="tx1"/>
                  </w14:solidFill>
                </w14:textFill>
              </w:rPr>
              <w:t>4</w:t>
            </w:r>
            <w:r>
              <w:rPr>
                <w:rFonts w:hint="eastAsia" w:ascii="仿宋" w:hAnsi="仿宋" w:eastAsia="仿宋" w:cs="仿宋"/>
                <w:color w:val="000000" w:themeColor="text1"/>
                <w:kern w:val="0"/>
                <w:sz w:val="24"/>
                <w:szCs w:val="22"/>
                <w:lang w:val="en-US" w:eastAsia="en-US" w:bidi="ar-SA"/>
                <w14:textFill>
                  <w14:solidFill>
                    <w14:schemeClr w14:val="tx1"/>
                  </w14:solidFill>
                </w14:textFill>
              </w:rPr>
              <w:t>.0分）</w:t>
            </w:r>
          </w:p>
        </w:tc>
        <w:tc>
          <w:tcPr>
            <w:tcW w:w="5790" w:type="dxa"/>
            <w:noWrap/>
            <w:vAlign w:val="center"/>
          </w:tcPr>
          <w:p w14:paraId="41AC2940">
            <w:pPr>
              <w:keepNext w:val="0"/>
              <w:keepLines w:val="0"/>
              <w:suppressLineNumbers w:val="0"/>
              <w:spacing w:before="0" w:beforeAutospacing="0" w:after="0" w:afterAutospacing="0" w:line="276" w:lineRule="auto"/>
              <w:ind w:left="0" w:right="0"/>
              <w:jc w:val="left"/>
              <w:rPr>
                <w:rFonts w:hint="eastAsia" w:ascii="仿宋" w:hAnsi="仿宋" w:eastAsia="仿宋" w:cs="仿宋"/>
                <w:color w:val="000000" w:themeColor="text1"/>
                <w:kern w:val="0"/>
                <w:sz w:val="24"/>
                <w:szCs w:val="22"/>
                <w:lang w:val="en-US" w:eastAsia="en-US" w:bidi="ar-SA"/>
                <w14:textFill>
                  <w14:solidFill>
                    <w14:schemeClr w14:val="tx1"/>
                  </w14:solidFill>
                </w14:textFill>
              </w:rPr>
            </w:pPr>
            <w:bookmarkStart w:id="141" w:name="_GoBack"/>
            <w:r>
              <w:rPr>
                <w:rFonts w:hint="eastAsia" w:ascii="仿宋" w:hAnsi="仿宋" w:eastAsia="仿宋" w:cs="仿宋"/>
                <w:color w:val="000000" w:themeColor="text1"/>
                <w:kern w:val="0"/>
                <w:sz w:val="24"/>
                <w:szCs w:val="22"/>
                <w:lang w:val="en-US" w:eastAsia="en-US" w:bidi="ar-SA"/>
                <w14:textFill>
                  <w14:solidFill>
                    <w14:schemeClr w14:val="tx1"/>
                  </w14:solidFill>
                </w14:textFill>
              </w:rPr>
              <w:t>投标人具备（202</w:t>
            </w:r>
            <w:r>
              <w:rPr>
                <w:rFonts w:hint="eastAsia" w:ascii="仿宋" w:hAnsi="仿宋" w:eastAsia="仿宋" w:cs="仿宋"/>
                <w:color w:val="000000" w:themeColor="text1"/>
                <w:kern w:val="0"/>
                <w:sz w:val="24"/>
                <w:szCs w:val="22"/>
                <w:lang w:val="en-US" w:eastAsia="zh-CN" w:bidi="ar-SA"/>
                <w14:textFill>
                  <w14:solidFill>
                    <w14:schemeClr w14:val="tx1"/>
                  </w14:solidFill>
                </w14:textFill>
              </w:rPr>
              <w:t>2</w:t>
            </w:r>
            <w:r>
              <w:rPr>
                <w:rFonts w:hint="eastAsia" w:ascii="仿宋" w:hAnsi="仿宋" w:eastAsia="仿宋" w:cs="仿宋"/>
                <w:color w:val="000000" w:themeColor="text1"/>
                <w:kern w:val="0"/>
                <w:sz w:val="24"/>
                <w:szCs w:val="22"/>
                <w:lang w:val="en-US" w:eastAsia="en-US" w:bidi="ar-SA"/>
                <w14:textFill>
                  <w14:solidFill>
                    <w14:schemeClr w14:val="tx1"/>
                  </w14:solidFill>
                </w14:textFill>
              </w:rPr>
              <w:t>年1月1日至投标截止时间）（</w:t>
            </w:r>
            <w:r>
              <w:rPr>
                <w:rFonts w:hint="eastAsia" w:ascii="仿宋" w:hAnsi="仿宋" w:eastAsia="仿宋" w:cs="仿宋"/>
                <w:color w:val="000000" w:themeColor="text1"/>
                <w:kern w:val="0"/>
                <w:sz w:val="24"/>
                <w:szCs w:val="22"/>
                <w:lang w:val="en-US" w:eastAsia="zh-CN" w:bidi="ar-SA"/>
                <w14:textFill>
                  <w14:solidFill>
                    <w14:schemeClr w14:val="tx1"/>
                  </w14:solidFill>
                </w14:textFill>
              </w:rPr>
              <w:t>市政公用工程</w:t>
            </w:r>
            <w:r>
              <w:rPr>
                <w:rFonts w:hint="eastAsia" w:ascii="仿宋" w:hAnsi="仿宋" w:eastAsia="仿宋" w:cs="仿宋"/>
                <w:color w:val="000000" w:themeColor="text1"/>
                <w:kern w:val="0"/>
                <w:sz w:val="24"/>
                <w:szCs w:val="22"/>
                <w:lang w:val="en-US" w:eastAsia="en-US" w:bidi="ar-SA"/>
                <w14:textFill>
                  <w14:solidFill>
                    <w14:schemeClr w14:val="tx1"/>
                  </w14:solidFill>
                </w14:textFill>
              </w:rPr>
              <w:t>）监理业绩，每一项得</w:t>
            </w:r>
            <w:r>
              <w:rPr>
                <w:rFonts w:hint="eastAsia" w:ascii="仿宋" w:hAnsi="仿宋" w:eastAsia="仿宋" w:cs="仿宋"/>
                <w:color w:val="000000" w:themeColor="text1"/>
                <w:kern w:val="0"/>
                <w:sz w:val="24"/>
                <w:szCs w:val="22"/>
                <w:lang w:val="en-US" w:eastAsia="zh-CN" w:bidi="ar-SA"/>
                <w14:textFill>
                  <w14:solidFill>
                    <w14:schemeClr w14:val="tx1"/>
                  </w14:solidFill>
                </w14:textFill>
              </w:rPr>
              <w:t>1</w:t>
            </w:r>
            <w:r>
              <w:rPr>
                <w:rFonts w:hint="eastAsia" w:ascii="仿宋" w:hAnsi="仿宋" w:eastAsia="仿宋" w:cs="仿宋"/>
                <w:color w:val="000000" w:themeColor="text1"/>
                <w:kern w:val="0"/>
                <w:sz w:val="24"/>
                <w:szCs w:val="22"/>
                <w:lang w:val="en-US" w:eastAsia="en-US" w:bidi="ar-SA"/>
                <w14:textFill>
                  <w14:solidFill>
                    <w14:schemeClr w14:val="tx1"/>
                  </w14:solidFill>
                </w14:textFill>
              </w:rPr>
              <w:t>分，最多得</w:t>
            </w:r>
            <w:r>
              <w:rPr>
                <w:rFonts w:hint="eastAsia" w:ascii="仿宋" w:hAnsi="仿宋" w:eastAsia="仿宋" w:cs="仿宋"/>
                <w:color w:val="000000" w:themeColor="text1"/>
                <w:kern w:val="0"/>
                <w:sz w:val="24"/>
                <w:szCs w:val="22"/>
                <w:lang w:val="en-US" w:eastAsia="zh-CN" w:bidi="ar-SA"/>
                <w14:textFill>
                  <w14:solidFill>
                    <w14:schemeClr w14:val="tx1"/>
                  </w14:solidFill>
                </w14:textFill>
              </w:rPr>
              <w:t>4</w:t>
            </w:r>
            <w:r>
              <w:rPr>
                <w:rFonts w:hint="eastAsia" w:ascii="仿宋" w:hAnsi="仿宋" w:eastAsia="仿宋" w:cs="仿宋"/>
                <w:color w:val="000000" w:themeColor="text1"/>
                <w:kern w:val="0"/>
                <w:sz w:val="24"/>
                <w:szCs w:val="22"/>
                <w:lang w:val="en-US" w:eastAsia="en-US" w:bidi="ar-SA"/>
                <w14:textFill>
                  <w14:solidFill>
                    <w14:schemeClr w14:val="tx1"/>
                  </w14:solidFill>
                </w14:textFill>
              </w:rPr>
              <w:t>分；应提供中标通知书及竣工验收报告或工程监理合同（第一部分）及竣工验收报告（时间以竣工验收时间为准）</w:t>
            </w:r>
            <w:bookmarkEnd w:id="141"/>
          </w:p>
        </w:tc>
        <w:tc>
          <w:tcPr>
            <w:tcW w:w="632" w:type="dxa"/>
            <w:vMerge w:val="restart"/>
            <w:noWrap/>
            <w:vAlign w:val="center"/>
          </w:tcPr>
          <w:p w14:paraId="5E7ED04E">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6</w:t>
            </w:r>
            <w:r>
              <w:rPr>
                <w:rFonts w:hint="eastAsia" w:ascii="仿宋" w:hAnsi="仿宋" w:eastAsia="仿宋" w:cs="仿宋"/>
                <w:color w:val="000000" w:themeColor="text1"/>
                <w:kern w:val="0"/>
                <w:sz w:val="24"/>
                <w:lang w:bidi="ar"/>
                <w14:textFill>
                  <w14:solidFill>
                    <w14:schemeClr w14:val="tx1"/>
                  </w14:solidFill>
                </w14:textFill>
              </w:rPr>
              <w:t>分</w:t>
            </w:r>
          </w:p>
        </w:tc>
      </w:tr>
      <w:tr w14:paraId="0F8A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75" w:type="dxa"/>
            <w:vMerge w:val="continue"/>
            <w:noWrap/>
            <w:vAlign w:val="center"/>
          </w:tcPr>
          <w:p w14:paraId="59300B9F">
            <w:pPr>
              <w:keepNext w:val="0"/>
              <w:keepLines w:val="0"/>
              <w:suppressLineNumbers w:val="0"/>
              <w:spacing w:before="0" w:beforeAutospacing="0" w:after="0" w:afterAutospacing="0" w:line="276" w:lineRule="auto"/>
              <w:ind w:left="0" w:right="0"/>
              <w:jc w:val="left"/>
              <w:rPr>
                <w:rFonts w:hint="default"/>
                <w:color w:val="000000" w:themeColor="text1"/>
                <w14:textFill>
                  <w14:solidFill>
                    <w14:schemeClr w14:val="tx1"/>
                  </w14:solidFill>
                </w14:textFill>
              </w:rPr>
            </w:pPr>
          </w:p>
        </w:tc>
        <w:tc>
          <w:tcPr>
            <w:tcW w:w="897" w:type="dxa"/>
            <w:vMerge w:val="continue"/>
            <w:noWrap/>
            <w:vAlign w:val="center"/>
          </w:tcPr>
          <w:p w14:paraId="225C8A3A">
            <w:pPr>
              <w:keepNext w:val="0"/>
              <w:keepLines w:val="0"/>
              <w:suppressLineNumbers w:val="0"/>
              <w:spacing w:before="0" w:beforeAutospacing="0" w:after="0" w:afterAutospacing="0" w:line="276" w:lineRule="auto"/>
              <w:ind w:left="0" w:right="0"/>
              <w:jc w:val="left"/>
              <w:rPr>
                <w:rFonts w:hint="default"/>
                <w:color w:val="000000" w:themeColor="text1"/>
                <w14:textFill>
                  <w14:solidFill>
                    <w14:schemeClr w14:val="tx1"/>
                  </w14:solidFill>
                </w14:textFill>
              </w:rPr>
            </w:pPr>
          </w:p>
        </w:tc>
        <w:tc>
          <w:tcPr>
            <w:tcW w:w="1350" w:type="dxa"/>
            <w:noWrap/>
            <w:vAlign w:val="center"/>
          </w:tcPr>
          <w:p w14:paraId="5AC70369">
            <w:pPr>
              <w:pStyle w:val="17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default"/>
                <w:color w:val="000000" w:themeColor="text1"/>
                <w14:textFill>
                  <w14:solidFill>
                    <w14:schemeClr w14:val="tx1"/>
                  </w14:solidFill>
                </w14:textFill>
              </w:rPr>
            </w:pPr>
            <w:r>
              <w:rPr>
                <w:rFonts w:hint="default"/>
                <w:color w:val="000000" w:themeColor="text1"/>
                <w:lang w:val="en-US" w:eastAsia="en-US"/>
                <w14:textFill>
                  <w14:solidFill>
                    <w14:schemeClr w14:val="tx1"/>
                  </w14:solidFill>
                </w14:textFill>
              </w:rPr>
              <w:t>总监理工程师业绩（</w:t>
            </w:r>
            <w:r>
              <w:rPr>
                <w:rFonts w:hint="eastAsia"/>
                <w:color w:val="000000" w:themeColor="text1"/>
                <w:lang w:val="en-US" w:eastAsia="zh-CN"/>
                <w14:textFill>
                  <w14:solidFill>
                    <w14:schemeClr w14:val="tx1"/>
                  </w14:solidFill>
                </w14:textFill>
              </w:rPr>
              <w:t>2</w:t>
            </w:r>
            <w:r>
              <w:rPr>
                <w:rFonts w:hint="default"/>
                <w:color w:val="000000" w:themeColor="text1"/>
                <w:lang w:val="en-US" w:eastAsia="en-US"/>
                <w14:textFill>
                  <w14:solidFill>
                    <w14:schemeClr w14:val="tx1"/>
                  </w14:solidFill>
                </w14:textFill>
              </w:rPr>
              <w:t>.0分）</w:t>
            </w:r>
          </w:p>
        </w:tc>
        <w:tc>
          <w:tcPr>
            <w:tcW w:w="5790" w:type="dxa"/>
            <w:noWrap/>
            <w:vAlign w:val="center"/>
          </w:tcPr>
          <w:p w14:paraId="5D07E640">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总监理工程师近三年（202</w:t>
            </w:r>
            <w:r>
              <w:rPr>
                <w:rFonts w:hint="eastAsia" w:ascii="仿宋" w:hAnsi="仿宋" w:eastAsia="仿宋" w:cs="仿宋"/>
                <w:color w:val="000000" w:themeColor="text1"/>
                <w:kern w:val="0"/>
                <w:sz w:val="24"/>
                <w:lang w:val="en-US" w:eastAsia="zh-CN"/>
                <w14:textFill>
                  <w14:solidFill>
                    <w14:schemeClr w14:val="tx1"/>
                  </w14:solidFill>
                </w14:textFill>
              </w:rPr>
              <w:t>2</w:t>
            </w:r>
            <w:r>
              <w:rPr>
                <w:rFonts w:hint="eastAsia" w:ascii="仿宋" w:hAnsi="仿宋" w:eastAsia="仿宋" w:cs="仿宋"/>
                <w:color w:val="000000" w:themeColor="text1"/>
                <w:kern w:val="0"/>
                <w:sz w:val="24"/>
                <w:lang w:val="en-US" w:eastAsia="en-US"/>
                <w14:textFill>
                  <w14:solidFill>
                    <w14:schemeClr w14:val="tx1"/>
                  </w14:solidFill>
                </w14:textFill>
              </w:rPr>
              <w:t xml:space="preserve"> 年 1 月 1 日至投标截止时间）类似项目业绩，每提供一项得</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lang w:val="en-US" w:eastAsia="en-US"/>
                <w14:textFill>
                  <w14:solidFill>
                    <w14:schemeClr w14:val="tx1"/>
                  </w14:solidFill>
                </w14:textFill>
              </w:rPr>
              <w:t>分，最多得</w:t>
            </w:r>
            <w:r>
              <w:rPr>
                <w:rFonts w:hint="eastAsia" w:ascii="仿宋" w:hAnsi="仿宋" w:eastAsia="仿宋" w:cs="仿宋"/>
                <w:color w:val="000000" w:themeColor="text1"/>
                <w:kern w:val="0"/>
                <w:sz w:val="24"/>
                <w:lang w:val="en-US" w:eastAsia="zh-CN"/>
                <w14:textFill>
                  <w14:solidFill>
                    <w14:schemeClr w14:val="tx1"/>
                  </w14:solidFill>
                </w14:textFill>
              </w:rPr>
              <w:t>2</w:t>
            </w:r>
            <w:r>
              <w:rPr>
                <w:rFonts w:hint="eastAsia" w:ascii="仿宋" w:hAnsi="仿宋" w:eastAsia="仿宋" w:cs="仿宋"/>
                <w:color w:val="000000" w:themeColor="text1"/>
                <w:kern w:val="0"/>
                <w:sz w:val="24"/>
                <w:lang w:val="en-US" w:eastAsia="en-US"/>
                <w14:textFill>
                  <w14:solidFill>
                    <w14:schemeClr w14:val="tx1"/>
                  </w14:solidFill>
                </w14:textFill>
              </w:rPr>
              <w:t>分；应提供中标通知书及竣工验收报告或工程监理合同（第一部分）及竣工验收报告（时间以竣工验收时间为准），且须反映出总监理工程师的姓名，否则不得分）</w:t>
            </w:r>
          </w:p>
        </w:tc>
        <w:tc>
          <w:tcPr>
            <w:tcW w:w="632" w:type="dxa"/>
            <w:vMerge w:val="continue"/>
            <w:noWrap/>
            <w:vAlign w:val="center"/>
          </w:tcPr>
          <w:p w14:paraId="4F41357B">
            <w:pPr>
              <w:keepNext w:val="0"/>
              <w:keepLines w:val="0"/>
              <w:suppressLineNumbers w:val="0"/>
              <w:spacing w:before="0" w:beforeAutospacing="0" w:after="0" w:afterAutospacing="0" w:line="276" w:lineRule="auto"/>
              <w:ind w:left="0" w:right="0"/>
              <w:jc w:val="left"/>
              <w:rPr>
                <w:rFonts w:hint="eastAsia" w:ascii="仿宋" w:hAnsi="仿宋" w:eastAsia="仿宋" w:cs="仿宋"/>
                <w:color w:val="000000" w:themeColor="text1"/>
                <w:kern w:val="0"/>
                <w:sz w:val="24"/>
                <w14:textFill>
                  <w14:solidFill>
                    <w14:schemeClr w14:val="tx1"/>
                  </w14:solidFill>
                </w14:textFill>
              </w:rPr>
            </w:pPr>
          </w:p>
        </w:tc>
      </w:tr>
      <w:tr w14:paraId="5061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75" w:type="dxa"/>
            <w:noWrap/>
            <w:vAlign w:val="center"/>
          </w:tcPr>
          <w:p w14:paraId="24079AC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897" w:type="dxa"/>
            <w:vMerge w:val="continue"/>
            <w:noWrap/>
            <w:vAlign w:val="center"/>
          </w:tcPr>
          <w:p w14:paraId="013F27B2">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50" w:type="dxa"/>
            <w:noWrap/>
            <w:vAlign w:val="center"/>
          </w:tcPr>
          <w:p w14:paraId="4140846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配备的专业监理工程师（5.0分）</w:t>
            </w:r>
          </w:p>
        </w:tc>
        <w:tc>
          <w:tcPr>
            <w:tcW w:w="5790" w:type="dxa"/>
            <w:noWrap/>
            <w:vAlign w:val="center"/>
          </w:tcPr>
          <w:p w14:paraId="2A01930D">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配备的专业监理工程师中，具有全国注册监理工程师资格并具有中级及以上职称的每一人得1 分，最多得 5 分。</w:t>
            </w:r>
          </w:p>
          <w:p w14:paraId="29CB4EA1">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工程类注册执业资格在投标单位注册。</w:t>
            </w:r>
          </w:p>
        </w:tc>
        <w:tc>
          <w:tcPr>
            <w:tcW w:w="632" w:type="dxa"/>
            <w:noWrap/>
            <w:vAlign w:val="center"/>
          </w:tcPr>
          <w:p w14:paraId="0E7F388D">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5</w:t>
            </w:r>
            <w:r>
              <w:rPr>
                <w:rFonts w:hint="eastAsia" w:ascii="仿宋" w:hAnsi="仿宋" w:eastAsia="仿宋" w:cs="仿宋"/>
                <w:color w:val="000000" w:themeColor="text1"/>
                <w:kern w:val="0"/>
                <w:sz w:val="24"/>
                <w:lang w:bidi="ar"/>
                <w14:textFill>
                  <w14:solidFill>
                    <w14:schemeClr w14:val="tx1"/>
                  </w14:solidFill>
                </w14:textFill>
              </w:rPr>
              <w:t>分</w:t>
            </w:r>
          </w:p>
        </w:tc>
      </w:tr>
      <w:tr w14:paraId="6D72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75" w:type="dxa"/>
            <w:noWrap/>
            <w:vAlign w:val="center"/>
          </w:tcPr>
          <w:p w14:paraId="1121408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897" w:type="dxa"/>
            <w:vMerge w:val="continue"/>
            <w:noWrap/>
            <w:vAlign w:val="center"/>
          </w:tcPr>
          <w:p w14:paraId="281D25D7">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50" w:type="dxa"/>
            <w:noWrap/>
            <w:vAlign w:val="center"/>
          </w:tcPr>
          <w:p w14:paraId="4B78760C">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总监理工程师（2.0分）</w:t>
            </w:r>
          </w:p>
        </w:tc>
        <w:tc>
          <w:tcPr>
            <w:tcW w:w="5790" w:type="dxa"/>
            <w:noWrap/>
            <w:vAlign w:val="center"/>
          </w:tcPr>
          <w:p w14:paraId="3BDACDD0">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配备的总监理工程师具有中级职称得1分，具有副高级及以上技术职称，得2分，没有提供不得分。</w:t>
            </w:r>
          </w:p>
          <w:p w14:paraId="6A247932">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工程类注册执业资格在投标单位注册。</w:t>
            </w:r>
          </w:p>
        </w:tc>
        <w:tc>
          <w:tcPr>
            <w:tcW w:w="632" w:type="dxa"/>
            <w:noWrap/>
            <w:vAlign w:val="center"/>
          </w:tcPr>
          <w:p w14:paraId="7B88B3C0">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分</w:t>
            </w:r>
          </w:p>
        </w:tc>
      </w:tr>
      <w:tr w14:paraId="6629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75" w:type="dxa"/>
            <w:noWrap/>
            <w:vAlign w:val="center"/>
          </w:tcPr>
          <w:p w14:paraId="171A8309">
            <w:pPr>
              <w:keepNext w:val="0"/>
              <w:keepLines w:val="0"/>
              <w:suppressLineNumbers w:val="0"/>
              <w:spacing w:before="0" w:beforeAutospacing="0" w:after="0" w:afterAutospacing="0" w:line="440" w:lineRule="exact"/>
              <w:ind w:left="0" w:right="0" w:firstLine="240" w:firstLineChars="100"/>
              <w:jc w:val="both"/>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897" w:type="dxa"/>
            <w:vMerge w:val="continue"/>
            <w:noWrap/>
            <w:vAlign w:val="center"/>
          </w:tcPr>
          <w:p w14:paraId="136A16C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p>
        </w:tc>
        <w:tc>
          <w:tcPr>
            <w:tcW w:w="1350" w:type="dxa"/>
            <w:noWrap/>
            <w:vAlign w:val="center"/>
          </w:tcPr>
          <w:p w14:paraId="2B59174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配备的监理员（3.0分）</w:t>
            </w:r>
          </w:p>
        </w:tc>
        <w:tc>
          <w:tcPr>
            <w:tcW w:w="5790" w:type="dxa"/>
            <w:noWrap/>
            <w:vAlign w:val="center"/>
          </w:tcPr>
          <w:p w14:paraId="32CA28DA">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en-US"/>
                <w14:textFill>
                  <w14:solidFill>
                    <w14:schemeClr w14:val="tx1"/>
                  </w14:solidFill>
                </w14:textFill>
              </w:rPr>
              <w:t>配备的监理员具有本科及以上学历且具有中级及以上职称每人得1分；最多得3分。</w:t>
            </w:r>
          </w:p>
        </w:tc>
        <w:tc>
          <w:tcPr>
            <w:tcW w:w="632" w:type="dxa"/>
            <w:noWrap/>
            <w:vAlign w:val="center"/>
          </w:tcPr>
          <w:p w14:paraId="63D55443">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3</w:t>
            </w:r>
            <w:r>
              <w:rPr>
                <w:rFonts w:hint="eastAsia" w:ascii="仿宋" w:hAnsi="仿宋" w:eastAsia="仿宋" w:cs="仿宋"/>
                <w:color w:val="000000" w:themeColor="text1"/>
                <w:kern w:val="0"/>
                <w:sz w:val="24"/>
                <w:lang w:bidi="ar"/>
                <w14:textFill>
                  <w14:solidFill>
                    <w14:schemeClr w14:val="tx1"/>
                  </w14:solidFill>
                </w14:textFill>
              </w:rPr>
              <w:t>分</w:t>
            </w:r>
          </w:p>
        </w:tc>
      </w:tr>
      <w:tr w14:paraId="68C0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75" w:type="dxa"/>
            <w:noWrap/>
            <w:vAlign w:val="center"/>
          </w:tcPr>
          <w:p w14:paraId="2315C011">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897" w:type="dxa"/>
            <w:vMerge w:val="continue"/>
            <w:noWrap/>
            <w:vAlign w:val="center"/>
          </w:tcPr>
          <w:p w14:paraId="59771381">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50" w:type="dxa"/>
            <w:noWrap/>
            <w:vAlign w:val="center"/>
          </w:tcPr>
          <w:p w14:paraId="76CC6422">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设备仪器（4.00分）</w:t>
            </w:r>
          </w:p>
        </w:tc>
        <w:tc>
          <w:tcPr>
            <w:tcW w:w="5790" w:type="dxa"/>
            <w:noWrap/>
            <w:vAlign w:val="center"/>
          </w:tcPr>
          <w:p w14:paraId="1524D25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zh-Hans"/>
                <w14:textFill>
                  <w14:solidFill>
                    <w14:schemeClr w14:val="tx1"/>
                  </w14:solidFill>
                </w14:textFill>
              </w:rPr>
              <w:t>针对招标工程特点，配备的监理设备、仪器满足招标工程要求（2.0分）</w:t>
            </w:r>
          </w:p>
          <w:p w14:paraId="2A4BA1A9">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zh-Hans"/>
                <w14:textFill>
                  <w14:solidFill>
                    <w14:schemeClr w14:val="tx1"/>
                  </w14:solidFill>
                </w14:textFill>
              </w:rPr>
              <w:t>针对工程信息化特点，配备相应监理设备、仪器满足工程信息化要求。（2.0分）</w:t>
            </w:r>
          </w:p>
        </w:tc>
        <w:tc>
          <w:tcPr>
            <w:tcW w:w="632" w:type="dxa"/>
            <w:noWrap/>
            <w:vAlign w:val="center"/>
          </w:tcPr>
          <w:p w14:paraId="15425D7B">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4</w:t>
            </w:r>
            <w:r>
              <w:rPr>
                <w:rFonts w:hint="eastAsia" w:ascii="仿宋" w:hAnsi="仿宋" w:eastAsia="仿宋" w:cs="仿宋"/>
                <w:color w:val="000000" w:themeColor="text1"/>
                <w:kern w:val="0"/>
                <w:sz w:val="24"/>
                <w:lang w:bidi="ar"/>
                <w14:textFill>
                  <w14:solidFill>
                    <w14:schemeClr w14:val="tx1"/>
                  </w14:solidFill>
                </w14:textFill>
              </w:rPr>
              <w:t>分</w:t>
            </w:r>
          </w:p>
        </w:tc>
      </w:tr>
      <w:bookmarkEnd w:id="111"/>
      <w:bookmarkEnd w:id="112"/>
      <w:bookmarkEnd w:id="113"/>
    </w:tbl>
    <w:p w14:paraId="6C8A7DD6">
      <w:pPr>
        <w:pStyle w:val="24"/>
        <w:ind w:left="420" w:hanging="420"/>
        <w:rPr>
          <w:rFonts w:hint="eastAsia" w:ascii="仿宋" w:hAnsi="仿宋" w:eastAsia="仿宋" w:cs="仿宋"/>
          <w:color w:val="000000" w:themeColor="text1"/>
          <w14:textFill>
            <w14:solidFill>
              <w14:schemeClr w14:val="tx1"/>
            </w14:solidFill>
          </w14:textFill>
        </w:rPr>
      </w:pPr>
    </w:p>
    <w:p w14:paraId="79F69BA6">
      <w:pPr>
        <w:spacing w:line="360" w:lineRule="auto"/>
        <w:jc w:val="both"/>
        <w:rPr>
          <w:rFonts w:hint="eastAsia" w:ascii="仿宋" w:hAnsi="仿宋" w:eastAsia="仿宋" w:cs="仿宋"/>
          <w:b/>
          <w:bCs/>
          <w:color w:val="000000" w:themeColor="text1"/>
          <w:sz w:val="28"/>
          <w:szCs w:val="28"/>
          <w14:textFill>
            <w14:solidFill>
              <w14:schemeClr w14:val="tx1"/>
            </w14:solidFill>
          </w14:textFill>
        </w:rPr>
      </w:pPr>
    </w:p>
    <w:p w14:paraId="2D8A74C6">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p>
    <w:p w14:paraId="61627EC6">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技术部分评审表</w:t>
      </w:r>
    </w:p>
    <w:tbl>
      <w:tblPr>
        <w:tblStyle w:val="3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97"/>
        <w:gridCol w:w="1320"/>
        <w:gridCol w:w="5835"/>
        <w:gridCol w:w="617"/>
      </w:tblGrid>
      <w:tr w14:paraId="024D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75" w:type="dxa"/>
            <w:noWrap/>
            <w:vAlign w:val="center"/>
          </w:tcPr>
          <w:p w14:paraId="498830BF">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2217" w:type="dxa"/>
            <w:gridSpan w:val="2"/>
            <w:noWrap/>
            <w:vAlign w:val="center"/>
          </w:tcPr>
          <w:p w14:paraId="5492A74C">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项目</w:t>
            </w:r>
          </w:p>
        </w:tc>
        <w:tc>
          <w:tcPr>
            <w:tcW w:w="5835" w:type="dxa"/>
            <w:noWrap/>
            <w:vAlign w:val="center"/>
          </w:tcPr>
          <w:p w14:paraId="2F0701B1">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评审内容</w:t>
            </w:r>
          </w:p>
        </w:tc>
        <w:tc>
          <w:tcPr>
            <w:tcW w:w="617" w:type="dxa"/>
            <w:noWrap/>
            <w:vAlign w:val="center"/>
          </w:tcPr>
          <w:p w14:paraId="2201D2DD">
            <w:pPr>
              <w:keepNext w:val="0"/>
              <w:keepLines w:val="0"/>
              <w:suppressLineNumbers w:val="0"/>
              <w:tabs>
                <w:tab w:val="left" w:pos="267"/>
              </w:tabs>
              <w:spacing w:before="0" w:beforeAutospacing="0" w:after="0" w:afterAutospacing="0"/>
              <w:ind w:left="0" w:right="0"/>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分值</w:t>
            </w:r>
          </w:p>
        </w:tc>
      </w:tr>
      <w:tr w14:paraId="0C0C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75" w:type="dxa"/>
            <w:noWrap/>
            <w:vAlign w:val="center"/>
          </w:tcPr>
          <w:p w14:paraId="4861AD0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897" w:type="dxa"/>
            <w:vMerge w:val="restart"/>
            <w:noWrap/>
            <w:vAlign w:val="center"/>
          </w:tcPr>
          <w:p w14:paraId="0F6D149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技术</w:t>
            </w:r>
            <w:r>
              <w:rPr>
                <w:rFonts w:hint="eastAsia" w:ascii="仿宋" w:hAnsi="仿宋" w:eastAsia="仿宋" w:cs="仿宋"/>
                <w:color w:val="000000" w:themeColor="text1"/>
                <w:kern w:val="0"/>
                <w:sz w:val="24"/>
                <w14:textFill>
                  <w14:solidFill>
                    <w14:schemeClr w14:val="tx1"/>
                  </w14:solidFill>
                </w14:textFill>
              </w:rPr>
              <w:t>部分</w:t>
            </w:r>
          </w:p>
          <w:p w14:paraId="3FD6FB9A">
            <w:pPr>
              <w:pStyle w:val="24"/>
              <w:keepNext w:val="0"/>
              <w:keepLines w:val="0"/>
              <w:suppressLineNumbers w:val="0"/>
              <w:spacing w:before="0" w:beforeAutospacing="0" w:after="0" w:afterAutospacing="0"/>
              <w:ind w:left="420" w:leftChars="100" w:right="0" w:hanging="210" w:hangingChars="1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70分</w:t>
            </w:r>
          </w:p>
        </w:tc>
        <w:tc>
          <w:tcPr>
            <w:tcW w:w="1320" w:type="dxa"/>
            <w:noWrap/>
            <w:vAlign w:val="center"/>
          </w:tcPr>
          <w:p w14:paraId="4DCAFD2C">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质量控制 </w:t>
            </w:r>
          </w:p>
          <w:p w14:paraId="0CD4A14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（12 分）</w:t>
            </w:r>
          </w:p>
          <w:p w14:paraId="140E8D1E">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p>
        </w:tc>
        <w:tc>
          <w:tcPr>
            <w:tcW w:w="5835" w:type="dxa"/>
            <w:noWrap/>
            <w:vAlign w:val="center"/>
          </w:tcPr>
          <w:p w14:paraId="0C106464">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根据供应商提供的质量控制方案： </w:t>
            </w:r>
          </w:p>
          <w:p w14:paraId="25EAD675">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（1）质量控制有总目标。 </w:t>
            </w:r>
          </w:p>
          <w:p w14:paraId="2CACEC1D">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（2）质量控制内容，基本程序（包括质量事故的处理程序）及预控措施切实可行的。 </w:t>
            </w:r>
          </w:p>
          <w:p w14:paraId="6A796FA1">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（3）材料、设备质量控制措施合理可行； </w:t>
            </w:r>
          </w:p>
          <w:p w14:paraId="2B90DA74">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（4）分部、分项质量控制措施合理可行； </w:t>
            </w:r>
          </w:p>
          <w:p w14:paraId="163AA124">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（5）关键部位、关键工序质量控制措施合理可行； </w:t>
            </w:r>
          </w:p>
          <w:p w14:paraId="66ED7F01">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（6）技术难点质量控制措施合理可行； </w:t>
            </w:r>
          </w:p>
          <w:p w14:paraId="0A1133D1">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供应商提供的以上 6 项质量控制方案可行性进行评审，内容描述清晰、合理可行、能充分结合本项目实际情况的每符合一项得 2 分，共计 12分；每项存在不全面、不合理或没有针对性之处的每项得 0.5 分；未提供不得分。</w:t>
            </w:r>
          </w:p>
        </w:tc>
        <w:tc>
          <w:tcPr>
            <w:tcW w:w="617" w:type="dxa"/>
            <w:noWrap/>
            <w:vAlign w:val="center"/>
          </w:tcPr>
          <w:p w14:paraId="4B5FC2D8">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12</w:t>
            </w:r>
            <w:r>
              <w:rPr>
                <w:rFonts w:hint="eastAsia" w:ascii="仿宋" w:hAnsi="仿宋" w:eastAsia="仿宋" w:cs="仿宋"/>
                <w:color w:val="000000" w:themeColor="text1"/>
                <w:kern w:val="0"/>
                <w:sz w:val="24"/>
                <w:lang w:bidi="ar"/>
                <w14:textFill>
                  <w14:solidFill>
                    <w14:schemeClr w14:val="tx1"/>
                  </w14:solidFill>
                </w14:textFill>
              </w:rPr>
              <w:t>分</w:t>
            </w:r>
          </w:p>
        </w:tc>
      </w:tr>
      <w:tr w14:paraId="7384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75" w:type="dxa"/>
            <w:noWrap/>
            <w:vAlign w:val="center"/>
          </w:tcPr>
          <w:p w14:paraId="4B6AB6BB">
            <w:pPr>
              <w:keepNext w:val="0"/>
              <w:keepLines w:val="0"/>
              <w:suppressLineNumbers w:val="0"/>
              <w:spacing w:before="0" w:beforeAutospacing="0" w:after="0" w:afterAutospacing="0"/>
              <w:ind w:left="0" w:right="0"/>
              <w:jc w:val="center"/>
              <w:rPr>
                <w:rFonts w:hint="eastAsia" w:eastAsia="宋体"/>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897" w:type="dxa"/>
            <w:vMerge w:val="continue"/>
            <w:noWrap/>
            <w:vAlign w:val="center"/>
          </w:tcPr>
          <w:p w14:paraId="53FF1AC0">
            <w:pPr>
              <w:keepNext w:val="0"/>
              <w:keepLines w:val="0"/>
              <w:suppressLineNumbers w:val="0"/>
              <w:spacing w:before="0" w:beforeAutospacing="0" w:after="0" w:afterAutospacing="0" w:line="276" w:lineRule="auto"/>
              <w:ind w:left="0" w:right="0"/>
              <w:jc w:val="left"/>
              <w:rPr>
                <w:rFonts w:hint="default"/>
                <w:color w:val="000000" w:themeColor="text1"/>
                <w14:textFill>
                  <w14:solidFill>
                    <w14:schemeClr w14:val="tx1"/>
                  </w14:solidFill>
                </w14:textFill>
              </w:rPr>
            </w:pPr>
          </w:p>
        </w:tc>
        <w:tc>
          <w:tcPr>
            <w:tcW w:w="1320" w:type="dxa"/>
            <w:noWrap/>
            <w:vAlign w:val="center"/>
          </w:tcPr>
          <w:p w14:paraId="0B411425">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进度控制 </w:t>
            </w:r>
          </w:p>
          <w:p w14:paraId="0FFD886E">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 分）</w:t>
            </w:r>
          </w:p>
          <w:p w14:paraId="0D36CFC6">
            <w:pPr>
              <w:keepNext w:val="0"/>
              <w:keepLines w:val="0"/>
              <w:suppressLineNumbers w:val="0"/>
              <w:spacing w:before="0" w:beforeAutospacing="0" w:after="0" w:afterAutospacing="0" w:line="440" w:lineRule="exact"/>
              <w:ind w:left="0" w:right="0"/>
              <w:jc w:val="both"/>
              <w:rPr>
                <w:rFonts w:hint="default" w:ascii="仿宋" w:hAnsi="仿宋" w:eastAsia="仿宋" w:cs="仿宋"/>
                <w:color w:val="000000" w:themeColor="text1"/>
                <w:kern w:val="0"/>
                <w:sz w:val="24"/>
                <w:lang w:val="en-US" w:eastAsia="zh-CN"/>
                <w14:textFill>
                  <w14:solidFill>
                    <w14:schemeClr w14:val="tx1"/>
                  </w14:solidFill>
                </w14:textFill>
              </w:rPr>
            </w:pPr>
          </w:p>
        </w:tc>
        <w:tc>
          <w:tcPr>
            <w:tcW w:w="5835" w:type="dxa"/>
            <w:noWrap/>
            <w:vAlign w:val="center"/>
          </w:tcPr>
          <w:p w14:paraId="2A7B28EA">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根据供应商提供的进度控制方案： </w:t>
            </w:r>
          </w:p>
          <w:p w14:paraId="61D26265">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（1）对项目总控制进度计划有明确目标； </w:t>
            </w:r>
          </w:p>
          <w:p w14:paraId="445F00FE">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（2）进度控制程序合理可行； </w:t>
            </w:r>
          </w:p>
          <w:p w14:paraId="1BF12B99">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（3）进度控制方法、措施合理可行； </w:t>
            </w:r>
          </w:p>
          <w:p w14:paraId="0F49649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（4）减少工程延期发生的防范对策合理可行； </w:t>
            </w:r>
          </w:p>
          <w:p w14:paraId="3917AA9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供应商提供的以上 4 项措施可行性进行评审，内容描述清晰、有针对性，有创新、全面、建议能充分结合本项目实际情况的每符合一项得 2.5 分，共计 10 分；每项存在不全面、不合理或没有针对性之处的得 0.5 分；未提供不得分。 </w:t>
            </w:r>
          </w:p>
        </w:tc>
        <w:tc>
          <w:tcPr>
            <w:tcW w:w="617" w:type="dxa"/>
            <w:noWrap/>
            <w:vAlign w:val="center"/>
          </w:tcPr>
          <w:p w14:paraId="05C62A68">
            <w:pPr>
              <w:keepNext w:val="0"/>
              <w:keepLines w:val="0"/>
              <w:suppressLineNumbers w:val="0"/>
              <w:spacing w:before="0" w:beforeAutospacing="0" w:after="0" w:afterAutospacing="0" w:line="276" w:lineRule="auto"/>
              <w:ind w:left="0" w:right="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10</w:t>
            </w:r>
            <w:r>
              <w:rPr>
                <w:rFonts w:hint="eastAsia" w:ascii="仿宋" w:hAnsi="仿宋" w:eastAsia="仿宋" w:cs="仿宋"/>
                <w:color w:val="000000" w:themeColor="text1"/>
                <w:kern w:val="0"/>
                <w:sz w:val="24"/>
                <w:lang w:bidi="ar"/>
                <w14:textFill>
                  <w14:solidFill>
                    <w14:schemeClr w14:val="tx1"/>
                  </w14:solidFill>
                </w14:textFill>
              </w:rPr>
              <w:t>分</w:t>
            </w:r>
          </w:p>
        </w:tc>
      </w:tr>
      <w:tr w14:paraId="3398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75" w:type="dxa"/>
            <w:noWrap/>
            <w:vAlign w:val="center"/>
          </w:tcPr>
          <w:p w14:paraId="476D0C9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897" w:type="dxa"/>
            <w:vMerge w:val="continue"/>
            <w:noWrap/>
            <w:vAlign w:val="center"/>
          </w:tcPr>
          <w:p w14:paraId="2A8C446C">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20" w:type="dxa"/>
            <w:noWrap/>
            <w:vAlign w:val="center"/>
          </w:tcPr>
          <w:p w14:paraId="74E0D33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安全生产管理的监理工作 </w:t>
            </w:r>
          </w:p>
          <w:p w14:paraId="4E61F862">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 分）</w:t>
            </w:r>
          </w:p>
          <w:p w14:paraId="73A9F98D">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p>
        </w:tc>
        <w:tc>
          <w:tcPr>
            <w:tcW w:w="5835" w:type="dxa"/>
            <w:noWrap/>
            <w:vAlign w:val="center"/>
          </w:tcPr>
          <w:p w14:paraId="43D5F25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根据供应商提供的安全生产管理的监理工作方案： </w:t>
            </w:r>
          </w:p>
          <w:p w14:paraId="239025BA">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（1）安全生产管理的监理工作目标明确 </w:t>
            </w:r>
          </w:p>
          <w:p w14:paraId="2D48A45C">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（2）工作制度合理、责任清晰 </w:t>
            </w:r>
          </w:p>
          <w:p w14:paraId="32F2D604">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（3）管理方法先进、切实可行 </w:t>
            </w:r>
          </w:p>
          <w:p w14:paraId="079471C0">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（4）安全生产管理的供应商提供的以上 4 项安全生产管理的监理工作方案可行性进行评审，内容描述清晰、合理可行、能充分结合本项目实际情况的每符合一项得 2.5 分，共计 10 分；每项存在不全面、不合理或没有针对性之处的得 0.5 分；未提供不得分。</w:t>
            </w:r>
          </w:p>
        </w:tc>
        <w:tc>
          <w:tcPr>
            <w:tcW w:w="617" w:type="dxa"/>
            <w:noWrap/>
            <w:vAlign w:val="center"/>
          </w:tcPr>
          <w:p w14:paraId="00BD625B">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10</w:t>
            </w:r>
            <w:r>
              <w:rPr>
                <w:rFonts w:hint="eastAsia" w:ascii="仿宋" w:hAnsi="仿宋" w:eastAsia="仿宋" w:cs="仿宋"/>
                <w:color w:val="000000" w:themeColor="text1"/>
                <w:kern w:val="0"/>
                <w:sz w:val="24"/>
                <w:lang w:bidi="ar"/>
                <w14:textFill>
                  <w14:solidFill>
                    <w14:schemeClr w14:val="tx1"/>
                  </w14:solidFill>
                </w14:textFill>
              </w:rPr>
              <w:t>分</w:t>
            </w:r>
          </w:p>
        </w:tc>
      </w:tr>
      <w:tr w14:paraId="106E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75" w:type="dxa"/>
            <w:noWrap/>
            <w:vAlign w:val="center"/>
          </w:tcPr>
          <w:p w14:paraId="312D634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897" w:type="dxa"/>
            <w:vMerge w:val="continue"/>
            <w:noWrap/>
            <w:vAlign w:val="center"/>
          </w:tcPr>
          <w:p w14:paraId="3D9AC493">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20" w:type="dxa"/>
            <w:noWrap/>
            <w:vAlign w:val="center"/>
          </w:tcPr>
          <w:p w14:paraId="6958C2F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文档管理方案 </w:t>
            </w:r>
          </w:p>
          <w:p w14:paraId="65676717">
            <w:pPr>
              <w:keepNext w:val="0"/>
              <w:keepLines w:val="0"/>
              <w:suppressLineNumbers w:val="0"/>
              <w:spacing w:before="0" w:beforeAutospacing="0" w:after="0" w:afterAutospacing="0" w:line="440" w:lineRule="exact"/>
              <w:ind w:left="0" w:right="0"/>
              <w:jc w:val="both"/>
              <w:rPr>
                <w:rFonts w:hint="default"/>
              </w:rPr>
            </w:pPr>
            <w:r>
              <w:rPr>
                <w:rFonts w:hint="eastAsia" w:ascii="仿宋" w:hAnsi="仿宋" w:eastAsia="仿宋" w:cs="仿宋"/>
                <w:color w:val="000000" w:themeColor="text1"/>
                <w:kern w:val="0"/>
                <w:sz w:val="24"/>
                <w:lang w:val="en-US" w:eastAsia="zh-CN"/>
                <w14:textFill>
                  <w14:solidFill>
                    <w14:schemeClr w14:val="tx1"/>
                  </w14:solidFill>
                </w14:textFill>
              </w:rPr>
              <w:t>（6 分）</w:t>
            </w:r>
          </w:p>
          <w:p w14:paraId="6D0E1C9E">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p>
        </w:tc>
        <w:tc>
          <w:tcPr>
            <w:tcW w:w="5835" w:type="dxa"/>
            <w:noWrap/>
            <w:vAlign w:val="center"/>
          </w:tcPr>
          <w:p w14:paraId="7D5526B6">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根据供应商提供的文档管理方案： </w:t>
            </w:r>
          </w:p>
          <w:p w14:paraId="0B227E31">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（1）根据工程特点，索赔与反索赔措施有针对性 </w:t>
            </w:r>
          </w:p>
          <w:p w14:paraId="3C1877D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（2）合同履行纠纷预防和协调方案合理、可行 </w:t>
            </w:r>
          </w:p>
          <w:p w14:paraId="0846262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（3）工程信息管理的内容全面，监理资料管理制度健全； </w:t>
            </w:r>
          </w:p>
          <w:p w14:paraId="66692EA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供应商提供的以上 3 项文档管理方案可行性进行评审，内容描述清晰、合理可行、能充分结合本项目实际情况的每符合一项得 2 分，共计 6 分；每项存在不全面、不合理或没有针对性之处的每项得 0.5 分；未提供不得分。</w:t>
            </w:r>
          </w:p>
        </w:tc>
        <w:tc>
          <w:tcPr>
            <w:tcW w:w="617" w:type="dxa"/>
            <w:noWrap/>
            <w:vAlign w:val="center"/>
          </w:tcPr>
          <w:p w14:paraId="076FFE42">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6</w:t>
            </w:r>
            <w:r>
              <w:rPr>
                <w:rFonts w:hint="eastAsia" w:ascii="仿宋" w:hAnsi="仿宋" w:eastAsia="仿宋" w:cs="仿宋"/>
                <w:color w:val="000000" w:themeColor="text1"/>
                <w:kern w:val="0"/>
                <w:sz w:val="24"/>
                <w:lang w:bidi="ar"/>
                <w14:textFill>
                  <w14:solidFill>
                    <w14:schemeClr w14:val="tx1"/>
                  </w14:solidFill>
                </w14:textFill>
              </w:rPr>
              <w:t>分</w:t>
            </w:r>
          </w:p>
        </w:tc>
      </w:tr>
      <w:tr w14:paraId="039F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75" w:type="dxa"/>
            <w:noWrap/>
            <w:vAlign w:val="center"/>
          </w:tcPr>
          <w:p w14:paraId="69F8DD48">
            <w:pPr>
              <w:keepNext w:val="0"/>
              <w:keepLines w:val="0"/>
              <w:suppressLineNumbers w:val="0"/>
              <w:spacing w:before="0" w:beforeAutospacing="0" w:after="0" w:afterAutospacing="0" w:line="440" w:lineRule="exact"/>
              <w:ind w:left="0" w:right="0" w:firstLine="240" w:firstLineChars="100"/>
              <w:jc w:val="both"/>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w:t>
            </w:r>
          </w:p>
        </w:tc>
        <w:tc>
          <w:tcPr>
            <w:tcW w:w="897" w:type="dxa"/>
            <w:vMerge w:val="continue"/>
            <w:noWrap/>
            <w:vAlign w:val="center"/>
          </w:tcPr>
          <w:p w14:paraId="39F1AC33">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en-US"/>
                <w14:textFill>
                  <w14:solidFill>
                    <w14:schemeClr w14:val="tx1"/>
                  </w14:solidFill>
                </w14:textFill>
              </w:rPr>
            </w:pPr>
          </w:p>
        </w:tc>
        <w:tc>
          <w:tcPr>
            <w:tcW w:w="1320" w:type="dxa"/>
            <w:noWrap/>
            <w:vAlign w:val="center"/>
          </w:tcPr>
          <w:p w14:paraId="730D7996">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组织协调方案 </w:t>
            </w:r>
          </w:p>
          <w:p w14:paraId="24117272">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 分）</w:t>
            </w:r>
          </w:p>
          <w:p w14:paraId="0CF620D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p>
        </w:tc>
        <w:tc>
          <w:tcPr>
            <w:tcW w:w="5835" w:type="dxa"/>
            <w:noWrap/>
            <w:vAlign w:val="center"/>
          </w:tcPr>
          <w:p w14:paraId="61D656F5">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根据供应商提供的组织协调方案： </w:t>
            </w:r>
          </w:p>
          <w:p w14:paraId="6408FE8A">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（1）结合工程提出的组织协调的内容全面； </w:t>
            </w:r>
          </w:p>
          <w:p w14:paraId="6BF4F8D2">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（2）协调的方法可行； </w:t>
            </w:r>
          </w:p>
          <w:p w14:paraId="3857B33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（3）协调的程序可行； </w:t>
            </w:r>
          </w:p>
          <w:p w14:paraId="722A4012">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（4）协调措施可行； </w:t>
            </w:r>
          </w:p>
          <w:p w14:paraId="2096DDFC">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供应商提供的以上 4 项组织协调方案可行性进行评审，内容描述清晰、合理可行、能充分结合本项目实际情况的每符合一项得 2.5 分，共计 10 分；每项存在不全面、不合理或没有针对性之处的每项得 0.5 分；未提供不得分。 </w:t>
            </w:r>
          </w:p>
        </w:tc>
        <w:tc>
          <w:tcPr>
            <w:tcW w:w="617" w:type="dxa"/>
            <w:noWrap/>
            <w:vAlign w:val="center"/>
          </w:tcPr>
          <w:p w14:paraId="4210DB1A">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10</w:t>
            </w:r>
            <w:r>
              <w:rPr>
                <w:rFonts w:hint="eastAsia" w:ascii="仿宋" w:hAnsi="仿宋" w:eastAsia="仿宋" w:cs="仿宋"/>
                <w:color w:val="000000" w:themeColor="text1"/>
                <w:kern w:val="0"/>
                <w:sz w:val="24"/>
                <w:lang w:bidi="ar"/>
                <w14:textFill>
                  <w14:solidFill>
                    <w14:schemeClr w14:val="tx1"/>
                  </w14:solidFill>
                </w14:textFill>
              </w:rPr>
              <w:t>分</w:t>
            </w:r>
          </w:p>
        </w:tc>
      </w:tr>
      <w:tr w14:paraId="6FBA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875" w:type="dxa"/>
            <w:noWrap/>
            <w:vAlign w:val="center"/>
          </w:tcPr>
          <w:p w14:paraId="7160F8A3">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w:t>
            </w:r>
          </w:p>
        </w:tc>
        <w:tc>
          <w:tcPr>
            <w:tcW w:w="897" w:type="dxa"/>
            <w:vMerge w:val="continue"/>
            <w:noWrap/>
            <w:vAlign w:val="center"/>
          </w:tcPr>
          <w:p w14:paraId="0EE97718">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20" w:type="dxa"/>
            <w:noWrap/>
            <w:vAlign w:val="center"/>
          </w:tcPr>
          <w:p w14:paraId="6FE2351A">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重点难点论述 </w:t>
            </w:r>
          </w:p>
          <w:p w14:paraId="6A650D1B">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 分）</w:t>
            </w:r>
          </w:p>
          <w:p w14:paraId="12194B43">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p>
        </w:tc>
        <w:tc>
          <w:tcPr>
            <w:tcW w:w="5835" w:type="dxa"/>
            <w:noWrap/>
            <w:vAlign w:val="center"/>
          </w:tcPr>
          <w:p w14:paraId="2903C440">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根据供应商提供的施工现场管理上的重点难点论述: </w:t>
            </w:r>
          </w:p>
          <w:p w14:paraId="26B57960">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（1）质量控制专业重点及建议； </w:t>
            </w:r>
          </w:p>
          <w:p w14:paraId="1ADE3905">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（2）安全管理专业重点及建议； </w:t>
            </w:r>
          </w:p>
          <w:p w14:paraId="7D5F90CC">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（3）进度管理专业重点及建议； </w:t>
            </w:r>
          </w:p>
          <w:p w14:paraId="253B1094">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（4）合同和信息管理重点及建议。 </w:t>
            </w:r>
          </w:p>
          <w:p w14:paraId="026BFDA8">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供应商提供的以上 4 项重点难点论述可行性进行评审，内容描述清晰、有针对性，有创新、全面、建议能充分结合本项目实际情况的每符合一项得 2.5 分，共计 10 分；每项存在不全面、不合理或没有针对性之处的每项得 0.5 分；未提供不得分。</w:t>
            </w:r>
          </w:p>
        </w:tc>
        <w:tc>
          <w:tcPr>
            <w:tcW w:w="617" w:type="dxa"/>
            <w:noWrap/>
            <w:vAlign w:val="center"/>
          </w:tcPr>
          <w:p w14:paraId="380E8E0F">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10</w:t>
            </w:r>
            <w:r>
              <w:rPr>
                <w:rFonts w:hint="eastAsia" w:ascii="仿宋" w:hAnsi="仿宋" w:eastAsia="仿宋" w:cs="仿宋"/>
                <w:color w:val="000000" w:themeColor="text1"/>
                <w:kern w:val="0"/>
                <w:sz w:val="24"/>
                <w:lang w:bidi="ar"/>
                <w14:textFill>
                  <w14:solidFill>
                    <w14:schemeClr w14:val="tx1"/>
                  </w14:solidFill>
                </w14:textFill>
              </w:rPr>
              <w:t>分</w:t>
            </w:r>
          </w:p>
        </w:tc>
      </w:tr>
      <w:tr w14:paraId="33B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75" w:type="dxa"/>
            <w:noWrap/>
            <w:vAlign w:val="center"/>
          </w:tcPr>
          <w:p w14:paraId="5F1879C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7</w:t>
            </w:r>
          </w:p>
        </w:tc>
        <w:tc>
          <w:tcPr>
            <w:tcW w:w="897" w:type="dxa"/>
            <w:vMerge w:val="continue"/>
            <w:noWrap/>
            <w:vAlign w:val="center"/>
          </w:tcPr>
          <w:p w14:paraId="519EC5B2">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20" w:type="dxa"/>
            <w:noWrap/>
            <w:vAlign w:val="center"/>
          </w:tcPr>
          <w:p w14:paraId="1B2AA039">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变更控制方案 </w:t>
            </w:r>
          </w:p>
          <w:p w14:paraId="6EA0D2B9">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 分）</w:t>
            </w:r>
          </w:p>
          <w:p w14:paraId="21555C1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p>
        </w:tc>
        <w:tc>
          <w:tcPr>
            <w:tcW w:w="5835" w:type="dxa"/>
            <w:noWrap/>
            <w:vAlign w:val="center"/>
          </w:tcPr>
          <w:p w14:paraId="4BFD92DF">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根据供应商提供的变更控制方案： </w:t>
            </w:r>
          </w:p>
          <w:p w14:paraId="462F891B">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（1）建立变更控制管理流程； </w:t>
            </w:r>
          </w:p>
          <w:p w14:paraId="089BE680">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（2）对项目中出现的采购需求； </w:t>
            </w:r>
          </w:p>
          <w:p w14:paraId="663EB9F7">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（3）施工进度成本； </w:t>
            </w:r>
          </w:p>
          <w:p w14:paraId="6F411601">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（4）合同变更等制定合理的计划。 </w:t>
            </w:r>
          </w:p>
          <w:p w14:paraId="554FC7AA">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供应商提供的以上 4 项变更控制方案可行性进行评审，内容描述清晰、有针对性，有创新、全面、建议能充分结合本项目实际情况的每符合一项得 2.5 分，共计 10 分；每项存在不全面、不合理或没有针对性之处的每项得 0.5 分；未提供不得分。</w:t>
            </w:r>
          </w:p>
        </w:tc>
        <w:tc>
          <w:tcPr>
            <w:tcW w:w="617" w:type="dxa"/>
            <w:noWrap/>
            <w:vAlign w:val="center"/>
          </w:tcPr>
          <w:p w14:paraId="35C4AEA7">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10</w:t>
            </w:r>
            <w:r>
              <w:rPr>
                <w:rFonts w:hint="eastAsia" w:ascii="仿宋" w:hAnsi="仿宋" w:eastAsia="仿宋" w:cs="仿宋"/>
                <w:color w:val="000000" w:themeColor="text1"/>
                <w:kern w:val="0"/>
                <w:sz w:val="24"/>
                <w:lang w:bidi="ar"/>
                <w14:textFill>
                  <w14:solidFill>
                    <w14:schemeClr w14:val="tx1"/>
                  </w14:solidFill>
                </w14:textFill>
              </w:rPr>
              <w:t>分</w:t>
            </w:r>
          </w:p>
        </w:tc>
      </w:tr>
      <w:tr w14:paraId="4868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75" w:type="dxa"/>
            <w:noWrap/>
            <w:vAlign w:val="center"/>
          </w:tcPr>
          <w:p w14:paraId="126C5E7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8</w:t>
            </w:r>
          </w:p>
        </w:tc>
        <w:tc>
          <w:tcPr>
            <w:tcW w:w="897" w:type="dxa"/>
            <w:vMerge w:val="continue"/>
            <w:noWrap/>
            <w:vAlign w:val="center"/>
          </w:tcPr>
          <w:p w14:paraId="0A9C6468">
            <w:pPr>
              <w:pStyle w:val="24"/>
              <w:keepNext w:val="0"/>
              <w:keepLines w:val="0"/>
              <w:suppressLineNumbers w:val="0"/>
              <w:spacing w:before="0" w:beforeAutospacing="0" w:after="0" w:afterAutospacing="0"/>
              <w:ind w:left="420" w:right="0" w:hanging="420"/>
              <w:rPr>
                <w:rFonts w:hint="eastAsia" w:ascii="仿宋" w:hAnsi="仿宋" w:eastAsia="仿宋" w:cs="仿宋"/>
                <w:color w:val="000000" w:themeColor="text1"/>
                <w14:textFill>
                  <w14:solidFill>
                    <w14:schemeClr w14:val="tx1"/>
                  </w14:solidFill>
                </w14:textFill>
              </w:rPr>
            </w:pPr>
          </w:p>
        </w:tc>
        <w:tc>
          <w:tcPr>
            <w:tcW w:w="1320" w:type="dxa"/>
            <w:noWrap/>
            <w:vAlign w:val="center"/>
          </w:tcPr>
          <w:p w14:paraId="002FEB91">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合理化建议 </w:t>
            </w:r>
          </w:p>
          <w:p w14:paraId="79CDAA82">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 分）</w:t>
            </w:r>
          </w:p>
          <w:p w14:paraId="34B1FA75">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p>
        </w:tc>
        <w:tc>
          <w:tcPr>
            <w:tcW w:w="5835" w:type="dxa"/>
            <w:noWrap/>
            <w:vAlign w:val="center"/>
          </w:tcPr>
          <w:p w14:paraId="21A25C3A">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根据供应商提供的建议合理具体可行，且可实施性强，最高得2分，每项存在不全面、不合理或没有针对性之处的每项得 0.5分；未提供不得分。</w:t>
            </w:r>
          </w:p>
          <w:p w14:paraId="7B5E4447">
            <w:pPr>
              <w:keepNext w:val="0"/>
              <w:keepLines w:val="0"/>
              <w:suppressLineNumbers w:val="0"/>
              <w:spacing w:before="0" w:beforeAutospacing="0" w:after="0" w:afterAutospacing="0" w:line="440" w:lineRule="exact"/>
              <w:ind w:left="0" w:right="0"/>
              <w:jc w:val="both"/>
              <w:rPr>
                <w:rFonts w:hint="eastAsia" w:ascii="仿宋" w:hAnsi="仿宋" w:eastAsia="仿宋" w:cs="仿宋"/>
                <w:color w:val="000000" w:themeColor="text1"/>
                <w:kern w:val="0"/>
                <w:sz w:val="24"/>
                <w:lang w:val="en-US" w:eastAsia="zh-Hans"/>
                <w14:textFill>
                  <w14:solidFill>
                    <w14:schemeClr w14:val="tx1"/>
                  </w14:solidFill>
                </w14:textFill>
              </w:rPr>
            </w:pPr>
          </w:p>
        </w:tc>
        <w:tc>
          <w:tcPr>
            <w:tcW w:w="617" w:type="dxa"/>
            <w:noWrap/>
            <w:vAlign w:val="center"/>
          </w:tcPr>
          <w:p w14:paraId="12FD3391">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2</w:t>
            </w:r>
            <w:r>
              <w:rPr>
                <w:rFonts w:hint="eastAsia" w:ascii="仿宋" w:hAnsi="仿宋" w:eastAsia="仿宋" w:cs="仿宋"/>
                <w:color w:val="000000" w:themeColor="text1"/>
                <w:kern w:val="0"/>
                <w:sz w:val="24"/>
                <w:lang w:bidi="ar"/>
                <w14:textFill>
                  <w14:solidFill>
                    <w14:schemeClr w14:val="tx1"/>
                  </w14:solidFill>
                </w14:textFill>
              </w:rPr>
              <w:t>分</w:t>
            </w:r>
          </w:p>
        </w:tc>
      </w:tr>
    </w:tbl>
    <w:p w14:paraId="156560A2">
      <w:pPr>
        <w:pStyle w:val="24"/>
        <w:ind w:left="420" w:hanging="420"/>
        <w:rPr>
          <w:rFonts w:hint="eastAsia" w:ascii="仿宋" w:hAnsi="仿宋" w:eastAsia="仿宋" w:cs="仿宋"/>
          <w:color w:val="000000" w:themeColor="text1"/>
          <w14:textFill>
            <w14:solidFill>
              <w14:schemeClr w14:val="tx1"/>
            </w14:solidFill>
          </w14:textFill>
        </w:rPr>
      </w:pPr>
    </w:p>
    <w:p w14:paraId="0E2467B7">
      <w:pPr>
        <w:pStyle w:val="24"/>
        <w:ind w:left="420" w:hanging="420"/>
        <w:rPr>
          <w:rFonts w:hint="eastAsia" w:ascii="仿宋" w:hAnsi="仿宋" w:eastAsia="仿宋" w:cs="仿宋"/>
          <w:color w:val="000000" w:themeColor="text1"/>
          <w14:textFill>
            <w14:solidFill>
              <w14:schemeClr w14:val="tx1"/>
            </w14:solidFill>
          </w14:textFill>
        </w:rPr>
      </w:pPr>
    </w:p>
    <w:p w14:paraId="151CA6BE">
      <w:pPr>
        <w:pStyle w:val="24"/>
        <w:ind w:left="420" w:hanging="420"/>
        <w:rPr>
          <w:rFonts w:hint="eastAsia" w:ascii="仿宋" w:hAnsi="仿宋" w:eastAsia="仿宋" w:cs="仿宋"/>
          <w:color w:val="000000" w:themeColor="text1"/>
          <w14:textFill>
            <w14:solidFill>
              <w14:schemeClr w14:val="tx1"/>
            </w14:solidFill>
          </w14:textFill>
        </w:rPr>
      </w:pPr>
    </w:p>
    <w:p w14:paraId="09AA89FB">
      <w:pPr>
        <w:pStyle w:val="24"/>
        <w:ind w:left="420" w:hanging="420"/>
        <w:rPr>
          <w:rFonts w:hint="eastAsia" w:ascii="仿宋" w:hAnsi="仿宋" w:eastAsia="仿宋" w:cs="仿宋"/>
          <w:color w:val="000000" w:themeColor="text1"/>
          <w14:textFill>
            <w14:solidFill>
              <w14:schemeClr w14:val="tx1"/>
            </w14:solidFill>
          </w14:textFill>
        </w:rPr>
      </w:pPr>
    </w:p>
    <w:p w14:paraId="16191069">
      <w:pPr>
        <w:tabs>
          <w:tab w:val="left" w:pos="600"/>
        </w:tabs>
        <w:spacing w:line="348" w:lineRule="auto"/>
        <w:ind w:left="480"/>
        <w:jc w:val="center"/>
        <w:rPr>
          <w:rFonts w:hint="eastAsia" w:ascii="仿宋" w:hAnsi="仿宋" w:eastAsia="仿宋" w:cs="仿宋"/>
          <w:b/>
          <w:bCs/>
          <w:color w:val="000000" w:themeColor="text1"/>
          <w:sz w:val="24"/>
          <w14:textFill>
            <w14:solidFill>
              <w14:schemeClr w14:val="tx1"/>
            </w14:solidFill>
          </w14:textFill>
        </w:rPr>
      </w:pPr>
    </w:p>
    <w:p w14:paraId="1B422339">
      <w:pPr>
        <w:tabs>
          <w:tab w:val="left" w:pos="600"/>
        </w:tabs>
        <w:spacing w:line="348" w:lineRule="auto"/>
        <w:ind w:left="480"/>
        <w:jc w:val="center"/>
        <w:rPr>
          <w:rFonts w:hint="eastAsia" w:ascii="仿宋" w:hAnsi="仿宋" w:eastAsia="仿宋" w:cs="仿宋"/>
          <w:b/>
          <w:bCs/>
          <w:color w:val="000000" w:themeColor="text1"/>
          <w:sz w:val="24"/>
          <w14:textFill>
            <w14:solidFill>
              <w14:schemeClr w14:val="tx1"/>
            </w14:solidFill>
          </w14:textFill>
        </w:rPr>
      </w:pPr>
    </w:p>
    <w:p w14:paraId="3EDBEEE6">
      <w:pPr>
        <w:tabs>
          <w:tab w:val="left" w:pos="600"/>
        </w:tabs>
        <w:spacing w:line="348" w:lineRule="auto"/>
        <w:ind w:left="480"/>
        <w:jc w:val="center"/>
        <w:rPr>
          <w:rFonts w:hint="eastAsia" w:ascii="仿宋" w:hAnsi="仿宋" w:eastAsia="仿宋" w:cs="仿宋"/>
          <w:b/>
          <w:bCs/>
          <w:color w:val="000000" w:themeColor="text1"/>
          <w:sz w:val="24"/>
          <w14:textFill>
            <w14:solidFill>
              <w14:schemeClr w14:val="tx1"/>
            </w14:solidFill>
          </w14:textFill>
        </w:rPr>
      </w:pPr>
    </w:p>
    <w:p w14:paraId="28465234">
      <w:pPr>
        <w:tabs>
          <w:tab w:val="left" w:pos="600"/>
        </w:tabs>
        <w:spacing w:line="348" w:lineRule="auto"/>
        <w:ind w:left="48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报价部分评分标准（100分，权重值占10%）</w:t>
      </w:r>
    </w:p>
    <w:tbl>
      <w:tblPr>
        <w:tblStyle w:val="33"/>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37"/>
        <w:gridCol w:w="7466"/>
      </w:tblGrid>
      <w:tr w14:paraId="7AF7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noWrap w:val="0"/>
            <w:vAlign w:val="center"/>
          </w:tcPr>
          <w:p w14:paraId="0AA11256">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序号</w:t>
            </w:r>
          </w:p>
        </w:tc>
        <w:tc>
          <w:tcPr>
            <w:tcW w:w="1437" w:type="dxa"/>
            <w:noWrap w:val="0"/>
            <w:vAlign w:val="center"/>
          </w:tcPr>
          <w:p w14:paraId="136F11F1">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评审项目</w:t>
            </w:r>
          </w:p>
        </w:tc>
        <w:tc>
          <w:tcPr>
            <w:tcW w:w="7466" w:type="dxa"/>
            <w:noWrap w:val="0"/>
            <w:vAlign w:val="center"/>
          </w:tcPr>
          <w:p w14:paraId="6D1A5B0F">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评分标准</w:t>
            </w:r>
          </w:p>
        </w:tc>
      </w:tr>
      <w:tr w14:paraId="4718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26" w:type="dxa"/>
            <w:noWrap w:val="0"/>
            <w:vAlign w:val="center"/>
          </w:tcPr>
          <w:p w14:paraId="457FC6A2">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1</w:t>
            </w:r>
          </w:p>
        </w:tc>
        <w:tc>
          <w:tcPr>
            <w:tcW w:w="1437" w:type="dxa"/>
            <w:noWrap w:val="0"/>
            <w:vAlign w:val="center"/>
          </w:tcPr>
          <w:p w14:paraId="7460F253">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投标报价</w:t>
            </w:r>
          </w:p>
        </w:tc>
        <w:tc>
          <w:tcPr>
            <w:tcW w:w="7466" w:type="dxa"/>
            <w:noWrap w:val="0"/>
            <w:vAlign w:val="center"/>
          </w:tcPr>
          <w:p w14:paraId="309442CB">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价格分采用低价优先法计算，即满足招标文件要求且报价最低的供应商的价格为基准价，其价格分为满分。其他供应商的价格分统一按照下列公式计算：价格分=（评标基准价/投标报价）×10%×100</w:t>
            </w:r>
          </w:p>
        </w:tc>
      </w:tr>
    </w:tbl>
    <w:p w14:paraId="0C24F205">
      <w:pPr>
        <w:snapToGrid w:val="0"/>
        <w:spacing w:line="348" w:lineRule="auto"/>
        <w:ind w:firstLine="360" w:firstLineChars="150"/>
        <w:rPr>
          <w:rFonts w:hint="eastAsia" w:ascii="仿宋" w:hAnsi="仿宋" w:eastAsia="仿宋" w:cs="仿宋"/>
          <w:color w:val="000000" w:themeColor="text1"/>
          <w:sz w:val="24"/>
          <w14:textFill>
            <w14:solidFill>
              <w14:schemeClr w14:val="tx1"/>
            </w14:solidFill>
          </w14:textFill>
        </w:rPr>
      </w:pPr>
    </w:p>
    <w:p w14:paraId="67BE4772">
      <w:pPr>
        <w:snapToGrid w:val="0"/>
        <w:spacing w:line="348"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技术、商务、价格部分分值分配如下：</w:t>
      </w:r>
    </w:p>
    <w:p w14:paraId="1FB910B2">
      <w:pPr>
        <w:rPr>
          <w:rFonts w:hint="eastAsia"/>
          <w:color w:val="000000" w:themeColor="text1"/>
          <w14:textFill>
            <w14:solidFill>
              <w14:schemeClr w14:val="tx1"/>
            </w14:solidFill>
          </w14:textFill>
        </w:rPr>
      </w:pPr>
    </w:p>
    <w:tbl>
      <w:tblPr>
        <w:tblStyle w:val="3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565"/>
        <w:gridCol w:w="1888"/>
        <w:gridCol w:w="1671"/>
        <w:gridCol w:w="1848"/>
      </w:tblGrid>
      <w:tr w14:paraId="5EFE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3D6E0375">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评分项目</w:t>
            </w:r>
          </w:p>
        </w:tc>
        <w:tc>
          <w:tcPr>
            <w:tcW w:w="2565" w:type="dxa"/>
            <w:noWrap w:val="0"/>
            <w:vAlign w:val="center"/>
          </w:tcPr>
          <w:p w14:paraId="7455A5AD">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商务评分</w:t>
            </w:r>
          </w:p>
        </w:tc>
        <w:tc>
          <w:tcPr>
            <w:tcW w:w="1888" w:type="dxa"/>
            <w:noWrap w:val="0"/>
            <w:vAlign w:val="center"/>
          </w:tcPr>
          <w:p w14:paraId="7BF86A62">
            <w:pPr>
              <w:keepNext w:val="0"/>
              <w:keepLines w:val="0"/>
              <w:suppressLineNumbers w:val="0"/>
              <w:autoSpaceDE w:val="0"/>
              <w:autoSpaceDN w:val="0"/>
              <w:adjustRightInd w:val="0"/>
              <w:spacing w:before="0" w:beforeAutospacing="0" w:after="0" w:afterAutospacing="0"/>
              <w:ind w:left="16" w:leftChars="-51" w:right="0" w:hanging="123" w:hangingChars="5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技术评分</w:t>
            </w:r>
          </w:p>
        </w:tc>
        <w:tc>
          <w:tcPr>
            <w:tcW w:w="1671" w:type="dxa"/>
            <w:noWrap w:val="0"/>
            <w:vAlign w:val="center"/>
          </w:tcPr>
          <w:p w14:paraId="55A18B8D">
            <w:pPr>
              <w:keepNext w:val="0"/>
              <w:keepLines w:val="0"/>
              <w:suppressLineNumbers w:val="0"/>
              <w:autoSpaceDE w:val="0"/>
              <w:autoSpaceDN w:val="0"/>
              <w:adjustRightInd w:val="0"/>
              <w:spacing w:before="0" w:beforeAutospacing="0" w:after="0" w:afterAutospacing="0"/>
              <w:ind w:left="16" w:leftChars="-51" w:right="0" w:hanging="123" w:hangingChars="51"/>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价格评分</w:t>
            </w:r>
          </w:p>
        </w:tc>
        <w:tc>
          <w:tcPr>
            <w:tcW w:w="1848" w:type="dxa"/>
            <w:noWrap w:val="0"/>
            <w:vAlign w:val="center"/>
          </w:tcPr>
          <w:p w14:paraId="455610ED">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  计</w:t>
            </w:r>
          </w:p>
        </w:tc>
      </w:tr>
      <w:tr w14:paraId="11BF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3340C1EE">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分值</w:t>
            </w:r>
          </w:p>
        </w:tc>
        <w:tc>
          <w:tcPr>
            <w:tcW w:w="2565" w:type="dxa"/>
            <w:noWrap w:val="0"/>
            <w:vAlign w:val="center"/>
          </w:tcPr>
          <w:p w14:paraId="543A06B6">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val="en-US" w:eastAsia="zh-CN"/>
                <w14:textFill>
                  <w14:solidFill>
                    <w14:schemeClr w14:val="tx1"/>
                  </w14:solidFill>
                </w14:textFill>
              </w:rPr>
              <w:t>20</w:t>
            </w:r>
            <w:r>
              <w:rPr>
                <w:rFonts w:hint="eastAsia" w:ascii="仿宋" w:hAnsi="仿宋" w:eastAsia="仿宋" w:cs="仿宋"/>
                <w:b/>
                <w:color w:val="000000" w:themeColor="text1"/>
                <w:kern w:val="0"/>
                <w:sz w:val="24"/>
                <w14:textFill>
                  <w14:solidFill>
                    <w14:schemeClr w14:val="tx1"/>
                  </w14:solidFill>
                </w14:textFill>
              </w:rPr>
              <w:t>分</w:t>
            </w:r>
          </w:p>
        </w:tc>
        <w:tc>
          <w:tcPr>
            <w:tcW w:w="1888" w:type="dxa"/>
            <w:noWrap w:val="0"/>
            <w:vAlign w:val="center"/>
          </w:tcPr>
          <w:p w14:paraId="60E7EAC7">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val="en-US" w:eastAsia="zh-CN"/>
                <w14:textFill>
                  <w14:solidFill>
                    <w14:schemeClr w14:val="tx1"/>
                  </w14:solidFill>
                </w14:textFill>
              </w:rPr>
              <w:t>70</w:t>
            </w:r>
            <w:r>
              <w:rPr>
                <w:rFonts w:hint="eastAsia" w:ascii="仿宋" w:hAnsi="仿宋" w:eastAsia="仿宋" w:cs="仿宋"/>
                <w:b/>
                <w:color w:val="000000" w:themeColor="text1"/>
                <w:kern w:val="0"/>
                <w:sz w:val="24"/>
                <w14:textFill>
                  <w14:solidFill>
                    <w14:schemeClr w14:val="tx1"/>
                  </w14:solidFill>
                </w14:textFill>
              </w:rPr>
              <w:t>分</w:t>
            </w:r>
          </w:p>
        </w:tc>
        <w:tc>
          <w:tcPr>
            <w:tcW w:w="1671" w:type="dxa"/>
            <w:noWrap w:val="0"/>
            <w:vAlign w:val="center"/>
          </w:tcPr>
          <w:p w14:paraId="63240E85">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10分</w:t>
            </w:r>
          </w:p>
        </w:tc>
        <w:tc>
          <w:tcPr>
            <w:tcW w:w="1848" w:type="dxa"/>
            <w:noWrap w:val="0"/>
            <w:vAlign w:val="center"/>
          </w:tcPr>
          <w:p w14:paraId="48FF4C03">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100分</w:t>
            </w:r>
          </w:p>
        </w:tc>
      </w:tr>
    </w:tbl>
    <w:p w14:paraId="6F8A381A">
      <w:pPr>
        <w:pStyle w:val="24"/>
        <w:ind w:left="420" w:hanging="420"/>
        <w:rPr>
          <w:rFonts w:hint="eastAsia" w:ascii="宋体" w:hAnsi="宋体" w:eastAsia="宋体" w:cs="宋体"/>
          <w:bCs/>
          <w:color w:val="000000" w:themeColor="text1"/>
          <w:kern w:val="2"/>
          <w:sz w:val="24"/>
          <w:szCs w:val="24"/>
          <w:highlight w:val="white"/>
          <w:lang w:val="en-US" w:eastAsia="zh-CN" w:bidi="ar-SA"/>
          <w14:textFill>
            <w14:solidFill>
              <w14:schemeClr w14:val="tx1"/>
            </w14:solidFill>
          </w14:textFill>
        </w:rPr>
      </w:pPr>
    </w:p>
    <w:p w14:paraId="53D4D74A">
      <w:pPr>
        <w:keepNext w:val="0"/>
        <w:keepLines w:val="0"/>
        <w:widowControl/>
        <w:suppressLineNumbers w:val="0"/>
        <w:jc w:val="left"/>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t xml:space="preserve">注： 1、计算过程中，算术平均值保留 2 位小数（百分比亦取 2 位小数），第三位小数四舍五入。 </w:t>
      </w:r>
    </w:p>
    <w:p w14:paraId="566C8BF5">
      <w:pPr>
        <w:keepNext w:val="0"/>
        <w:keepLines w:val="0"/>
        <w:widowControl/>
        <w:suppressLineNumbers w:val="0"/>
        <w:jc w:val="left"/>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white"/>
          <w:lang w:val="en-US" w:eastAsia="zh-CN" w:bidi="ar-SA"/>
          <w14:textFill>
            <w14:solidFill>
              <w14:schemeClr w14:val="tx1"/>
            </w14:solidFill>
          </w14:textFill>
        </w:rPr>
        <w:t>2、供应商的最终得分为：所有评委对其评分的算术平均值。</w:t>
      </w:r>
    </w:p>
    <w:p w14:paraId="798D9FF6">
      <w:pPr>
        <w:wordWrap w:val="0"/>
        <w:spacing w:line="500" w:lineRule="atLeast"/>
        <w:rPr>
          <w:rFonts w:ascii="宋体" w:hAnsi="宋体" w:cs="宋体"/>
          <w:color w:val="000000" w:themeColor="text1"/>
          <w:sz w:val="24"/>
          <w:szCs w:val="24"/>
          <w14:textFill>
            <w14:solidFill>
              <w14:schemeClr w14:val="tx1"/>
            </w14:solidFill>
          </w14:textFill>
        </w:rPr>
      </w:pPr>
    </w:p>
    <w:p w14:paraId="0DB361C4">
      <w:pPr>
        <w:widowControl/>
        <w:wordWrap w:val="0"/>
        <w:adjustRightInd w:val="0"/>
        <w:snapToGrid w:val="0"/>
        <w:spacing w:line="500" w:lineRule="atLeast"/>
        <w:rPr>
          <w:rFonts w:hint="eastAsia" w:ascii="宋体" w:hAnsi="宋体" w:cs="宋体"/>
          <w:b/>
          <w:bCs/>
          <w:color w:val="000000" w:themeColor="text1"/>
          <w:sz w:val="24"/>
          <w:szCs w:val="24"/>
          <w:highlight w:val="white"/>
          <w14:textFill>
            <w14:solidFill>
              <w14:schemeClr w14:val="tx1"/>
            </w14:solidFill>
          </w14:textFill>
        </w:rPr>
      </w:pPr>
      <w:bookmarkStart w:id="115" w:name="EB229c4d45af864dea8dc66eeade4a4ff5"/>
      <w:bookmarkStart w:id="116" w:name="_Toc446599330"/>
      <w:bookmarkStart w:id="117" w:name="_Toc293739005"/>
      <w:bookmarkStart w:id="118" w:name="_Toc293736067"/>
      <w:bookmarkStart w:id="119" w:name="_Toc293736024"/>
    </w:p>
    <w:p w14:paraId="120B2D47">
      <w:pPr>
        <w:widowControl/>
        <w:wordWrap w:val="0"/>
        <w:adjustRightInd w:val="0"/>
        <w:snapToGrid w:val="0"/>
        <w:spacing w:line="500" w:lineRule="atLeas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highlight w:val="white"/>
          <w14:textFill>
            <w14:solidFill>
              <w14:schemeClr w14:val="tx1"/>
            </w14:solidFill>
          </w14:textFill>
        </w:rPr>
        <w:t>三.推荐成交投标人</w:t>
      </w:r>
    </w:p>
    <w:p w14:paraId="467F2C7C">
      <w:pPr>
        <w:widowControl/>
        <w:wordWrap w:val="0"/>
        <w:adjustRightInd w:val="0"/>
        <w:snapToGrid w:val="0"/>
        <w:spacing w:line="500" w:lineRule="atLeas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1.磋商小组应当根据综合评分情况，按照评审得分由高到低顺序推荐3名以上成交候选投标人，并编写评审报告。符合《政府采购竞争性磋商采购方式管理暂行办法》（财库[2014]214号）中第二十一条第三款情形的或符合《</w:t>
      </w:r>
      <w:r>
        <w:rPr>
          <w:rFonts w:hint="eastAsia" w:ascii="宋体" w:hAnsi="宋体" w:cs="宋体"/>
          <w:bCs/>
          <w:color w:val="000000" w:themeColor="text1"/>
          <w:sz w:val="24"/>
          <w:szCs w:val="24"/>
          <w14:textFill>
            <w14:solidFill>
              <w14:schemeClr w14:val="tx1"/>
            </w14:solidFill>
          </w14:textFill>
        </w:rPr>
        <w:t>财政部关于政府采购竞争性磋商采购方式管理暂行办法有关问题的补充通知</w:t>
      </w:r>
      <w:r>
        <w:rPr>
          <w:rFonts w:hint="eastAsia" w:ascii="宋体" w:hAnsi="宋体" w:cs="宋体"/>
          <w:bCs/>
          <w:color w:val="000000" w:themeColor="text1"/>
          <w:sz w:val="24"/>
          <w:szCs w:val="24"/>
          <w:highlight w:val="white"/>
          <w14:textFill>
            <w14:solidFill>
              <w14:schemeClr w14:val="tx1"/>
            </w14:solidFill>
          </w14:textFill>
        </w:rPr>
        <w:t>》（财库[2015]124号）的，可以推荐2家成交候选投标人。评审得分相同的，按照最后报价由低到高的顺序推荐。评审得分且最后报价相同的，按照技术指标优劣顺序推荐。</w:t>
      </w:r>
    </w:p>
    <w:p w14:paraId="7606E1A4">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2.评分计算方法解释</w:t>
      </w:r>
    </w:p>
    <w:p w14:paraId="094C84AA">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（1）投标人的评审得分是指所有磋商小组成员对其评分的算术平均值。</w:t>
      </w:r>
    </w:p>
    <w:p w14:paraId="715C263E">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（2）计算过程中，算术平均值保留2位小数（百分比亦取2位小数），第三位小数四舍五入。</w:t>
      </w:r>
    </w:p>
    <w:p w14:paraId="54B52A1B">
      <w:pPr>
        <w:widowControl/>
        <w:wordWrap w:val="0"/>
        <w:adjustRightInd w:val="0"/>
        <w:snapToGrid w:val="0"/>
        <w:spacing w:line="500" w:lineRule="atLeas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highlight w:val="white"/>
          <w14:textFill>
            <w14:solidFill>
              <w14:schemeClr w14:val="tx1"/>
            </w14:solidFill>
          </w14:textFill>
        </w:rPr>
        <w:t>四.确定成交投标人</w:t>
      </w:r>
    </w:p>
    <w:p w14:paraId="4AA5EF2F">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1.招标代理机构应当在评审结束后2个工作日内将评审报告送招标人确认。</w:t>
      </w:r>
    </w:p>
    <w:p w14:paraId="61682930">
      <w:pPr>
        <w:widowControl/>
        <w:wordWrap w:val="0"/>
        <w:adjustRightInd w:val="0"/>
        <w:snapToGrid w:val="0"/>
        <w:spacing w:line="500" w:lineRule="atLeast"/>
        <w:ind w:firstLine="480" w:firstLineChars="200"/>
        <w:rPr>
          <w:rFonts w:ascii="宋体" w:hAnsi="宋体" w:cs="宋体"/>
          <w:bCs/>
          <w:color w:val="000000" w:themeColor="text1"/>
          <w:sz w:val="24"/>
          <w:szCs w:val="24"/>
          <w:highlight w:val="white"/>
          <w14:textFill>
            <w14:solidFill>
              <w14:schemeClr w14:val="tx1"/>
            </w14:solidFill>
          </w14:textFill>
        </w:rPr>
      </w:pPr>
      <w:r>
        <w:rPr>
          <w:rFonts w:hint="eastAsia" w:ascii="宋体" w:hAnsi="宋体" w:cs="宋体"/>
          <w:bCs/>
          <w:color w:val="000000" w:themeColor="text1"/>
          <w:sz w:val="24"/>
          <w:szCs w:val="24"/>
          <w:highlight w:val="white"/>
          <w14:textFill>
            <w14:solidFill>
              <w14:schemeClr w14:val="tx1"/>
            </w14:solidFill>
          </w14:textFill>
        </w:rPr>
        <w:t>2.招标人应当在收到评审报告后5个工作日内，从评审报告提出的成交候选投标人中，按照排序由高到低的原则确定成交投标人，也可以书面授权磋商小组直接确定成交投标人。招标人逾期未确定成交投标人且不提出异议的，视为确定评审报告提出的排序第一的投标人为成交投标人。</w:t>
      </w:r>
    </w:p>
    <w:p w14:paraId="4AF11378">
      <w:pPr>
        <w:jc w:val="left"/>
        <w:rPr>
          <w:color w:val="000000" w:themeColor="text1"/>
          <w14:textFill>
            <w14:solidFill>
              <w14:schemeClr w14:val="tx1"/>
            </w14:solidFill>
          </w14:textFill>
        </w:rPr>
      </w:pPr>
    </w:p>
    <w:bookmarkEnd w:id="115"/>
    <w:p w14:paraId="14F2FB12">
      <w:pPr>
        <w:pStyle w:val="2"/>
        <w:wordWrap w:val="0"/>
        <w:spacing w:before="0" w:after="0" w:line="500" w:lineRule="atLeast"/>
        <w:rPr>
          <w:rFonts w:ascii="宋体" w:hAnsi="宋体" w:cs="宋体"/>
          <w:b/>
          <w:bCs w:val="0"/>
          <w:color w:val="000000" w:themeColor="text1"/>
          <w:sz w:val="40"/>
          <w:szCs w:val="40"/>
          <w:highlight w:val="white"/>
          <w14:textFill>
            <w14:solidFill>
              <w14:schemeClr w14:val="tx1"/>
            </w14:solidFill>
          </w14:textFill>
        </w:rPr>
      </w:pPr>
      <w:bookmarkStart w:id="120" w:name="_Toc8050"/>
      <w:bookmarkStart w:id="121" w:name="_Toc534380787"/>
    </w:p>
    <w:p w14:paraId="67347499">
      <w:pPr>
        <w:pStyle w:val="2"/>
        <w:wordWrap w:val="0"/>
        <w:spacing w:before="0" w:after="0" w:line="500" w:lineRule="atLeast"/>
        <w:jc w:val="both"/>
        <w:rPr>
          <w:rFonts w:ascii="宋体" w:hAnsi="宋体" w:cs="宋体"/>
          <w:b/>
          <w:bCs w:val="0"/>
          <w:color w:val="000000" w:themeColor="text1"/>
          <w:sz w:val="40"/>
          <w:szCs w:val="40"/>
          <w:highlight w:val="white"/>
          <w14:textFill>
            <w14:solidFill>
              <w14:schemeClr w14:val="tx1"/>
            </w14:solidFill>
          </w14:textFill>
        </w:rPr>
      </w:pPr>
    </w:p>
    <w:bookmarkEnd w:id="116"/>
    <w:bookmarkEnd w:id="117"/>
    <w:bookmarkEnd w:id="118"/>
    <w:bookmarkEnd w:id="119"/>
    <w:bookmarkEnd w:id="120"/>
    <w:bookmarkEnd w:id="121"/>
    <w:p w14:paraId="0393F046">
      <w:pPr>
        <w:pStyle w:val="2"/>
        <w:wordWrap w:val="0"/>
        <w:spacing w:before="0" w:after="0" w:line="500" w:lineRule="atLeast"/>
        <w:jc w:val="both"/>
        <w:rPr>
          <w:rFonts w:hint="eastAsia" w:ascii="宋体" w:hAnsi="宋体" w:cs="宋体"/>
          <w:b/>
          <w:bCs w:val="0"/>
          <w:color w:val="000000" w:themeColor="text1"/>
          <w:sz w:val="40"/>
          <w:szCs w:val="40"/>
          <w:highlight w:val="white"/>
          <w14:textFill>
            <w14:solidFill>
              <w14:schemeClr w14:val="tx1"/>
            </w14:solidFill>
          </w14:textFill>
        </w:rPr>
      </w:pPr>
      <w:bookmarkStart w:id="122" w:name="EBe1f6dcc1acc64e30b7a34d7cfa3bf34d"/>
    </w:p>
    <w:p w14:paraId="39765E15">
      <w:pPr>
        <w:pStyle w:val="2"/>
        <w:wordWrap w:val="0"/>
        <w:spacing w:before="0" w:after="0" w:line="500" w:lineRule="atLeast"/>
        <w:jc w:val="both"/>
        <w:rPr>
          <w:rFonts w:hint="eastAsia" w:ascii="宋体" w:hAnsi="宋体" w:cs="宋体"/>
          <w:b/>
          <w:bCs w:val="0"/>
          <w:color w:val="000000" w:themeColor="text1"/>
          <w:sz w:val="40"/>
          <w:szCs w:val="40"/>
          <w:highlight w:val="white"/>
          <w14:textFill>
            <w14:solidFill>
              <w14:schemeClr w14:val="tx1"/>
            </w14:solidFill>
          </w14:textFill>
        </w:rPr>
      </w:pPr>
    </w:p>
    <w:p w14:paraId="1A8E58BC">
      <w:pPr>
        <w:bidi w:val="0"/>
        <w:rPr>
          <w:rFonts w:hint="eastAsia"/>
          <w:color w:val="000000" w:themeColor="text1"/>
          <w14:textFill>
            <w14:solidFill>
              <w14:schemeClr w14:val="tx1"/>
            </w14:solidFill>
          </w14:textFill>
        </w:rPr>
      </w:pPr>
    </w:p>
    <w:p w14:paraId="2E7F3B7E">
      <w:pPr>
        <w:bidi w:val="0"/>
        <w:rPr>
          <w:rFonts w:hint="eastAsia"/>
          <w:color w:val="000000" w:themeColor="text1"/>
          <w14:textFill>
            <w14:solidFill>
              <w14:schemeClr w14:val="tx1"/>
            </w14:solidFill>
          </w14:textFill>
        </w:rPr>
      </w:pPr>
    </w:p>
    <w:p w14:paraId="1BC048E2">
      <w:pPr>
        <w:bidi w:val="0"/>
        <w:rPr>
          <w:rFonts w:hint="eastAsia"/>
          <w:color w:val="000000" w:themeColor="text1"/>
          <w14:textFill>
            <w14:solidFill>
              <w14:schemeClr w14:val="tx1"/>
            </w14:solidFill>
          </w14:textFill>
        </w:rPr>
      </w:pPr>
    </w:p>
    <w:p w14:paraId="5EF05AA2">
      <w:pPr>
        <w:bidi w:val="0"/>
        <w:rPr>
          <w:rFonts w:hint="eastAsia"/>
          <w:color w:val="000000" w:themeColor="text1"/>
          <w14:textFill>
            <w14:solidFill>
              <w14:schemeClr w14:val="tx1"/>
            </w14:solidFill>
          </w14:textFill>
        </w:rPr>
      </w:pPr>
    </w:p>
    <w:p w14:paraId="0308D6D6">
      <w:pPr>
        <w:bidi w:val="0"/>
        <w:rPr>
          <w:rFonts w:hint="eastAsia"/>
          <w:color w:val="000000" w:themeColor="text1"/>
          <w14:textFill>
            <w14:solidFill>
              <w14:schemeClr w14:val="tx1"/>
            </w14:solidFill>
          </w14:textFill>
        </w:rPr>
      </w:pPr>
    </w:p>
    <w:p w14:paraId="73FE7165">
      <w:pPr>
        <w:bidi w:val="0"/>
        <w:rPr>
          <w:rFonts w:hint="eastAsia"/>
          <w:color w:val="000000" w:themeColor="text1"/>
          <w14:textFill>
            <w14:solidFill>
              <w14:schemeClr w14:val="tx1"/>
            </w14:solidFill>
          </w14:textFill>
        </w:rPr>
      </w:pPr>
    </w:p>
    <w:p w14:paraId="190F8362">
      <w:pPr>
        <w:bidi w:val="0"/>
        <w:rPr>
          <w:rFonts w:hint="eastAsia"/>
          <w:color w:val="000000" w:themeColor="text1"/>
          <w14:textFill>
            <w14:solidFill>
              <w14:schemeClr w14:val="tx1"/>
            </w14:solidFill>
          </w14:textFill>
        </w:rPr>
      </w:pPr>
    </w:p>
    <w:p w14:paraId="6C8AC71C">
      <w:pPr>
        <w:bidi w:val="0"/>
        <w:rPr>
          <w:rFonts w:hint="eastAsia"/>
          <w:color w:val="000000" w:themeColor="text1"/>
          <w14:textFill>
            <w14:solidFill>
              <w14:schemeClr w14:val="tx1"/>
            </w14:solidFill>
          </w14:textFill>
        </w:rPr>
      </w:pPr>
    </w:p>
    <w:p w14:paraId="5ECBFAA9">
      <w:pPr>
        <w:bidi w:val="0"/>
        <w:rPr>
          <w:rFonts w:hint="eastAsia"/>
          <w:color w:val="000000" w:themeColor="text1"/>
          <w14:textFill>
            <w14:solidFill>
              <w14:schemeClr w14:val="tx1"/>
            </w14:solidFill>
          </w14:textFill>
        </w:rPr>
      </w:pPr>
    </w:p>
    <w:p w14:paraId="24BD6731">
      <w:pPr>
        <w:bidi w:val="0"/>
        <w:rPr>
          <w:rFonts w:hint="eastAsia"/>
          <w:color w:val="000000" w:themeColor="text1"/>
          <w14:textFill>
            <w14:solidFill>
              <w14:schemeClr w14:val="tx1"/>
            </w14:solidFill>
          </w14:textFill>
        </w:rPr>
      </w:pPr>
    </w:p>
    <w:p w14:paraId="2F10FDD2">
      <w:pPr>
        <w:bidi w:val="0"/>
        <w:rPr>
          <w:rFonts w:hint="eastAsia"/>
          <w:color w:val="000000" w:themeColor="text1"/>
          <w14:textFill>
            <w14:solidFill>
              <w14:schemeClr w14:val="tx1"/>
            </w14:solidFill>
          </w14:textFill>
        </w:rPr>
      </w:pPr>
    </w:p>
    <w:p w14:paraId="2158C72E">
      <w:pPr>
        <w:bidi w:val="0"/>
        <w:rPr>
          <w:rFonts w:hint="eastAsia"/>
          <w:color w:val="000000" w:themeColor="text1"/>
          <w14:textFill>
            <w14:solidFill>
              <w14:schemeClr w14:val="tx1"/>
            </w14:solidFill>
          </w14:textFill>
        </w:rPr>
      </w:pPr>
    </w:p>
    <w:p w14:paraId="4937866A">
      <w:pPr>
        <w:bidi w:val="0"/>
        <w:rPr>
          <w:rFonts w:hint="eastAsia"/>
          <w:color w:val="000000" w:themeColor="text1"/>
          <w14:textFill>
            <w14:solidFill>
              <w14:schemeClr w14:val="tx1"/>
            </w14:solidFill>
          </w14:textFill>
        </w:rPr>
      </w:pPr>
    </w:p>
    <w:p w14:paraId="6B3A2438">
      <w:pPr>
        <w:bidi w:val="0"/>
        <w:rPr>
          <w:rFonts w:hint="eastAsia"/>
          <w:color w:val="000000" w:themeColor="text1"/>
          <w14:textFill>
            <w14:solidFill>
              <w14:schemeClr w14:val="tx1"/>
            </w14:solidFill>
          </w14:textFill>
        </w:rPr>
      </w:pPr>
    </w:p>
    <w:p w14:paraId="43C63736">
      <w:pPr>
        <w:bidi w:val="0"/>
        <w:rPr>
          <w:rFonts w:hint="eastAsia"/>
          <w:color w:val="000000" w:themeColor="text1"/>
          <w14:textFill>
            <w14:solidFill>
              <w14:schemeClr w14:val="tx1"/>
            </w14:solidFill>
          </w14:textFill>
        </w:rPr>
      </w:pPr>
    </w:p>
    <w:p w14:paraId="40DBE8AB">
      <w:pPr>
        <w:bidi w:val="0"/>
        <w:rPr>
          <w:rFonts w:hint="eastAsia"/>
          <w:color w:val="000000" w:themeColor="text1"/>
          <w14:textFill>
            <w14:solidFill>
              <w14:schemeClr w14:val="tx1"/>
            </w14:solidFill>
          </w14:textFill>
        </w:rPr>
      </w:pPr>
    </w:p>
    <w:p w14:paraId="3C22C93D">
      <w:pPr>
        <w:bidi w:val="0"/>
        <w:rPr>
          <w:rFonts w:hint="eastAsia"/>
          <w:color w:val="000000" w:themeColor="text1"/>
          <w14:textFill>
            <w14:solidFill>
              <w14:schemeClr w14:val="tx1"/>
            </w14:solidFill>
          </w14:textFill>
        </w:rPr>
      </w:pPr>
    </w:p>
    <w:p w14:paraId="24601B87">
      <w:pPr>
        <w:bidi w:val="0"/>
        <w:rPr>
          <w:rFonts w:hint="eastAsia"/>
          <w:color w:val="000000" w:themeColor="text1"/>
          <w14:textFill>
            <w14:solidFill>
              <w14:schemeClr w14:val="tx1"/>
            </w14:solidFill>
          </w14:textFill>
        </w:rPr>
      </w:pPr>
    </w:p>
    <w:p w14:paraId="3F3BF3D1">
      <w:pPr>
        <w:bidi w:val="0"/>
        <w:rPr>
          <w:rFonts w:hint="eastAsia"/>
          <w:color w:val="000000" w:themeColor="text1"/>
          <w14:textFill>
            <w14:solidFill>
              <w14:schemeClr w14:val="tx1"/>
            </w14:solidFill>
          </w14:textFill>
        </w:rPr>
      </w:pPr>
    </w:p>
    <w:p w14:paraId="184185B7">
      <w:pPr>
        <w:bidi w:val="0"/>
        <w:rPr>
          <w:rFonts w:hint="eastAsia"/>
          <w:color w:val="000000" w:themeColor="text1"/>
          <w14:textFill>
            <w14:solidFill>
              <w14:schemeClr w14:val="tx1"/>
            </w14:solidFill>
          </w14:textFill>
        </w:rPr>
      </w:pPr>
    </w:p>
    <w:p w14:paraId="42B0D5D3">
      <w:pPr>
        <w:bidi w:val="0"/>
        <w:rPr>
          <w:rFonts w:hint="eastAsia"/>
          <w:color w:val="000000" w:themeColor="text1"/>
          <w14:textFill>
            <w14:solidFill>
              <w14:schemeClr w14:val="tx1"/>
            </w14:solidFill>
          </w14:textFill>
        </w:rPr>
      </w:pPr>
    </w:p>
    <w:p w14:paraId="3389715E">
      <w:pPr>
        <w:bidi w:val="0"/>
        <w:rPr>
          <w:rFonts w:hint="eastAsia"/>
          <w:color w:val="000000" w:themeColor="text1"/>
          <w14:textFill>
            <w14:solidFill>
              <w14:schemeClr w14:val="tx1"/>
            </w14:solidFill>
          </w14:textFill>
        </w:rPr>
      </w:pPr>
    </w:p>
    <w:p w14:paraId="7FAD79B6">
      <w:pPr>
        <w:bidi w:val="0"/>
        <w:rPr>
          <w:rFonts w:hint="eastAsia"/>
          <w:color w:val="000000" w:themeColor="text1"/>
          <w14:textFill>
            <w14:solidFill>
              <w14:schemeClr w14:val="tx1"/>
            </w14:solidFill>
          </w14:textFill>
        </w:rPr>
      </w:pPr>
    </w:p>
    <w:p w14:paraId="4B683C66">
      <w:pPr>
        <w:bidi w:val="0"/>
        <w:rPr>
          <w:rFonts w:hint="eastAsia"/>
          <w:color w:val="000000" w:themeColor="text1"/>
          <w14:textFill>
            <w14:solidFill>
              <w14:schemeClr w14:val="tx1"/>
            </w14:solidFill>
          </w14:textFill>
        </w:rPr>
      </w:pPr>
    </w:p>
    <w:p w14:paraId="5FC443A1">
      <w:pPr>
        <w:pStyle w:val="2"/>
        <w:numPr>
          <w:ilvl w:val="0"/>
          <w:numId w:val="2"/>
        </w:numPr>
        <w:bidi w:val="0"/>
        <w:rPr>
          <w:rFonts w:hint="eastAsia"/>
          <w:b/>
          <w:bCs w:val="0"/>
          <w:color w:val="000000" w:themeColor="text1"/>
          <w:sz w:val="48"/>
          <w:szCs w:val="48"/>
          <w14:textFill>
            <w14:solidFill>
              <w14:schemeClr w14:val="tx1"/>
            </w14:solidFill>
          </w14:textFill>
        </w:rPr>
      </w:pPr>
      <w:r>
        <w:rPr>
          <w:rFonts w:hint="eastAsia"/>
          <w:b/>
          <w:bCs w:val="0"/>
          <w:color w:val="000000" w:themeColor="text1"/>
          <w:sz w:val="48"/>
          <w:szCs w:val="48"/>
          <w14:textFill>
            <w14:solidFill>
              <w14:schemeClr w14:val="tx1"/>
            </w14:solidFill>
          </w14:textFill>
        </w:rPr>
        <w:t>合同格式及合同条款</w:t>
      </w:r>
    </w:p>
    <w:p w14:paraId="23B884BB">
      <w:pPr>
        <w:pStyle w:val="3"/>
        <w:jc w:val="center"/>
        <w:rPr>
          <w:rFonts w:ascii="宋体" w:hAnsi="宋体" w:eastAsia="宋体" w:cs="宋体"/>
        </w:rPr>
      </w:pPr>
      <w:bookmarkStart w:id="123" w:name="_Toc118466628"/>
      <w:r>
        <w:rPr>
          <w:rFonts w:hint="eastAsia" w:ascii="宋体" w:hAnsi="宋体" w:eastAsia="宋体" w:cs="宋体"/>
        </w:rPr>
        <w:t>第一部分 协议书</w:t>
      </w:r>
      <w:bookmarkEnd w:id="123"/>
    </w:p>
    <w:p w14:paraId="237CB8EB">
      <w:pPr>
        <w:autoSpaceDE w:val="0"/>
        <w:autoSpaceDN w:val="0"/>
        <w:adjustRightInd w:val="0"/>
        <w:spacing w:line="560" w:lineRule="exact"/>
        <w:jc w:val="center"/>
        <w:outlineLvl w:val="0"/>
        <w:rPr>
          <w:rFonts w:ascii="宋体" w:hAnsi="宋体" w:eastAsia="宋体" w:cs="宋体"/>
          <w:b/>
          <w:bCs/>
          <w:sz w:val="24"/>
        </w:rPr>
      </w:pPr>
      <w:r>
        <w:rPr>
          <w:rFonts w:hint="eastAsia" w:ascii="宋体" w:hAnsi="宋体" w:eastAsia="宋体" w:cs="宋体"/>
          <w:b/>
          <w:bCs/>
          <w:kern w:val="0"/>
          <w:sz w:val="24"/>
        </w:rPr>
        <w:t>（付款方式:按实际合同签订为准）</w:t>
      </w:r>
    </w:p>
    <w:p w14:paraId="75386023">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委托人（全称）：</w:t>
      </w:r>
      <w:r>
        <w:rPr>
          <w:rFonts w:hint="eastAsia" w:ascii="宋体" w:hAnsi="宋体" w:eastAsia="宋体" w:cs="宋体"/>
          <w:b/>
          <w:sz w:val="24"/>
          <w:u w:val="single"/>
        </w:rPr>
        <w:t xml:space="preserve">                                           </w:t>
      </w:r>
    </w:p>
    <w:p w14:paraId="7F213AC0">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监理人（全称）：</w:t>
      </w:r>
      <w:r>
        <w:rPr>
          <w:rFonts w:hint="eastAsia" w:ascii="宋体" w:hAnsi="宋体" w:eastAsia="宋体" w:cs="宋体"/>
          <w:b/>
          <w:sz w:val="24"/>
          <w:u w:val="single"/>
        </w:rPr>
        <w:t xml:space="preserve">                                           </w:t>
      </w:r>
    </w:p>
    <w:p w14:paraId="060F66F5">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根据《中华人民共和国民法典》、《中华人民共和国建筑法》及其他有关法律、法规，遵循平等、自愿、公平和诚信的原则，双方就下述工程委托监理与相关服务事项协商一致，订立本合同。</w:t>
      </w:r>
    </w:p>
    <w:p w14:paraId="6DD3CA76">
      <w:pPr>
        <w:spacing w:line="360" w:lineRule="auto"/>
        <w:ind w:firstLine="420" w:firstLineChars="200"/>
        <w:rPr>
          <w:rFonts w:ascii="宋体" w:hAnsi="宋体" w:eastAsia="宋体" w:cs="宋体"/>
        </w:rPr>
      </w:pPr>
      <w:r>
        <w:rPr>
          <w:rFonts w:hint="eastAsia" w:ascii="宋体" w:hAnsi="宋体" w:eastAsia="宋体" w:cs="宋体"/>
        </w:rPr>
        <w:t>一、工程概况</w:t>
      </w:r>
    </w:p>
    <w:p w14:paraId="73C35CE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 工程名称：</w:t>
      </w:r>
      <w:r>
        <w:rPr>
          <w:rFonts w:hint="eastAsia" w:ascii="宋体" w:hAnsi="宋体" w:eastAsia="宋体" w:cs="宋体"/>
          <w:sz w:val="24"/>
          <w:u w:val="single"/>
        </w:rPr>
        <w:t xml:space="preserve">                                              </w:t>
      </w:r>
      <w:r>
        <w:rPr>
          <w:rFonts w:hint="eastAsia" w:ascii="宋体" w:hAnsi="宋体" w:eastAsia="宋体" w:cs="宋体"/>
          <w:sz w:val="24"/>
        </w:rPr>
        <w:t>；</w:t>
      </w:r>
    </w:p>
    <w:p w14:paraId="3BA067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 工程地点：</w:t>
      </w:r>
      <w:r>
        <w:rPr>
          <w:rFonts w:hint="eastAsia" w:ascii="宋体" w:hAnsi="宋体" w:eastAsia="宋体" w:cs="宋体"/>
          <w:sz w:val="24"/>
          <w:u w:val="single"/>
        </w:rPr>
        <w:t xml:space="preserve">                                              </w:t>
      </w:r>
      <w:r>
        <w:rPr>
          <w:rFonts w:hint="eastAsia" w:ascii="宋体" w:hAnsi="宋体" w:eastAsia="宋体" w:cs="宋体"/>
          <w:sz w:val="24"/>
        </w:rPr>
        <w:t>；</w:t>
      </w:r>
    </w:p>
    <w:p w14:paraId="7B34DC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 工程规模：</w:t>
      </w:r>
      <w:r>
        <w:rPr>
          <w:rFonts w:hint="eastAsia" w:ascii="宋体" w:hAnsi="宋体" w:eastAsia="宋体" w:cs="宋体"/>
          <w:sz w:val="24"/>
          <w:u w:val="single"/>
        </w:rPr>
        <w:t xml:space="preserve">                                              </w:t>
      </w:r>
      <w:r>
        <w:rPr>
          <w:rFonts w:hint="eastAsia" w:ascii="宋体" w:hAnsi="宋体" w:eastAsia="宋体" w:cs="宋体"/>
          <w:sz w:val="24"/>
        </w:rPr>
        <w:t>；</w:t>
      </w:r>
    </w:p>
    <w:p w14:paraId="1C6C142F">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 工程</w:t>
      </w:r>
      <w:r>
        <w:rPr>
          <w:rFonts w:hint="eastAsia" w:ascii="宋体" w:hAnsi="宋体" w:eastAsia="宋体" w:cs="宋体"/>
          <w:kern w:val="0"/>
          <w:sz w:val="24"/>
        </w:rPr>
        <w:t>概算投资额或建筑安装工程费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14:paraId="77F47B56">
      <w:pPr>
        <w:spacing w:line="360" w:lineRule="auto"/>
        <w:ind w:firstLine="420" w:firstLineChars="200"/>
        <w:rPr>
          <w:rFonts w:ascii="宋体" w:hAnsi="宋体" w:eastAsia="宋体" w:cs="宋体"/>
        </w:rPr>
      </w:pPr>
      <w:r>
        <w:rPr>
          <w:rFonts w:hint="eastAsia" w:ascii="宋体" w:hAnsi="宋体" w:eastAsia="宋体" w:cs="宋体"/>
        </w:rPr>
        <w:t>二、词语限定</w:t>
      </w:r>
    </w:p>
    <w:p w14:paraId="2E9826C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协议书中相关词语的含义与通用条件中的定义与解释相同。</w:t>
      </w:r>
    </w:p>
    <w:p w14:paraId="6F066CFF">
      <w:pPr>
        <w:spacing w:line="360" w:lineRule="auto"/>
        <w:ind w:firstLine="420" w:firstLineChars="200"/>
        <w:rPr>
          <w:rFonts w:ascii="宋体" w:hAnsi="宋体" w:eastAsia="宋体" w:cs="宋体"/>
        </w:rPr>
      </w:pPr>
      <w:r>
        <w:rPr>
          <w:rFonts w:hint="eastAsia" w:ascii="宋体" w:hAnsi="宋体" w:eastAsia="宋体" w:cs="宋体"/>
        </w:rPr>
        <w:t>三、组成本合同的文件</w:t>
      </w:r>
    </w:p>
    <w:p w14:paraId="1BBC2F6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 协议书；</w:t>
      </w:r>
    </w:p>
    <w:p w14:paraId="341EEEA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 中标通知书（适用于招标工程）或委托书（适用于非招标工程）；</w:t>
      </w:r>
    </w:p>
    <w:p w14:paraId="5AF3DE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 投标文件（适用于招标工程）或监理与相关服务建议书（适用于非招标工程）；</w:t>
      </w:r>
    </w:p>
    <w:p w14:paraId="324993DF">
      <w:pPr>
        <w:adjustRightInd w:val="0"/>
        <w:snapToGrid w:val="0"/>
        <w:spacing w:line="360" w:lineRule="auto"/>
        <w:rPr>
          <w:rFonts w:ascii="宋体" w:hAnsi="宋体" w:eastAsia="宋体" w:cs="宋体"/>
          <w:sz w:val="24"/>
        </w:rPr>
      </w:pPr>
      <w:r>
        <w:rPr>
          <w:rFonts w:hint="eastAsia" w:ascii="宋体" w:hAnsi="宋体" w:eastAsia="宋体" w:cs="宋体"/>
          <w:sz w:val="24"/>
        </w:rPr>
        <w:t xml:space="preserve">    4. 专用条件；</w:t>
      </w:r>
    </w:p>
    <w:p w14:paraId="3EC65186">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5. 通用条件；</w:t>
      </w:r>
    </w:p>
    <w:p w14:paraId="385DCA32">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6. 附录，即：</w:t>
      </w:r>
    </w:p>
    <w:p w14:paraId="6089C4B0">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附录A  相关服务的范围和内容</w:t>
      </w:r>
    </w:p>
    <w:p w14:paraId="2C36027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附录B  委托人派遣的人员和提供的</w:t>
      </w:r>
      <w:r>
        <w:rPr>
          <w:rFonts w:hint="eastAsia" w:ascii="宋体" w:hAnsi="宋体" w:eastAsia="宋体" w:cs="宋体"/>
          <w:bCs/>
          <w:sz w:val="24"/>
        </w:rPr>
        <w:t>房屋、资料</w:t>
      </w:r>
      <w:r>
        <w:rPr>
          <w:rFonts w:hint="eastAsia" w:ascii="宋体" w:hAnsi="宋体" w:eastAsia="宋体" w:cs="宋体"/>
          <w:sz w:val="24"/>
        </w:rPr>
        <w:t>、设备</w:t>
      </w:r>
    </w:p>
    <w:p w14:paraId="7CD0347C">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本合同签订后，双方依法签订的补充协议也是本合同文件的组成部分。</w:t>
      </w:r>
    </w:p>
    <w:p w14:paraId="38BCE4FD">
      <w:pPr>
        <w:spacing w:line="360" w:lineRule="auto"/>
        <w:ind w:firstLine="420" w:firstLineChars="200"/>
        <w:rPr>
          <w:rFonts w:ascii="宋体" w:hAnsi="宋体" w:eastAsia="宋体" w:cs="宋体"/>
        </w:rPr>
      </w:pPr>
      <w:r>
        <w:rPr>
          <w:rFonts w:hint="eastAsia" w:ascii="宋体" w:hAnsi="宋体" w:eastAsia="宋体" w:cs="宋体"/>
        </w:rPr>
        <w:t>四、总监理工程师</w:t>
      </w:r>
    </w:p>
    <w:p w14:paraId="0D32BFD8">
      <w:pPr>
        <w:adjustRightInd w:val="0"/>
        <w:snapToGrid w:val="0"/>
        <w:spacing w:line="360" w:lineRule="auto"/>
        <w:ind w:firstLine="475" w:firstLineChars="198"/>
        <w:rPr>
          <w:rFonts w:ascii="宋体" w:hAnsi="宋体" w:eastAsia="宋体" w:cs="宋体"/>
          <w:kern w:val="0"/>
          <w:sz w:val="24"/>
        </w:rPr>
      </w:pPr>
      <w:r>
        <w:rPr>
          <w:rFonts w:hint="eastAsia" w:ascii="宋体" w:hAnsi="宋体" w:eastAsia="宋体" w:cs="宋体"/>
          <w:kern w:val="0"/>
          <w:sz w:val="24"/>
        </w:rPr>
        <w:t>总监理工程师姓名：</w:t>
      </w:r>
      <w:r>
        <w:rPr>
          <w:rFonts w:hint="eastAsia" w:ascii="宋体" w:hAnsi="宋体" w:eastAsia="宋体" w:cs="宋体"/>
          <w:kern w:val="0"/>
          <w:sz w:val="24"/>
          <w:u w:val="single"/>
        </w:rPr>
        <w:t xml:space="preserve">          </w:t>
      </w:r>
      <w:r>
        <w:rPr>
          <w:rFonts w:hint="eastAsia" w:ascii="宋体" w:hAnsi="宋体" w:eastAsia="宋体" w:cs="宋体"/>
          <w:kern w:val="0"/>
          <w:sz w:val="24"/>
        </w:rPr>
        <w:t>，身份证号码：</w:t>
      </w:r>
      <w:r>
        <w:rPr>
          <w:rFonts w:hint="eastAsia" w:ascii="宋体" w:hAnsi="宋体" w:eastAsia="宋体" w:cs="宋体"/>
          <w:kern w:val="0"/>
          <w:sz w:val="24"/>
          <w:u w:val="single"/>
        </w:rPr>
        <w:t xml:space="preserve">             </w:t>
      </w:r>
      <w:r>
        <w:rPr>
          <w:rFonts w:hint="eastAsia" w:ascii="宋体" w:hAnsi="宋体" w:eastAsia="宋体" w:cs="宋体"/>
          <w:kern w:val="0"/>
          <w:sz w:val="24"/>
        </w:rPr>
        <w:t>，注册号：</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73F8C6C">
      <w:pPr>
        <w:spacing w:line="360" w:lineRule="auto"/>
        <w:ind w:firstLine="420" w:firstLineChars="200"/>
        <w:rPr>
          <w:rFonts w:ascii="宋体" w:hAnsi="宋体" w:eastAsia="宋体" w:cs="宋体"/>
        </w:rPr>
      </w:pPr>
      <w:r>
        <w:rPr>
          <w:rFonts w:hint="eastAsia" w:ascii="宋体" w:hAnsi="宋体" w:eastAsia="宋体" w:cs="宋体"/>
        </w:rPr>
        <w:t>五、签约酬金</w:t>
      </w:r>
    </w:p>
    <w:p w14:paraId="6CB7DE9D">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签约酬金（大写）：</w:t>
      </w:r>
      <w:r>
        <w:rPr>
          <w:rFonts w:hint="eastAsia" w:ascii="宋体" w:hAnsi="宋体" w:eastAsia="宋体" w:cs="宋体"/>
          <w:sz w:val="24"/>
          <w:u w:val="single"/>
        </w:rPr>
        <w:t xml:space="preserve">                         </w:t>
      </w:r>
      <w:r>
        <w:rPr>
          <w:rFonts w:hint="eastAsia" w:ascii="宋体" w:hAnsi="宋体" w:eastAsia="宋体" w:cs="宋体"/>
          <w:sz w:val="24"/>
        </w:rPr>
        <w:t>（¥          ）。</w:t>
      </w:r>
    </w:p>
    <w:p w14:paraId="39FE57AC">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包括：</w:t>
      </w:r>
    </w:p>
    <w:p w14:paraId="114B1A67">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 监理酬金：</w:t>
      </w:r>
      <w:r>
        <w:rPr>
          <w:rFonts w:hint="eastAsia" w:ascii="宋体" w:hAnsi="宋体" w:eastAsia="宋体" w:cs="宋体"/>
          <w:sz w:val="24"/>
          <w:u w:val="single"/>
        </w:rPr>
        <w:t xml:space="preserve">                               </w:t>
      </w:r>
      <w:r>
        <w:rPr>
          <w:rFonts w:hint="eastAsia" w:ascii="宋体" w:hAnsi="宋体" w:eastAsia="宋体" w:cs="宋体"/>
          <w:sz w:val="24"/>
        </w:rPr>
        <w:t>。</w:t>
      </w:r>
    </w:p>
    <w:p w14:paraId="26785E1C">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2. 相关服务酬金：</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AC480F5">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其中：</w:t>
      </w:r>
    </w:p>
    <w:p w14:paraId="7373D363">
      <w:pPr>
        <w:adjustRightInd w:val="0"/>
        <w:snapToGrid w:val="0"/>
        <w:spacing w:line="360" w:lineRule="auto"/>
        <w:ind w:firstLine="960" w:firstLineChars="400"/>
        <w:rPr>
          <w:rFonts w:ascii="宋体" w:hAnsi="宋体" w:eastAsia="宋体" w:cs="宋体"/>
          <w:sz w:val="24"/>
        </w:rPr>
      </w:pPr>
      <w:r>
        <w:rPr>
          <w:rFonts w:hint="eastAsia" w:ascii="宋体" w:hAnsi="宋体" w:eastAsia="宋体" w:cs="宋体"/>
          <w:kern w:val="0"/>
          <w:sz w:val="24"/>
        </w:rPr>
        <w:t>（1）勘察阶段服务</w:t>
      </w:r>
      <w:r>
        <w:rPr>
          <w:rFonts w:hint="eastAsia" w:ascii="宋体" w:hAnsi="宋体" w:eastAsia="宋体" w:cs="宋体"/>
          <w:sz w:val="24"/>
        </w:rPr>
        <w:t>酬金：</w:t>
      </w:r>
      <w:r>
        <w:rPr>
          <w:rFonts w:hint="eastAsia" w:ascii="宋体" w:hAnsi="宋体" w:eastAsia="宋体" w:cs="宋体"/>
          <w:sz w:val="24"/>
          <w:u w:val="single"/>
        </w:rPr>
        <w:t xml:space="preserve">                              </w:t>
      </w:r>
      <w:r>
        <w:rPr>
          <w:rFonts w:hint="eastAsia" w:ascii="宋体" w:hAnsi="宋体" w:eastAsia="宋体" w:cs="宋体"/>
          <w:sz w:val="24"/>
        </w:rPr>
        <w:t>。</w:t>
      </w:r>
    </w:p>
    <w:p w14:paraId="752357EB">
      <w:pPr>
        <w:adjustRightInd w:val="0"/>
        <w:snapToGrid w:val="0"/>
        <w:spacing w:line="360" w:lineRule="auto"/>
        <w:ind w:firstLine="960" w:firstLineChars="400"/>
        <w:rPr>
          <w:rFonts w:ascii="宋体" w:hAnsi="宋体" w:eastAsia="宋体" w:cs="宋体"/>
          <w:sz w:val="24"/>
        </w:rPr>
      </w:pPr>
      <w:r>
        <w:rPr>
          <w:rFonts w:hint="eastAsia" w:ascii="宋体" w:hAnsi="宋体" w:eastAsia="宋体" w:cs="宋体"/>
          <w:kern w:val="0"/>
          <w:sz w:val="24"/>
        </w:rPr>
        <w:t>（2）设计阶段服务</w:t>
      </w:r>
      <w:r>
        <w:rPr>
          <w:rFonts w:hint="eastAsia" w:ascii="宋体" w:hAnsi="宋体" w:eastAsia="宋体" w:cs="宋体"/>
          <w:sz w:val="24"/>
        </w:rPr>
        <w:t>酬金：</w:t>
      </w:r>
      <w:r>
        <w:rPr>
          <w:rFonts w:hint="eastAsia" w:ascii="宋体" w:hAnsi="宋体" w:eastAsia="宋体" w:cs="宋体"/>
          <w:sz w:val="24"/>
          <w:u w:val="single"/>
        </w:rPr>
        <w:t xml:space="preserve">                              </w:t>
      </w:r>
      <w:r>
        <w:rPr>
          <w:rFonts w:hint="eastAsia" w:ascii="宋体" w:hAnsi="宋体" w:eastAsia="宋体" w:cs="宋体"/>
          <w:sz w:val="24"/>
        </w:rPr>
        <w:t>。</w:t>
      </w:r>
    </w:p>
    <w:p w14:paraId="0931E259">
      <w:pPr>
        <w:adjustRightInd w:val="0"/>
        <w:snapToGrid w:val="0"/>
        <w:spacing w:line="360" w:lineRule="auto"/>
        <w:ind w:firstLine="960" w:firstLineChars="400"/>
        <w:rPr>
          <w:rFonts w:ascii="宋体" w:hAnsi="宋体" w:eastAsia="宋体" w:cs="宋体"/>
          <w:sz w:val="24"/>
        </w:rPr>
      </w:pPr>
      <w:r>
        <w:rPr>
          <w:rFonts w:hint="eastAsia" w:ascii="宋体" w:hAnsi="宋体" w:eastAsia="宋体" w:cs="宋体"/>
          <w:kern w:val="0"/>
          <w:sz w:val="24"/>
        </w:rPr>
        <w:t>（3）保修阶段服务</w:t>
      </w:r>
      <w:r>
        <w:rPr>
          <w:rFonts w:hint="eastAsia" w:ascii="宋体" w:hAnsi="宋体" w:eastAsia="宋体" w:cs="宋体"/>
          <w:sz w:val="24"/>
        </w:rPr>
        <w:t>酬金：</w:t>
      </w:r>
      <w:r>
        <w:rPr>
          <w:rFonts w:hint="eastAsia" w:ascii="宋体" w:hAnsi="宋体" w:eastAsia="宋体" w:cs="宋体"/>
          <w:sz w:val="24"/>
          <w:u w:val="single"/>
        </w:rPr>
        <w:t xml:space="preserve">                              </w:t>
      </w:r>
      <w:r>
        <w:rPr>
          <w:rFonts w:hint="eastAsia" w:ascii="宋体" w:hAnsi="宋体" w:eastAsia="宋体" w:cs="宋体"/>
          <w:sz w:val="24"/>
        </w:rPr>
        <w:t>。</w:t>
      </w:r>
    </w:p>
    <w:p w14:paraId="47A9EE0F">
      <w:pPr>
        <w:adjustRightInd w:val="0"/>
        <w:snapToGrid w:val="0"/>
        <w:spacing w:line="360" w:lineRule="auto"/>
        <w:ind w:firstLine="960" w:firstLineChars="400"/>
        <w:rPr>
          <w:rFonts w:ascii="宋体" w:hAnsi="宋体" w:eastAsia="宋体" w:cs="宋体"/>
          <w:sz w:val="24"/>
        </w:rPr>
      </w:pPr>
      <w:r>
        <w:rPr>
          <w:rFonts w:hint="eastAsia" w:ascii="宋体" w:hAnsi="宋体" w:eastAsia="宋体" w:cs="宋体"/>
          <w:kern w:val="0"/>
          <w:sz w:val="24"/>
        </w:rPr>
        <w:t>（4）</w:t>
      </w:r>
      <w:r>
        <w:rPr>
          <w:rFonts w:hint="eastAsia" w:ascii="宋体" w:hAnsi="宋体" w:eastAsia="宋体" w:cs="宋体"/>
          <w:sz w:val="24"/>
        </w:rPr>
        <w:t>其他相关服务酬金：</w:t>
      </w:r>
      <w:r>
        <w:rPr>
          <w:rFonts w:hint="eastAsia" w:ascii="宋体" w:hAnsi="宋体" w:eastAsia="宋体" w:cs="宋体"/>
          <w:sz w:val="24"/>
          <w:u w:val="single"/>
        </w:rPr>
        <w:t xml:space="preserve">                              </w:t>
      </w:r>
      <w:r>
        <w:rPr>
          <w:rFonts w:hint="eastAsia" w:ascii="宋体" w:hAnsi="宋体" w:eastAsia="宋体" w:cs="宋体"/>
          <w:sz w:val="24"/>
        </w:rPr>
        <w:t>。</w:t>
      </w:r>
    </w:p>
    <w:p w14:paraId="18520382">
      <w:pPr>
        <w:spacing w:line="360" w:lineRule="auto"/>
        <w:ind w:firstLine="420" w:firstLineChars="200"/>
        <w:rPr>
          <w:rFonts w:ascii="宋体" w:hAnsi="宋体" w:eastAsia="宋体" w:cs="宋体"/>
        </w:rPr>
      </w:pPr>
      <w:r>
        <w:rPr>
          <w:rFonts w:hint="eastAsia" w:ascii="宋体" w:hAnsi="宋体" w:eastAsia="宋体" w:cs="宋体"/>
        </w:rPr>
        <w:t>六、期限</w:t>
      </w:r>
    </w:p>
    <w:p w14:paraId="496FBEC8">
      <w:pPr>
        <w:adjustRightInd w:val="0"/>
        <w:snapToGrid w:val="0"/>
        <w:spacing w:line="360" w:lineRule="auto"/>
        <w:ind w:firstLine="600" w:firstLineChars="250"/>
        <w:jc w:val="left"/>
        <w:rPr>
          <w:rFonts w:ascii="宋体" w:hAnsi="宋体" w:eastAsia="宋体" w:cs="宋体"/>
          <w:sz w:val="24"/>
        </w:rPr>
      </w:pPr>
      <w:r>
        <w:rPr>
          <w:rFonts w:hint="eastAsia" w:ascii="宋体" w:hAnsi="宋体" w:eastAsia="宋体" w:cs="宋体"/>
          <w:kern w:val="0"/>
          <w:sz w:val="24"/>
        </w:rPr>
        <w:t xml:space="preserve">1. </w:t>
      </w:r>
      <w:r>
        <w:rPr>
          <w:rFonts w:hint="eastAsia" w:ascii="宋体" w:hAnsi="宋体" w:eastAsia="宋体" w:cs="宋体"/>
          <w:sz w:val="24"/>
        </w:rPr>
        <w:t>监理期限：</w:t>
      </w:r>
    </w:p>
    <w:p w14:paraId="78BE502B">
      <w:pPr>
        <w:adjustRightInd w:val="0"/>
        <w:snapToGrid w:val="0"/>
        <w:spacing w:line="360" w:lineRule="auto"/>
        <w:ind w:firstLine="600" w:firstLineChars="250"/>
        <w:jc w:val="left"/>
        <w:rPr>
          <w:rFonts w:ascii="宋体" w:hAnsi="宋体" w:eastAsia="宋体" w:cs="宋体"/>
          <w:sz w:val="24"/>
        </w:rPr>
      </w:pPr>
      <w:r>
        <w:rPr>
          <w:rFonts w:hint="eastAsia" w:ascii="宋体" w:hAnsi="宋体" w:eastAsia="宋体" w:cs="宋体"/>
          <w:sz w:val="24"/>
        </w:rPr>
        <w:t>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日始，至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日止。</w:t>
      </w:r>
    </w:p>
    <w:p w14:paraId="5A62C724">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kern w:val="0"/>
          <w:sz w:val="24"/>
        </w:rPr>
        <w:t xml:space="preserve">2. </w:t>
      </w:r>
      <w:r>
        <w:rPr>
          <w:rFonts w:hint="eastAsia" w:ascii="宋体" w:hAnsi="宋体" w:eastAsia="宋体" w:cs="宋体"/>
          <w:sz w:val="24"/>
        </w:rPr>
        <w:t>相关服务期限：</w:t>
      </w:r>
    </w:p>
    <w:p w14:paraId="5B58ECBB">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kern w:val="0"/>
          <w:sz w:val="24"/>
        </w:rPr>
        <w:t>（1）勘察阶段</w:t>
      </w:r>
      <w:r>
        <w:rPr>
          <w:rFonts w:hint="eastAsia" w:ascii="宋体" w:hAnsi="宋体" w:eastAsia="宋体" w:cs="宋体"/>
          <w:sz w:val="24"/>
        </w:rPr>
        <w:t>服务期限自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日始，至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日止。</w:t>
      </w:r>
    </w:p>
    <w:p w14:paraId="5EE5A0DD">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kern w:val="0"/>
          <w:sz w:val="24"/>
        </w:rPr>
        <w:t>（2）设计阶段</w:t>
      </w:r>
      <w:r>
        <w:rPr>
          <w:rFonts w:hint="eastAsia" w:ascii="宋体" w:hAnsi="宋体" w:eastAsia="宋体" w:cs="宋体"/>
          <w:sz w:val="24"/>
        </w:rPr>
        <w:t>服务期限自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日始，至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日止。</w:t>
      </w:r>
    </w:p>
    <w:p w14:paraId="2872CD61">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kern w:val="0"/>
          <w:sz w:val="24"/>
        </w:rPr>
        <w:t>（3）保修阶段</w:t>
      </w:r>
      <w:r>
        <w:rPr>
          <w:rFonts w:hint="eastAsia" w:ascii="宋体" w:hAnsi="宋体" w:eastAsia="宋体" w:cs="宋体"/>
          <w:sz w:val="24"/>
        </w:rPr>
        <w:t>服务期限自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日始，至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日止。</w:t>
      </w:r>
    </w:p>
    <w:p w14:paraId="056E0346">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kern w:val="0"/>
          <w:sz w:val="24"/>
        </w:rPr>
        <w:t>（4）</w:t>
      </w:r>
      <w:r>
        <w:rPr>
          <w:rFonts w:hint="eastAsia" w:ascii="宋体" w:hAnsi="宋体" w:eastAsia="宋体" w:cs="宋体"/>
          <w:sz w:val="24"/>
        </w:rPr>
        <w:t>其他相关服务期限自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日始，至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日止。</w:t>
      </w:r>
    </w:p>
    <w:p w14:paraId="09D6D0E8">
      <w:pPr>
        <w:spacing w:line="360" w:lineRule="auto"/>
        <w:ind w:firstLine="420" w:firstLineChars="200"/>
        <w:rPr>
          <w:rFonts w:ascii="宋体" w:hAnsi="宋体" w:eastAsia="宋体" w:cs="宋体"/>
        </w:rPr>
      </w:pPr>
      <w:r>
        <w:rPr>
          <w:rFonts w:hint="eastAsia" w:ascii="宋体" w:hAnsi="宋体" w:eastAsia="宋体" w:cs="宋体"/>
        </w:rPr>
        <w:t>七、双方承诺</w:t>
      </w:r>
    </w:p>
    <w:p w14:paraId="6D8F987F">
      <w:pPr>
        <w:adjustRightInd w:val="0"/>
        <w:snapToGrid w:val="0"/>
        <w:spacing w:line="360" w:lineRule="auto"/>
        <w:ind w:firstLine="600" w:firstLineChars="250"/>
        <w:rPr>
          <w:rFonts w:ascii="宋体" w:hAnsi="宋体" w:eastAsia="宋体" w:cs="宋体"/>
          <w:kern w:val="0"/>
          <w:sz w:val="24"/>
        </w:rPr>
      </w:pPr>
      <w:r>
        <w:rPr>
          <w:rFonts w:hint="eastAsia" w:ascii="宋体" w:hAnsi="宋体" w:eastAsia="宋体" w:cs="宋体"/>
          <w:kern w:val="0"/>
          <w:sz w:val="24"/>
        </w:rPr>
        <w:t>1. 监理人向委托人承诺，按照本合同约定提供监理与相关服务。</w:t>
      </w:r>
    </w:p>
    <w:p w14:paraId="63E8AF21">
      <w:pPr>
        <w:adjustRightInd w:val="0"/>
        <w:snapToGrid w:val="0"/>
        <w:spacing w:line="360" w:lineRule="auto"/>
        <w:ind w:firstLine="600" w:firstLineChars="250"/>
        <w:rPr>
          <w:rFonts w:ascii="宋体" w:hAnsi="宋体" w:eastAsia="宋体" w:cs="宋体"/>
          <w:kern w:val="0"/>
          <w:sz w:val="24"/>
        </w:rPr>
      </w:pPr>
      <w:r>
        <w:rPr>
          <w:rFonts w:hint="eastAsia" w:ascii="宋体" w:hAnsi="宋体" w:eastAsia="宋体" w:cs="宋体"/>
          <w:kern w:val="0"/>
          <w:sz w:val="24"/>
        </w:rPr>
        <w:t>2. 委托人向监理人承诺，按照本合同约定派遣相应的人员，提供房屋、资料、设备，并按本合同约定支付酬金。</w:t>
      </w:r>
    </w:p>
    <w:p w14:paraId="12CA1E59">
      <w:pPr>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八、合同订立</w:t>
      </w:r>
    </w:p>
    <w:p w14:paraId="78C2AD52">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1. 订立时间：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E77A76D">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2. 订立地点：</w:t>
      </w:r>
      <w:r>
        <w:rPr>
          <w:rFonts w:hint="eastAsia" w:ascii="宋体" w:hAnsi="宋体" w:eastAsia="宋体" w:cs="宋体"/>
          <w:sz w:val="24"/>
          <w:u w:val="single"/>
        </w:rPr>
        <w:t xml:space="preserve">                                        </w:t>
      </w:r>
      <w:r>
        <w:rPr>
          <w:rFonts w:hint="eastAsia" w:ascii="宋体" w:hAnsi="宋体" w:eastAsia="宋体" w:cs="宋体"/>
          <w:sz w:val="24"/>
        </w:rPr>
        <w:t>。</w:t>
      </w:r>
    </w:p>
    <w:p w14:paraId="371EE79A">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3. 本合同一式</w:t>
      </w:r>
      <w:r>
        <w:rPr>
          <w:rFonts w:hint="eastAsia" w:ascii="宋体" w:hAnsi="宋体" w:eastAsia="宋体" w:cs="宋体"/>
          <w:sz w:val="24"/>
          <w:u w:val="single"/>
        </w:rPr>
        <w:t xml:space="preserve">    </w:t>
      </w:r>
      <w:r>
        <w:rPr>
          <w:rFonts w:hint="eastAsia" w:ascii="宋体" w:hAnsi="宋体" w:eastAsia="宋体" w:cs="宋体"/>
          <w:sz w:val="24"/>
        </w:rPr>
        <w:t>份，具有同等法律效力，双方各执</w:t>
      </w:r>
      <w:r>
        <w:rPr>
          <w:rFonts w:hint="eastAsia" w:ascii="宋体" w:hAnsi="宋体" w:eastAsia="宋体" w:cs="宋体"/>
          <w:sz w:val="24"/>
          <w:u w:val="single"/>
        </w:rPr>
        <w:t xml:space="preserve">    </w:t>
      </w:r>
      <w:r>
        <w:rPr>
          <w:rFonts w:hint="eastAsia" w:ascii="宋体" w:hAnsi="宋体" w:eastAsia="宋体" w:cs="宋体"/>
          <w:sz w:val="24"/>
        </w:rPr>
        <w:t>份。</w:t>
      </w:r>
    </w:p>
    <w:p w14:paraId="4C4937C1">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委托人：</w:t>
      </w:r>
      <w:r>
        <w:rPr>
          <w:rFonts w:hint="eastAsia" w:ascii="宋体" w:hAnsi="宋体" w:eastAsia="宋体" w:cs="宋体"/>
          <w:sz w:val="24"/>
          <w:u w:val="single"/>
        </w:rPr>
        <w:t xml:space="preserve">     （盖章）    </w:t>
      </w:r>
      <w:r>
        <w:rPr>
          <w:rFonts w:hint="eastAsia" w:ascii="宋体" w:hAnsi="宋体" w:eastAsia="宋体" w:cs="宋体"/>
          <w:sz w:val="24"/>
        </w:rPr>
        <w:t xml:space="preserve">      监理人：</w:t>
      </w:r>
      <w:r>
        <w:rPr>
          <w:rFonts w:hint="eastAsia" w:ascii="宋体" w:hAnsi="宋体" w:eastAsia="宋体" w:cs="宋体"/>
          <w:sz w:val="24"/>
          <w:u w:val="single"/>
        </w:rPr>
        <w:t xml:space="preserve">     （盖章）    </w:t>
      </w:r>
    </w:p>
    <w:p w14:paraId="20065CEB">
      <w:pPr>
        <w:adjustRightInd w:val="0"/>
        <w:snapToGrid w:val="0"/>
        <w:spacing w:line="360" w:lineRule="auto"/>
        <w:ind w:firstLine="475" w:firstLineChars="198"/>
        <w:rPr>
          <w:rFonts w:ascii="宋体" w:hAnsi="宋体" w:eastAsia="宋体" w:cs="宋体"/>
          <w:sz w:val="24"/>
          <w:u w:val="single"/>
        </w:rPr>
      </w:pPr>
      <w:r>
        <w:rPr>
          <w:rFonts w:hint="eastAsia" w:ascii="宋体" w:hAnsi="宋体" w:eastAsia="宋体" w:cs="宋体"/>
          <w:sz w:val="24"/>
        </w:rPr>
        <w:t>住所：</w:t>
      </w:r>
      <w:r>
        <w:rPr>
          <w:rFonts w:hint="eastAsia" w:ascii="宋体" w:hAnsi="宋体" w:eastAsia="宋体" w:cs="宋体"/>
          <w:sz w:val="24"/>
          <w:u w:val="single"/>
        </w:rPr>
        <w:t xml:space="preserve">                   </w:t>
      </w:r>
      <w:r>
        <w:rPr>
          <w:rFonts w:hint="eastAsia" w:ascii="宋体" w:hAnsi="宋体" w:eastAsia="宋体" w:cs="宋体"/>
          <w:sz w:val="24"/>
        </w:rPr>
        <w:t xml:space="preserve">        住所：</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66F7A7B">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邮政编码：</w:t>
      </w:r>
      <w:r>
        <w:rPr>
          <w:rFonts w:hint="eastAsia" w:ascii="宋体" w:hAnsi="宋体" w:eastAsia="宋体" w:cs="宋体"/>
          <w:sz w:val="24"/>
          <w:u w:val="single"/>
        </w:rPr>
        <w:t xml:space="preserve">                </w:t>
      </w:r>
    </w:p>
    <w:p w14:paraId="7B01884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法定代表人或其授权            法定代表人或其授权</w:t>
      </w:r>
    </w:p>
    <w:p w14:paraId="675A44FD">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的代理人：</w:t>
      </w:r>
      <w:r>
        <w:rPr>
          <w:rFonts w:hint="eastAsia" w:ascii="宋体" w:hAnsi="宋体" w:eastAsia="宋体" w:cs="宋体"/>
          <w:sz w:val="24"/>
          <w:u w:val="single"/>
        </w:rPr>
        <w:t xml:space="preserve">    （签字）   </w:t>
      </w:r>
      <w:r>
        <w:rPr>
          <w:rFonts w:hint="eastAsia" w:ascii="宋体" w:hAnsi="宋体" w:eastAsia="宋体" w:cs="宋体"/>
          <w:sz w:val="24"/>
        </w:rPr>
        <w:t xml:space="preserve">     的代理人：</w:t>
      </w:r>
      <w:r>
        <w:rPr>
          <w:rFonts w:hint="eastAsia" w:ascii="宋体" w:hAnsi="宋体" w:eastAsia="宋体" w:cs="宋体"/>
          <w:sz w:val="24"/>
          <w:u w:val="single"/>
        </w:rPr>
        <w:t xml:space="preserve">     （签字）    </w:t>
      </w:r>
    </w:p>
    <w:p w14:paraId="6BAE6B21">
      <w:pPr>
        <w:adjustRightInd w:val="0"/>
        <w:snapToGrid w:val="0"/>
        <w:spacing w:line="360" w:lineRule="auto"/>
        <w:ind w:firstLine="475" w:firstLineChars="198"/>
        <w:rPr>
          <w:rFonts w:ascii="宋体" w:hAnsi="宋体" w:eastAsia="宋体" w:cs="宋体"/>
          <w:sz w:val="24"/>
          <w:u w:val="single"/>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开户银行：</w:t>
      </w:r>
      <w:r>
        <w:rPr>
          <w:rFonts w:hint="eastAsia" w:ascii="宋体" w:hAnsi="宋体" w:eastAsia="宋体" w:cs="宋体"/>
          <w:sz w:val="24"/>
          <w:u w:val="single"/>
        </w:rPr>
        <w:t xml:space="preserve">                 </w:t>
      </w:r>
    </w:p>
    <w:p w14:paraId="1AD36F63">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账号：</w:t>
      </w:r>
      <w:r>
        <w:rPr>
          <w:rFonts w:hint="eastAsia" w:ascii="宋体" w:hAnsi="宋体" w:eastAsia="宋体" w:cs="宋体"/>
          <w:sz w:val="24"/>
          <w:u w:val="single"/>
        </w:rPr>
        <w:t xml:space="preserve">                   </w:t>
      </w:r>
      <w:r>
        <w:rPr>
          <w:rFonts w:hint="eastAsia" w:ascii="宋体" w:hAnsi="宋体" w:eastAsia="宋体" w:cs="宋体"/>
          <w:sz w:val="24"/>
        </w:rPr>
        <w:t xml:space="preserve">       账号：</w:t>
      </w:r>
      <w:r>
        <w:rPr>
          <w:rFonts w:hint="eastAsia" w:ascii="宋体" w:hAnsi="宋体" w:eastAsia="宋体" w:cs="宋体"/>
          <w:sz w:val="24"/>
          <w:u w:val="single"/>
        </w:rPr>
        <w:t xml:space="preserve">                   </w:t>
      </w:r>
    </w:p>
    <w:p w14:paraId="1D22BC78">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6FD073DF">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2DC31363">
      <w:pPr>
        <w:adjustRightInd w:val="0"/>
        <w:snapToGrid w:val="0"/>
        <w:spacing w:line="360" w:lineRule="auto"/>
        <w:ind w:firstLine="475" w:firstLineChars="198"/>
        <w:rPr>
          <w:rFonts w:ascii="宋体" w:hAnsi="宋体" w:eastAsia="宋体" w:cs="宋体"/>
          <w:b/>
          <w:bCs/>
          <w:sz w:val="30"/>
          <w:szCs w:val="32"/>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046C846D">
      <w:pPr>
        <w:pStyle w:val="3"/>
        <w:jc w:val="center"/>
        <w:rPr>
          <w:rFonts w:ascii="宋体" w:hAnsi="宋体" w:eastAsia="宋体" w:cs="宋体"/>
        </w:rPr>
      </w:pPr>
      <w:bookmarkStart w:id="124" w:name="_Toc118466629"/>
      <w:r>
        <w:rPr>
          <w:rFonts w:hint="eastAsia" w:ascii="宋体" w:hAnsi="宋体" w:eastAsia="宋体" w:cs="宋体"/>
        </w:rPr>
        <w:t>第二部分 通用条件</w:t>
      </w:r>
      <w:bookmarkEnd w:id="124"/>
    </w:p>
    <w:p w14:paraId="633B7C9E">
      <w:pPr>
        <w:spacing w:line="360" w:lineRule="auto"/>
        <w:rPr>
          <w:rFonts w:ascii="宋体" w:hAnsi="宋体" w:eastAsia="宋体" w:cs="宋体"/>
          <w:b/>
          <w:sz w:val="24"/>
        </w:rPr>
      </w:pPr>
      <w:r>
        <w:rPr>
          <w:rFonts w:hint="eastAsia" w:ascii="宋体" w:hAnsi="宋体" w:eastAsia="宋体" w:cs="宋体"/>
          <w:b/>
          <w:sz w:val="24"/>
        </w:rPr>
        <w:t>1. 定义与解释</w:t>
      </w:r>
    </w:p>
    <w:p w14:paraId="0C54576B">
      <w:pPr>
        <w:spacing w:line="360" w:lineRule="auto"/>
        <w:ind w:left="210" w:leftChars="100"/>
        <w:rPr>
          <w:rFonts w:ascii="宋体" w:hAnsi="宋体" w:eastAsia="宋体" w:cs="宋体"/>
          <w:bCs/>
          <w:sz w:val="24"/>
        </w:rPr>
      </w:pPr>
      <w:r>
        <w:rPr>
          <w:rFonts w:hint="eastAsia" w:ascii="宋体" w:hAnsi="宋体" w:eastAsia="宋体" w:cs="宋体"/>
          <w:sz w:val="24"/>
        </w:rPr>
        <w:t xml:space="preserve">1.1 </w:t>
      </w:r>
      <w:r>
        <w:rPr>
          <w:rFonts w:hint="eastAsia" w:ascii="宋体" w:hAnsi="宋体" w:eastAsia="宋体" w:cs="宋体"/>
          <w:bCs/>
          <w:sz w:val="24"/>
        </w:rPr>
        <w:t>定义</w:t>
      </w:r>
    </w:p>
    <w:p w14:paraId="5F3B9B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除根据上下文另有其意义外，组成本合同的全部文件中的下列名词和用语应具有本款所赋予的含义：</w:t>
      </w:r>
    </w:p>
    <w:p w14:paraId="05AFDD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 “工程”是指按照本合同约定实施监理与相关服务的建设工程。</w:t>
      </w:r>
    </w:p>
    <w:p w14:paraId="5C33215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1.1.2 “委托人”是指本合同中委托监理与相关服务的一方，及其合法的继承人或受让人。</w:t>
      </w:r>
    </w:p>
    <w:p w14:paraId="69286D7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“监理人”是指本合同中提供监理与相关服务的一方，及其合法的继承人。</w:t>
      </w:r>
    </w:p>
    <w:p w14:paraId="388BDC2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1.1.4 “承包人”是指在工程范围内与委托人签订勘察、设计、施工等有关合同的当事人，及其合法的继承人。</w:t>
      </w:r>
    </w:p>
    <w:p w14:paraId="7D13EA3C">
      <w:pPr>
        <w:pStyle w:val="18"/>
        <w:spacing w:line="360" w:lineRule="auto"/>
        <w:ind w:firstLine="570"/>
        <w:rPr>
          <w:rFonts w:ascii="宋体" w:hAnsi="宋体" w:eastAsia="宋体" w:cs="宋体"/>
        </w:rPr>
      </w:pPr>
      <w:r>
        <w:rPr>
          <w:rFonts w:hint="eastAsia" w:ascii="宋体" w:hAnsi="宋体" w:eastAsia="宋体" w:cs="宋体"/>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8685A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1.1.6 “相关服务”是指监理人受委托人的委托，按照本合同约定，在勘察、设计、保修等阶段提供的服务活动。</w:t>
      </w:r>
    </w:p>
    <w:p w14:paraId="21D6F19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1.1.7 “正常工作”指本合同订立时通用条件和专用条件中约定的监理人的工作。</w:t>
      </w:r>
    </w:p>
    <w:p w14:paraId="5E6F22E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1.1.8 “附加工作”是指本合同约定的正常工作以外监理人的工作。</w:t>
      </w:r>
    </w:p>
    <w:p w14:paraId="74C27CB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1.1.9 “项目监理机构”是指监理人派驻工程负责履行本合同的组织机构。</w:t>
      </w:r>
    </w:p>
    <w:p w14:paraId="3623FB7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1.1.10 “总监理工程师”是指由监理人的法定代表人书面授权，全面负责履行本合同、主持项目监理机构工作的注册监理工程师。</w:t>
      </w:r>
    </w:p>
    <w:p w14:paraId="21BC7908">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1.1.11 “酬金”是指监理人履行本合同义务，委托人按照本合同约定给付监理人的金额。</w:t>
      </w:r>
    </w:p>
    <w:p w14:paraId="0BA1D43D">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1.1.12 “正常工作</w:t>
      </w:r>
      <w:r>
        <w:rPr>
          <w:rFonts w:hint="eastAsia" w:ascii="宋体" w:hAnsi="宋体" w:eastAsia="宋体" w:cs="宋体"/>
          <w:kern w:val="0"/>
          <w:sz w:val="24"/>
        </w:rPr>
        <w:t>酬金”</w:t>
      </w:r>
      <w:r>
        <w:rPr>
          <w:rFonts w:hint="eastAsia" w:ascii="宋体" w:hAnsi="宋体" w:eastAsia="宋体" w:cs="宋体"/>
          <w:sz w:val="24"/>
        </w:rPr>
        <w:t>是指监理人完成正常工作，委托人应给付监理人并在协议书中载明的签约</w:t>
      </w:r>
      <w:r>
        <w:rPr>
          <w:rFonts w:hint="eastAsia" w:ascii="宋体" w:hAnsi="宋体" w:eastAsia="宋体" w:cs="宋体"/>
          <w:kern w:val="0"/>
          <w:sz w:val="24"/>
        </w:rPr>
        <w:t>酬金额</w:t>
      </w:r>
      <w:r>
        <w:rPr>
          <w:rFonts w:hint="eastAsia" w:ascii="宋体" w:hAnsi="宋体" w:eastAsia="宋体" w:cs="宋体"/>
          <w:sz w:val="24"/>
        </w:rPr>
        <w:t>。</w:t>
      </w:r>
    </w:p>
    <w:p w14:paraId="433D418A">
      <w:pPr>
        <w:adjustRightInd w:val="0"/>
        <w:snapToGrid w:val="0"/>
        <w:spacing w:line="360" w:lineRule="auto"/>
        <w:ind w:firstLine="475" w:firstLineChars="198"/>
        <w:rPr>
          <w:rFonts w:ascii="宋体" w:hAnsi="宋体" w:eastAsia="宋体" w:cs="宋体"/>
          <w:sz w:val="24"/>
        </w:rPr>
      </w:pPr>
      <w:r>
        <w:rPr>
          <w:rFonts w:hint="eastAsia" w:ascii="宋体" w:hAnsi="宋体" w:eastAsia="宋体" w:cs="宋体"/>
          <w:sz w:val="24"/>
        </w:rPr>
        <w:t>1.1.13 “附加工作酬金”是指监理人完成附加工作，委托人应给付监理人的金额。</w:t>
      </w:r>
    </w:p>
    <w:p w14:paraId="79E4525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1.1.14 “一方”是指委托人或监理人；“双方”是指委托人和监理人；“第三方”是指除委托人和监理人以外的有关方。</w:t>
      </w:r>
    </w:p>
    <w:p w14:paraId="65BC75B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1.1.15 “书面形式”是指合同书、信件和数据电文（包括电报、电传、传真、电子数据交换和电子邮件）等可以有形地表现所载内容的形式。</w:t>
      </w:r>
    </w:p>
    <w:p w14:paraId="0BD3524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1.1.16 “天”是指第一天零时至第二天零时的时间。</w:t>
      </w:r>
    </w:p>
    <w:p w14:paraId="38D8C02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1.1.17“月”是指按公历从一个月中任何一天开始的一个公历月时间。</w:t>
      </w:r>
    </w:p>
    <w:p w14:paraId="3C140A93">
      <w:pPr>
        <w:adjustRightInd w:val="0"/>
        <w:snapToGrid w:val="0"/>
        <w:spacing w:line="360" w:lineRule="auto"/>
        <w:ind w:firstLine="645"/>
        <w:rPr>
          <w:rFonts w:ascii="宋体" w:hAnsi="宋体" w:eastAsia="宋体" w:cs="宋体"/>
          <w:sz w:val="24"/>
        </w:rPr>
      </w:pPr>
      <w:r>
        <w:rPr>
          <w:rFonts w:hint="eastAsia" w:ascii="宋体" w:hAnsi="宋体" w:eastAsia="宋体" w:cs="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94FDF2D">
      <w:pPr>
        <w:adjustRightInd w:val="0"/>
        <w:snapToGrid w:val="0"/>
        <w:spacing w:line="360" w:lineRule="auto"/>
        <w:ind w:left="210" w:leftChars="100"/>
        <w:rPr>
          <w:rFonts w:ascii="宋体" w:hAnsi="宋体" w:eastAsia="宋体" w:cs="宋体"/>
          <w:sz w:val="24"/>
        </w:rPr>
      </w:pPr>
      <w:r>
        <w:rPr>
          <w:rFonts w:hint="eastAsia" w:ascii="宋体" w:hAnsi="宋体" w:eastAsia="宋体" w:cs="宋体"/>
          <w:bCs/>
          <w:sz w:val="24"/>
        </w:rPr>
        <w:t xml:space="preserve">1.2 </w:t>
      </w:r>
      <w:r>
        <w:rPr>
          <w:rFonts w:hint="eastAsia" w:ascii="宋体" w:hAnsi="宋体" w:eastAsia="宋体" w:cs="宋体"/>
          <w:sz w:val="24"/>
        </w:rPr>
        <w:t>解释</w:t>
      </w:r>
    </w:p>
    <w:p w14:paraId="427D92A4">
      <w:pPr>
        <w:tabs>
          <w:tab w:val="left" w:pos="6140"/>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1.2.1本合同使用中文书写、解释和说明。如专用条件约定使用两种及以上语言文字时，应以中文为准。</w:t>
      </w:r>
    </w:p>
    <w:p w14:paraId="7105EBC8">
      <w:pPr>
        <w:tabs>
          <w:tab w:val="left" w:pos="6140"/>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1.2.2 组成本合同的下列文件彼此应能相互解释、互为说明。除专用条件另有约定外，本合同文件的解释顺序如下：</w:t>
      </w:r>
    </w:p>
    <w:p w14:paraId="763DD2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（1）协议书；</w:t>
      </w:r>
    </w:p>
    <w:p w14:paraId="4C136E6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（2）中标通知书（适用于招标工程）或委托书（适用于非招标工程）；</w:t>
      </w:r>
    </w:p>
    <w:p w14:paraId="466E42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（3）专用条件及附录A、附录B；</w:t>
      </w:r>
    </w:p>
    <w:p w14:paraId="078EA64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（4）通用条件；</w:t>
      </w:r>
    </w:p>
    <w:p w14:paraId="6D7D8F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（5）投标文件（适用于招标工程）或监理与相关服务建议书（适用于非招标工程）。</w:t>
      </w:r>
    </w:p>
    <w:p w14:paraId="5C6862AA">
      <w:pPr>
        <w:spacing w:line="360" w:lineRule="auto"/>
        <w:ind w:firstLine="480" w:firstLineChars="200"/>
        <w:rPr>
          <w:rFonts w:ascii="宋体" w:hAnsi="宋体" w:eastAsia="宋体" w:cs="宋体"/>
          <w:sz w:val="24"/>
        </w:rPr>
      </w:pPr>
      <w:r>
        <w:rPr>
          <w:rFonts w:hint="eastAsia" w:ascii="宋体" w:hAnsi="宋体" w:eastAsia="宋体" w:cs="宋体"/>
          <w:sz w:val="24"/>
        </w:rPr>
        <w:t>双方签订的补充协议与其他文件发生矛盾或歧义时，属于同一类内容的文件，应以最新签署的为准。</w:t>
      </w:r>
    </w:p>
    <w:p w14:paraId="68A12BF6">
      <w:pPr>
        <w:spacing w:line="360" w:lineRule="auto"/>
        <w:rPr>
          <w:rFonts w:ascii="宋体" w:hAnsi="宋体" w:eastAsia="宋体" w:cs="宋体"/>
          <w:b/>
          <w:sz w:val="24"/>
        </w:rPr>
      </w:pPr>
      <w:r>
        <w:rPr>
          <w:rFonts w:hint="eastAsia" w:ascii="宋体" w:hAnsi="宋体" w:eastAsia="宋体" w:cs="宋体"/>
          <w:b/>
          <w:sz w:val="24"/>
        </w:rPr>
        <w:t>2. 监理人的义务</w:t>
      </w:r>
    </w:p>
    <w:p w14:paraId="04951A6F">
      <w:pPr>
        <w:adjustRightInd w:val="0"/>
        <w:snapToGrid w:val="0"/>
        <w:spacing w:line="360" w:lineRule="auto"/>
        <w:ind w:left="210" w:leftChars="100"/>
        <w:rPr>
          <w:rFonts w:ascii="宋体" w:hAnsi="宋体" w:eastAsia="宋体" w:cs="宋体"/>
          <w:bCs/>
          <w:sz w:val="24"/>
        </w:rPr>
      </w:pPr>
      <w:r>
        <w:rPr>
          <w:rFonts w:hint="eastAsia" w:ascii="宋体" w:hAnsi="宋体" w:eastAsia="宋体" w:cs="宋体"/>
          <w:sz w:val="24"/>
        </w:rPr>
        <w:t>2.1 监理的范围和工作内容</w:t>
      </w:r>
    </w:p>
    <w:p w14:paraId="2EB0119D">
      <w:pPr>
        <w:adjustRightInd w:val="0"/>
        <w:snapToGrid w:val="0"/>
        <w:spacing w:line="360" w:lineRule="auto"/>
        <w:ind w:left="420" w:leftChars="200"/>
        <w:rPr>
          <w:rFonts w:ascii="宋体" w:hAnsi="宋体" w:eastAsia="宋体" w:cs="宋体"/>
          <w:sz w:val="24"/>
        </w:rPr>
      </w:pPr>
      <w:r>
        <w:rPr>
          <w:rFonts w:hint="eastAsia" w:ascii="宋体" w:hAnsi="宋体" w:eastAsia="宋体" w:cs="宋体"/>
          <w:sz w:val="24"/>
        </w:rPr>
        <w:t>2.1.1 监理范围在专用条件中约定。</w:t>
      </w:r>
    </w:p>
    <w:p w14:paraId="0BBF4849">
      <w:pPr>
        <w:adjustRightInd w:val="0"/>
        <w:snapToGrid w:val="0"/>
        <w:spacing w:line="360" w:lineRule="auto"/>
        <w:ind w:left="420" w:leftChars="200"/>
        <w:rPr>
          <w:rFonts w:ascii="宋体" w:hAnsi="宋体" w:eastAsia="宋体" w:cs="宋体"/>
          <w:sz w:val="24"/>
        </w:rPr>
      </w:pPr>
      <w:r>
        <w:rPr>
          <w:rFonts w:hint="eastAsia" w:ascii="宋体" w:hAnsi="宋体" w:eastAsia="宋体" w:cs="宋体"/>
          <w:sz w:val="24"/>
        </w:rPr>
        <w:t>2.1.2 除专用条件另有约定外，监理工作内容包括：</w:t>
      </w:r>
    </w:p>
    <w:p w14:paraId="371F5E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（1）收到工程设计文件后编制监理规划，并在第一次工地会议7天前报委托人。根据有关规定和监理工作需要，编制监理实施细则；</w:t>
      </w:r>
    </w:p>
    <w:p w14:paraId="45660AD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（2）熟悉工程设计文件，并参加由委托人主持的图纸会审和设计交底会议；</w:t>
      </w:r>
    </w:p>
    <w:p w14:paraId="1CC175E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（3）参加由委托人主持的第一次工地会议；主持监理例会并根据工程需要主持或参加专题会议；</w:t>
      </w:r>
    </w:p>
    <w:p w14:paraId="1D387405">
      <w:pPr>
        <w:adjustRightInd w:val="0"/>
        <w:snapToGrid w:val="0"/>
        <w:spacing w:line="360" w:lineRule="auto"/>
        <w:rPr>
          <w:rFonts w:ascii="宋体" w:hAnsi="宋体" w:eastAsia="宋体" w:cs="宋体"/>
          <w:sz w:val="24"/>
        </w:rPr>
      </w:pPr>
      <w:r>
        <w:rPr>
          <w:rFonts w:hint="eastAsia" w:ascii="宋体" w:hAnsi="宋体" w:eastAsia="宋体" w:cs="宋体"/>
          <w:sz w:val="24"/>
        </w:rPr>
        <w:t>（4）审查施工承包人提交的施工组织设计，重点审查其中的质量安全技术措施、专项施工方案与工程建设强制性标准的符合性；</w:t>
      </w:r>
    </w:p>
    <w:p w14:paraId="23C6983D">
      <w:pPr>
        <w:adjustRightInd w:val="0"/>
        <w:snapToGrid w:val="0"/>
        <w:spacing w:line="360" w:lineRule="auto"/>
        <w:ind w:firstLine="645"/>
        <w:rPr>
          <w:rFonts w:ascii="宋体" w:hAnsi="宋体" w:eastAsia="宋体" w:cs="宋体"/>
          <w:sz w:val="24"/>
        </w:rPr>
      </w:pPr>
      <w:r>
        <w:rPr>
          <w:rFonts w:hint="eastAsia" w:ascii="宋体" w:hAnsi="宋体" w:eastAsia="宋体" w:cs="宋体"/>
          <w:sz w:val="24"/>
        </w:rPr>
        <w:t>（5）检查施工承包人工程质量、安全生产管理制度及组织机构和人员资格；</w:t>
      </w:r>
    </w:p>
    <w:p w14:paraId="757C5F6C">
      <w:pPr>
        <w:adjustRightInd w:val="0"/>
        <w:snapToGrid w:val="0"/>
        <w:spacing w:line="360" w:lineRule="auto"/>
        <w:rPr>
          <w:rFonts w:ascii="宋体" w:hAnsi="宋体" w:eastAsia="宋体" w:cs="宋体"/>
          <w:sz w:val="24"/>
        </w:rPr>
      </w:pPr>
      <w:r>
        <w:rPr>
          <w:rFonts w:hint="eastAsia" w:ascii="宋体" w:hAnsi="宋体" w:eastAsia="宋体" w:cs="宋体"/>
          <w:sz w:val="24"/>
        </w:rPr>
        <w:t>（6）检查施工承包人专职安全生产管理人员的配备情况；</w:t>
      </w:r>
    </w:p>
    <w:p w14:paraId="40B62A13">
      <w:pPr>
        <w:adjustRightInd w:val="0"/>
        <w:snapToGrid w:val="0"/>
        <w:spacing w:line="360" w:lineRule="auto"/>
        <w:rPr>
          <w:rFonts w:ascii="宋体" w:hAnsi="宋体" w:eastAsia="宋体" w:cs="宋体"/>
          <w:sz w:val="24"/>
        </w:rPr>
      </w:pPr>
      <w:r>
        <w:rPr>
          <w:rFonts w:hint="eastAsia" w:ascii="宋体" w:hAnsi="宋体" w:eastAsia="宋体" w:cs="宋体"/>
          <w:sz w:val="24"/>
        </w:rPr>
        <w:t>（7）审查施工承包人提交的施工进度计划，核查承包人对施工进度计划的调整；</w:t>
      </w:r>
    </w:p>
    <w:p w14:paraId="1313AA70">
      <w:pPr>
        <w:adjustRightInd w:val="0"/>
        <w:snapToGrid w:val="0"/>
        <w:spacing w:line="360" w:lineRule="auto"/>
        <w:ind w:firstLine="645"/>
        <w:rPr>
          <w:rFonts w:ascii="宋体" w:hAnsi="宋体" w:eastAsia="宋体" w:cs="宋体"/>
          <w:sz w:val="24"/>
        </w:rPr>
      </w:pPr>
      <w:r>
        <w:rPr>
          <w:rFonts w:hint="eastAsia" w:ascii="宋体" w:hAnsi="宋体" w:eastAsia="宋体" w:cs="宋体"/>
          <w:sz w:val="24"/>
        </w:rPr>
        <w:t>（8）检查施工承包人的试验室；</w:t>
      </w:r>
    </w:p>
    <w:p w14:paraId="326D5CB0">
      <w:pPr>
        <w:adjustRightInd w:val="0"/>
        <w:snapToGrid w:val="0"/>
        <w:spacing w:line="360" w:lineRule="auto"/>
        <w:rPr>
          <w:rFonts w:ascii="宋体" w:hAnsi="宋体" w:eastAsia="宋体" w:cs="宋体"/>
          <w:sz w:val="24"/>
        </w:rPr>
      </w:pPr>
      <w:r>
        <w:rPr>
          <w:rFonts w:hint="eastAsia" w:ascii="宋体" w:hAnsi="宋体" w:eastAsia="宋体" w:cs="宋体"/>
          <w:sz w:val="24"/>
        </w:rPr>
        <w:t>（9）审核施工分包人资质条件；</w:t>
      </w:r>
    </w:p>
    <w:p w14:paraId="7B0824BA">
      <w:pPr>
        <w:rPr>
          <w:rFonts w:ascii="宋体" w:hAnsi="宋体" w:eastAsia="宋体" w:cs="宋体"/>
          <w:sz w:val="24"/>
        </w:rPr>
      </w:pPr>
      <w:r>
        <w:rPr>
          <w:rFonts w:hint="eastAsia" w:ascii="宋体" w:hAnsi="宋体" w:eastAsia="宋体" w:cs="宋体"/>
          <w:sz w:val="24"/>
        </w:rPr>
        <w:t>（10）查验施工承包人的施工测量放线成果；</w:t>
      </w:r>
    </w:p>
    <w:p w14:paraId="2635E2E3">
      <w:pPr>
        <w:adjustRightInd w:val="0"/>
        <w:snapToGrid w:val="0"/>
        <w:spacing w:line="360" w:lineRule="auto"/>
        <w:ind w:firstLine="645"/>
        <w:rPr>
          <w:rFonts w:ascii="宋体" w:hAnsi="宋体" w:eastAsia="宋体" w:cs="宋体"/>
          <w:sz w:val="24"/>
        </w:rPr>
      </w:pPr>
      <w:r>
        <w:rPr>
          <w:rFonts w:hint="eastAsia" w:ascii="宋体" w:hAnsi="宋体" w:eastAsia="宋体" w:cs="宋体"/>
          <w:sz w:val="24"/>
        </w:rPr>
        <w:t>（11）审查工程开工条件，对条件具备的签发开工令；</w:t>
      </w:r>
    </w:p>
    <w:p w14:paraId="3B405A03">
      <w:pPr>
        <w:adjustRightInd w:val="0"/>
        <w:snapToGrid w:val="0"/>
        <w:spacing w:line="360" w:lineRule="auto"/>
        <w:ind w:firstLine="645"/>
        <w:rPr>
          <w:rFonts w:ascii="宋体" w:hAnsi="宋体" w:eastAsia="宋体" w:cs="宋体"/>
          <w:sz w:val="24"/>
        </w:rPr>
      </w:pPr>
      <w:r>
        <w:rPr>
          <w:rFonts w:hint="eastAsia" w:ascii="宋体" w:hAnsi="宋体" w:eastAsia="宋体" w:cs="宋体"/>
          <w:sz w:val="24"/>
        </w:rPr>
        <w:t>（12）审查施工承包人报送的工程材料、构配件、设备质量证明文件的有效性和符合性，并按规定对用于工程的材料采取平行检验或见证取样方式进行抽检；</w:t>
      </w:r>
    </w:p>
    <w:p w14:paraId="627639EE">
      <w:pPr>
        <w:adjustRightInd w:val="0"/>
        <w:snapToGrid w:val="0"/>
        <w:spacing w:line="360" w:lineRule="auto"/>
        <w:ind w:left="-97" w:leftChars="-46"/>
        <w:rPr>
          <w:rFonts w:ascii="宋体" w:hAnsi="宋体" w:eastAsia="宋体" w:cs="宋体"/>
          <w:sz w:val="24"/>
        </w:rPr>
      </w:pPr>
      <w:r>
        <w:rPr>
          <w:rFonts w:hint="eastAsia" w:ascii="宋体" w:hAnsi="宋体" w:eastAsia="宋体" w:cs="宋体"/>
          <w:sz w:val="24"/>
        </w:rPr>
        <w:t>（13）审核施工承包人提交的工程款支付申请，签发或出具工程款支付证书，并报委托人审核、批准；</w:t>
      </w:r>
    </w:p>
    <w:p w14:paraId="3F61D5FA">
      <w:pPr>
        <w:adjustRightInd w:val="0"/>
        <w:snapToGrid w:val="0"/>
        <w:spacing w:line="360" w:lineRule="auto"/>
        <w:ind w:firstLine="645"/>
        <w:rPr>
          <w:rFonts w:ascii="宋体" w:hAnsi="宋体" w:eastAsia="宋体" w:cs="宋体"/>
          <w:sz w:val="24"/>
        </w:rPr>
      </w:pPr>
      <w:r>
        <w:rPr>
          <w:rFonts w:hint="eastAsia" w:ascii="宋体" w:hAnsi="宋体" w:eastAsia="宋体" w:cs="宋体"/>
          <w:sz w:val="24"/>
        </w:rPr>
        <w:t>（14）在巡视、旁站和检验过程中，发现工程质量、施工安全存在事故隐患的，要求施工承包人整改并报委托人；</w:t>
      </w:r>
    </w:p>
    <w:p w14:paraId="5F31C8B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（15）经委托人同意，签发工程暂停令和复工令；</w:t>
      </w:r>
    </w:p>
    <w:p w14:paraId="2CE84AEE">
      <w:pPr>
        <w:adjustRightInd w:val="0"/>
        <w:snapToGrid w:val="0"/>
        <w:spacing w:line="360" w:lineRule="auto"/>
        <w:rPr>
          <w:rFonts w:ascii="宋体" w:hAnsi="宋体" w:eastAsia="宋体" w:cs="宋体"/>
          <w:sz w:val="24"/>
        </w:rPr>
      </w:pPr>
      <w:r>
        <w:rPr>
          <w:rFonts w:hint="eastAsia" w:ascii="宋体" w:hAnsi="宋体" w:eastAsia="宋体" w:cs="宋体"/>
          <w:sz w:val="24"/>
        </w:rPr>
        <w:t>（16）审查施工承包人提交的采用新材料、新工艺、新技术、新设备的论证材料及相关验收标准；</w:t>
      </w:r>
    </w:p>
    <w:p w14:paraId="48FB3587">
      <w:pPr>
        <w:adjustRightInd w:val="0"/>
        <w:snapToGrid w:val="0"/>
        <w:spacing w:line="360" w:lineRule="auto"/>
        <w:ind w:firstLine="660"/>
        <w:rPr>
          <w:rFonts w:ascii="宋体" w:hAnsi="宋体" w:eastAsia="宋体" w:cs="宋体"/>
          <w:sz w:val="24"/>
        </w:rPr>
      </w:pPr>
      <w:r>
        <w:rPr>
          <w:rFonts w:hint="eastAsia" w:ascii="宋体" w:hAnsi="宋体" w:eastAsia="宋体" w:cs="宋体"/>
          <w:sz w:val="24"/>
        </w:rPr>
        <w:t>（17）验收隐蔽工程、分部分项工程；</w:t>
      </w:r>
    </w:p>
    <w:p w14:paraId="743C5657">
      <w:pPr>
        <w:adjustRightInd w:val="0"/>
        <w:snapToGrid w:val="0"/>
        <w:spacing w:line="360" w:lineRule="auto"/>
        <w:rPr>
          <w:rFonts w:ascii="宋体" w:hAnsi="宋体" w:eastAsia="宋体" w:cs="宋体"/>
          <w:sz w:val="24"/>
        </w:rPr>
      </w:pPr>
      <w:r>
        <w:rPr>
          <w:rFonts w:hint="eastAsia" w:ascii="宋体" w:hAnsi="宋体" w:eastAsia="宋体" w:cs="宋体"/>
          <w:sz w:val="24"/>
        </w:rPr>
        <w:t>（18）审查施工承包人提交的工程变更申请，协调处理施工进度调整、费用索赔、合同争议等事项；</w:t>
      </w:r>
    </w:p>
    <w:p w14:paraId="39543B65">
      <w:pPr>
        <w:adjustRightInd w:val="0"/>
        <w:snapToGrid w:val="0"/>
        <w:spacing w:line="360" w:lineRule="auto"/>
        <w:ind w:firstLine="645"/>
        <w:rPr>
          <w:rFonts w:ascii="宋体" w:hAnsi="宋体" w:eastAsia="宋体" w:cs="宋体"/>
          <w:sz w:val="24"/>
        </w:rPr>
      </w:pPr>
      <w:r>
        <w:rPr>
          <w:rFonts w:hint="eastAsia" w:ascii="宋体" w:hAnsi="宋体" w:eastAsia="宋体" w:cs="宋体"/>
          <w:sz w:val="24"/>
        </w:rPr>
        <w:t>（19）审查施工承包人提交的竣工验收申请，编写工程质量评估报告；</w:t>
      </w:r>
    </w:p>
    <w:p w14:paraId="51CCD4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（20）参加工程竣工验收，签署竣工验收意见；</w:t>
      </w:r>
    </w:p>
    <w:p w14:paraId="656EA9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（21）审查施工承包人提交的竣工结算申请并报委托人；</w:t>
      </w:r>
    </w:p>
    <w:p w14:paraId="1A1FA25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（22）编制、整理工程监理归档文件并报委托人。</w:t>
      </w:r>
    </w:p>
    <w:p w14:paraId="537FB8A7">
      <w:pPr>
        <w:spacing w:line="360" w:lineRule="auto"/>
        <w:ind w:left="420" w:leftChars="200" w:firstLine="120" w:firstLineChars="50"/>
        <w:rPr>
          <w:rFonts w:ascii="宋体" w:hAnsi="宋体" w:eastAsia="宋体" w:cs="宋体"/>
          <w:sz w:val="24"/>
        </w:rPr>
      </w:pPr>
      <w:r>
        <w:rPr>
          <w:rFonts w:hint="eastAsia" w:ascii="宋体" w:hAnsi="宋体" w:eastAsia="宋体" w:cs="宋体"/>
          <w:sz w:val="24"/>
        </w:rPr>
        <w:t>2.1.3 相关服务的范围和内容在附录A中约定。</w:t>
      </w:r>
    </w:p>
    <w:p w14:paraId="53616114">
      <w:pPr>
        <w:spacing w:line="360" w:lineRule="auto"/>
        <w:ind w:firstLine="240" w:firstLineChars="100"/>
        <w:rPr>
          <w:rFonts w:ascii="宋体" w:hAnsi="宋体" w:eastAsia="宋体" w:cs="宋体"/>
          <w:bCs/>
          <w:sz w:val="24"/>
        </w:rPr>
      </w:pPr>
      <w:r>
        <w:rPr>
          <w:rFonts w:hint="eastAsia" w:ascii="宋体" w:hAnsi="宋体" w:eastAsia="宋体" w:cs="宋体"/>
          <w:sz w:val="24"/>
        </w:rPr>
        <w:t xml:space="preserve">2.2 </w:t>
      </w:r>
      <w:r>
        <w:rPr>
          <w:rFonts w:hint="eastAsia" w:ascii="宋体" w:hAnsi="宋体" w:eastAsia="宋体" w:cs="宋体"/>
          <w:bCs/>
          <w:sz w:val="24"/>
        </w:rPr>
        <w:t>监理与相关服务依据</w:t>
      </w:r>
    </w:p>
    <w:p w14:paraId="0F3772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 监理依据包括：</w:t>
      </w:r>
    </w:p>
    <w:p w14:paraId="430EA463">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（1）适用的法律、行政法规及部门规章；</w:t>
      </w:r>
    </w:p>
    <w:p w14:paraId="0892FB91">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（2）与工程有关的标准；</w:t>
      </w:r>
    </w:p>
    <w:p w14:paraId="0F381A84">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（3）工程设计及有关文件；</w:t>
      </w:r>
    </w:p>
    <w:p w14:paraId="67AFA675">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（4）本合同及委托人与第三方签订的与实施工程有关的其他合同。</w:t>
      </w:r>
    </w:p>
    <w:p w14:paraId="1DE6A66D">
      <w:pPr>
        <w:spacing w:line="360" w:lineRule="auto"/>
        <w:ind w:left="210" w:leftChars="100" w:firstLine="480" w:firstLineChars="200"/>
        <w:rPr>
          <w:rFonts w:ascii="宋体" w:hAnsi="宋体" w:eastAsia="宋体" w:cs="宋体"/>
          <w:bCs/>
          <w:sz w:val="24"/>
        </w:rPr>
      </w:pPr>
      <w:r>
        <w:rPr>
          <w:rFonts w:hint="eastAsia" w:ascii="宋体" w:hAnsi="宋体" w:eastAsia="宋体" w:cs="宋体"/>
          <w:bCs/>
          <w:sz w:val="24"/>
        </w:rPr>
        <w:t>双方根据工程的行业和地域特点，在专用条件中具体约定监理依据。</w:t>
      </w:r>
    </w:p>
    <w:p w14:paraId="478DCED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2.2.2 相关服务依据在专用条件中约定。</w:t>
      </w:r>
    </w:p>
    <w:p w14:paraId="7183056D">
      <w:pPr>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2.3 项目监理机构和人员</w:t>
      </w:r>
    </w:p>
    <w:p w14:paraId="0655D3C1">
      <w:pPr>
        <w:adjustRightInd w:val="0"/>
        <w:snapToGrid w:val="0"/>
        <w:spacing w:line="360" w:lineRule="auto"/>
        <w:ind w:firstLine="645"/>
        <w:rPr>
          <w:rFonts w:ascii="宋体" w:hAnsi="宋体" w:eastAsia="宋体" w:cs="宋体"/>
          <w:kern w:val="0"/>
          <w:sz w:val="24"/>
        </w:rPr>
      </w:pPr>
      <w:r>
        <w:rPr>
          <w:rFonts w:hint="eastAsia" w:ascii="宋体" w:hAnsi="宋体" w:eastAsia="宋体" w:cs="宋体"/>
          <w:kern w:val="0"/>
          <w:sz w:val="24"/>
        </w:rPr>
        <w:t>2.3.1 监理人应组建满足工作需要的项目监理机构，配备必要的检测设备。项目监理机构的主要人员应具有相应的资格条件。</w:t>
      </w:r>
    </w:p>
    <w:p w14:paraId="7D8E2ED5">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2.3.2本合同履行过程中，总监理工程师及重要岗位监理人员应保持相对稳定，以保证监理工作正常进行。</w:t>
      </w:r>
    </w:p>
    <w:p w14:paraId="04376584">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E6DB66B">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2.3.4 监理人应及时更换有下列情形之一的监理人员：</w:t>
      </w:r>
    </w:p>
    <w:p w14:paraId="46C8C36C">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（1）严重过失行为的；</w:t>
      </w:r>
    </w:p>
    <w:p w14:paraId="13B8B14E">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（2）有违法行为不能履行职责的；</w:t>
      </w:r>
    </w:p>
    <w:p w14:paraId="2FB63027">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（3）涉嫌犯罪的；</w:t>
      </w:r>
    </w:p>
    <w:p w14:paraId="763DB6A3">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（4）不能胜任岗位职责的；</w:t>
      </w:r>
    </w:p>
    <w:p w14:paraId="6E3B4BC7">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（5）严重违反职业道德的；</w:t>
      </w:r>
    </w:p>
    <w:p w14:paraId="62EAAAED">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（6）专用条件约定的其他情形。</w:t>
      </w:r>
    </w:p>
    <w:p w14:paraId="080D799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2.3.5 委托人可要求监理人更换不能胜任本职工作的项目监理机构人员。</w:t>
      </w:r>
    </w:p>
    <w:p w14:paraId="58B3F395">
      <w:pPr>
        <w:spacing w:line="360" w:lineRule="auto"/>
        <w:ind w:left="210" w:leftChars="100"/>
        <w:rPr>
          <w:rFonts w:ascii="宋体" w:hAnsi="宋体" w:eastAsia="宋体" w:cs="宋体"/>
          <w:kern w:val="0"/>
          <w:sz w:val="24"/>
        </w:rPr>
      </w:pPr>
      <w:r>
        <w:rPr>
          <w:rFonts w:hint="eastAsia" w:ascii="宋体" w:hAnsi="宋体" w:eastAsia="宋体" w:cs="宋体"/>
          <w:kern w:val="0"/>
          <w:sz w:val="24"/>
        </w:rPr>
        <w:t>2.4 履行职责</w:t>
      </w:r>
    </w:p>
    <w:p w14:paraId="254C1C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kern w:val="0"/>
          <w:sz w:val="24"/>
        </w:rPr>
        <w:t>监理人应遵循职业道德准则和行为规范，严格按照法律法规、工程建设有关标准及本合同履行职责。</w:t>
      </w:r>
    </w:p>
    <w:p w14:paraId="796B9503">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2.4.1 在监理与相关服务范围内，委托人和承包人提出的意见和要求，监理人应及时提出处置意见。当委托人与承包人之间发生合同争议时，监理人应协助委托人、承包人协商解决。</w:t>
      </w:r>
    </w:p>
    <w:p w14:paraId="28B3878F">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2.4.2 当委托人与承包人之间的合同争议提交仲裁机构仲裁或人民法院审理时，监理人应提供必要的证明资料。</w:t>
      </w:r>
    </w:p>
    <w:p w14:paraId="696A4A18">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2.4.3 监理人应在专用条件约定的授权范围内，处理委托人与承包人所签订合同的变更事宜。如果变更超过授权范围，应以书面形式报委托人批准。</w:t>
      </w:r>
    </w:p>
    <w:p w14:paraId="3BBACDD1">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在紧急情况下，为了保护财产和人身安全，监理人所发出的指令未能事先报委托人批准时，应在发出指令后的24小时内以书面形式报委托人。</w:t>
      </w:r>
    </w:p>
    <w:p w14:paraId="5FB875C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2.4.4 除专用条件另有约定外，监理人发现承包人的人员不能胜任本职工作的，有权要求承包人予以调换。</w:t>
      </w:r>
    </w:p>
    <w:p w14:paraId="4EA8FD33">
      <w:pPr>
        <w:spacing w:line="360" w:lineRule="auto"/>
        <w:ind w:left="210" w:leftChars="100"/>
        <w:rPr>
          <w:rFonts w:ascii="宋体" w:hAnsi="宋体" w:eastAsia="宋体" w:cs="宋体"/>
          <w:kern w:val="0"/>
          <w:sz w:val="24"/>
        </w:rPr>
      </w:pPr>
      <w:r>
        <w:rPr>
          <w:rFonts w:hint="eastAsia" w:ascii="宋体" w:hAnsi="宋体" w:eastAsia="宋体" w:cs="宋体"/>
          <w:kern w:val="0"/>
          <w:sz w:val="24"/>
        </w:rPr>
        <w:t>2.5 提交报告</w:t>
      </w:r>
    </w:p>
    <w:p w14:paraId="54AF23AC">
      <w:pPr>
        <w:spacing w:line="360" w:lineRule="auto"/>
        <w:ind w:firstLine="480" w:firstLineChars="200"/>
        <w:rPr>
          <w:rFonts w:ascii="宋体" w:hAnsi="宋体" w:eastAsia="宋体" w:cs="宋体"/>
          <w:sz w:val="24"/>
        </w:rPr>
      </w:pPr>
      <w:r>
        <w:rPr>
          <w:rFonts w:hint="eastAsia" w:ascii="宋体" w:hAnsi="宋体" w:eastAsia="宋体" w:cs="宋体"/>
          <w:sz w:val="24"/>
        </w:rPr>
        <w:t>监理人应按专用条件约定的种类、时间和份数向委托人提交监理与相关服务的报告。</w:t>
      </w:r>
    </w:p>
    <w:p w14:paraId="6E4917E3">
      <w:pPr>
        <w:spacing w:line="360" w:lineRule="auto"/>
        <w:ind w:left="210" w:leftChars="100"/>
        <w:rPr>
          <w:rFonts w:ascii="宋体" w:hAnsi="宋体" w:eastAsia="宋体" w:cs="宋体"/>
          <w:kern w:val="0"/>
          <w:sz w:val="24"/>
        </w:rPr>
      </w:pPr>
      <w:r>
        <w:rPr>
          <w:rFonts w:hint="eastAsia" w:ascii="宋体" w:hAnsi="宋体" w:eastAsia="宋体" w:cs="宋体"/>
          <w:kern w:val="0"/>
          <w:sz w:val="24"/>
        </w:rPr>
        <w:t>2.6 文件资料</w:t>
      </w:r>
    </w:p>
    <w:p w14:paraId="42ED27C9">
      <w:pPr>
        <w:spacing w:line="360" w:lineRule="auto"/>
        <w:ind w:firstLine="480" w:firstLineChars="200"/>
        <w:rPr>
          <w:rFonts w:ascii="宋体" w:hAnsi="宋体" w:eastAsia="宋体" w:cs="宋体"/>
          <w:sz w:val="24"/>
        </w:rPr>
      </w:pPr>
      <w:r>
        <w:rPr>
          <w:rFonts w:hint="eastAsia" w:ascii="宋体" w:hAnsi="宋体" w:eastAsia="宋体" w:cs="宋体"/>
          <w:kern w:val="0"/>
          <w:sz w:val="24"/>
        </w:rPr>
        <w:t>在本合同履行期内，监理人应在现场保留工作所用的图纸、报告及记录监理工</w:t>
      </w:r>
      <w:r>
        <w:rPr>
          <w:rFonts w:hint="eastAsia" w:ascii="宋体" w:hAnsi="宋体" w:eastAsia="宋体" w:cs="宋体"/>
          <w:sz w:val="24"/>
        </w:rPr>
        <w:t>作的相关文件。工程竣工后，应当按照档案管理规定将监理有关文件归档。</w:t>
      </w:r>
    </w:p>
    <w:p w14:paraId="3089597C">
      <w:pPr>
        <w:spacing w:line="360" w:lineRule="auto"/>
        <w:ind w:left="210" w:leftChars="100"/>
        <w:rPr>
          <w:rFonts w:ascii="宋体" w:hAnsi="宋体" w:eastAsia="宋体" w:cs="宋体"/>
          <w:kern w:val="0"/>
          <w:sz w:val="24"/>
        </w:rPr>
      </w:pPr>
      <w:r>
        <w:rPr>
          <w:rFonts w:hint="eastAsia" w:ascii="宋体" w:hAnsi="宋体" w:eastAsia="宋体" w:cs="宋体"/>
          <w:kern w:val="0"/>
          <w:sz w:val="24"/>
        </w:rPr>
        <w:t>2.7 使用委托人的财产</w:t>
      </w:r>
    </w:p>
    <w:p w14:paraId="06D0296C">
      <w:pPr>
        <w:spacing w:line="360" w:lineRule="auto"/>
        <w:ind w:firstLine="480" w:firstLineChars="200"/>
        <w:rPr>
          <w:rFonts w:ascii="宋体" w:hAnsi="宋体" w:eastAsia="宋体" w:cs="宋体"/>
          <w:sz w:val="24"/>
        </w:rPr>
      </w:pPr>
      <w:r>
        <w:rPr>
          <w:rFonts w:hint="eastAsia" w:ascii="宋体" w:hAnsi="宋体" w:eastAsia="宋体" w:cs="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A323184">
      <w:pPr>
        <w:spacing w:line="360" w:lineRule="auto"/>
        <w:rPr>
          <w:rFonts w:ascii="宋体" w:hAnsi="宋体" w:eastAsia="宋体" w:cs="宋体"/>
          <w:b/>
          <w:kern w:val="0"/>
          <w:sz w:val="24"/>
        </w:rPr>
      </w:pPr>
      <w:r>
        <w:rPr>
          <w:rFonts w:hint="eastAsia" w:ascii="宋体" w:hAnsi="宋体" w:eastAsia="宋体" w:cs="宋体"/>
          <w:b/>
          <w:kern w:val="0"/>
          <w:sz w:val="24"/>
        </w:rPr>
        <w:t>3．委托人的义务</w:t>
      </w:r>
    </w:p>
    <w:p w14:paraId="76CA4DEC">
      <w:pPr>
        <w:spacing w:line="360" w:lineRule="auto"/>
        <w:ind w:left="210" w:leftChars="100"/>
        <w:rPr>
          <w:rFonts w:ascii="宋体" w:hAnsi="宋体" w:eastAsia="宋体" w:cs="宋体"/>
          <w:kern w:val="0"/>
          <w:sz w:val="24"/>
        </w:rPr>
      </w:pPr>
      <w:r>
        <w:rPr>
          <w:rFonts w:hint="eastAsia" w:ascii="宋体" w:hAnsi="宋体" w:eastAsia="宋体" w:cs="宋体"/>
          <w:kern w:val="0"/>
          <w:sz w:val="24"/>
        </w:rPr>
        <w:t>3.1 告知</w:t>
      </w:r>
    </w:p>
    <w:p w14:paraId="3E5CED4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委托人应在委托人与承包人签订的合同中明确监理人、总监理工程师和授予项目监理机构的权限。如有变更，应及时通知承包人。</w:t>
      </w:r>
    </w:p>
    <w:p w14:paraId="0A946963">
      <w:pPr>
        <w:spacing w:line="360" w:lineRule="auto"/>
        <w:ind w:left="210" w:leftChars="100"/>
        <w:rPr>
          <w:rFonts w:ascii="宋体" w:hAnsi="宋体" w:eastAsia="宋体" w:cs="宋体"/>
          <w:kern w:val="0"/>
          <w:sz w:val="24"/>
        </w:rPr>
      </w:pPr>
      <w:r>
        <w:rPr>
          <w:rFonts w:hint="eastAsia" w:ascii="宋体" w:hAnsi="宋体" w:eastAsia="宋体" w:cs="宋体"/>
          <w:kern w:val="0"/>
          <w:sz w:val="24"/>
        </w:rPr>
        <w:t>3.2 提供资料</w:t>
      </w:r>
    </w:p>
    <w:p w14:paraId="6A880D4A">
      <w:pPr>
        <w:spacing w:line="360" w:lineRule="auto"/>
        <w:ind w:firstLine="480" w:firstLineChars="200"/>
        <w:rPr>
          <w:rFonts w:ascii="宋体" w:hAnsi="宋体" w:eastAsia="宋体" w:cs="宋体"/>
          <w:sz w:val="24"/>
        </w:rPr>
      </w:pPr>
      <w:r>
        <w:rPr>
          <w:rFonts w:hint="eastAsia" w:ascii="宋体" w:hAnsi="宋体" w:eastAsia="宋体" w:cs="宋体"/>
          <w:kern w:val="0"/>
          <w:sz w:val="24"/>
        </w:rPr>
        <w:t>委托人应按照附录B约定，无偿向监理人提供工程有关的资料。</w:t>
      </w:r>
      <w:r>
        <w:rPr>
          <w:rFonts w:hint="eastAsia" w:ascii="宋体" w:hAnsi="宋体" w:eastAsia="宋体" w:cs="宋体"/>
          <w:sz w:val="24"/>
        </w:rPr>
        <w:t>在本合同履行过程中，委托人应及时向监理人提供最新的与工程有关的资料。</w:t>
      </w:r>
    </w:p>
    <w:p w14:paraId="0A35F541">
      <w:pPr>
        <w:spacing w:line="360" w:lineRule="auto"/>
        <w:ind w:left="210" w:leftChars="100"/>
        <w:rPr>
          <w:rFonts w:ascii="宋体" w:hAnsi="宋体" w:eastAsia="宋体" w:cs="宋体"/>
          <w:kern w:val="0"/>
          <w:sz w:val="24"/>
        </w:rPr>
      </w:pPr>
      <w:r>
        <w:rPr>
          <w:rFonts w:hint="eastAsia" w:ascii="宋体" w:hAnsi="宋体" w:eastAsia="宋体" w:cs="宋体"/>
          <w:kern w:val="0"/>
          <w:sz w:val="24"/>
        </w:rPr>
        <w:t>3.3 提供工作条件</w:t>
      </w:r>
    </w:p>
    <w:p w14:paraId="0C6BECB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委托人应为监理人完成监理与相关服务提供必要的条件。</w:t>
      </w:r>
    </w:p>
    <w:p w14:paraId="480C43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kern w:val="0"/>
          <w:sz w:val="24"/>
        </w:rPr>
        <w:t xml:space="preserve">3.3.1 </w:t>
      </w:r>
      <w:r>
        <w:rPr>
          <w:rFonts w:hint="eastAsia" w:ascii="宋体" w:hAnsi="宋体" w:eastAsia="宋体" w:cs="宋体"/>
          <w:sz w:val="24"/>
        </w:rPr>
        <w:t>委托人应按照附录B约定，派遣相应的人员，提供房屋、设备，供监理人</w:t>
      </w:r>
      <w:r>
        <w:rPr>
          <w:rFonts w:hint="eastAsia" w:ascii="宋体" w:hAnsi="宋体" w:eastAsia="宋体" w:cs="宋体"/>
          <w:kern w:val="0"/>
          <w:sz w:val="24"/>
        </w:rPr>
        <w:t>无偿</w:t>
      </w:r>
      <w:r>
        <w:rPr>
          <w:rFonts w:hint="eastAsia" w:ascii="宋体" w:hAnsi="宋体" w:eastAsia="宋体" w:cs="宋体"/>
          <w:sz w:val="24"/>
        </w:rPr>
        <w:t>使用。</w:t>
      </w:r>
    </w:p>
    <w:p w14:paraId="29BAE13C">
      <w:pPr>
        <w:spacing w:line="360" w:lineRule="auto"/>
        <w:ind w:firstLine="480" w:firstLineChars="200"/>
        <w:rPr>
          <w:rFonts w:ascii="宋体" w:hAnsi="宋体" w:eastAsia="宋体" w:cs="宋体"/>
          <w:sz w:val="24"/>
        </w:rPr>
      </w:pPr>
      <w:r>
        <w:rPr>
          <w:rFonts w:hint="eastAsia" w:ascii="宋体" w:hAnsi="宋体" w:eastAsia="宋体" w:cs="宋体"/>
          <w:kern w:val="0"/>
          <w:sz w:val="24"/>
        </w:rPr>
        <w:t xml:space="preserve">3.3.2 </w:t>
      </w:r>
      <w:r>
        <w:rPr>
          <w:rFonts w:hint="eastAsia" w:ascii="宋体" w:hAnsi="宋体" w:eastAsia="宋体" w:cs="宋体"/>
          <w:sz w:val="24"/>
        </w:rPr>
        <w:t>委托人应负责协调工程建设中所有外部关系，为监理人履行本合同提供必要的外部条件。</w:t>
      </w:r>
    </w:p>
    <w:p w14:paraId="4638F030">
      <w:pPr>
        <w:snapToGrid w:val="0"/>
        <w:spacing w:line="360" w:lineRule="auto"/>
        <w:ind w:left="210" w:leftChars="100"/>
        <w:rPr>
          <w:rFonts w:ascii="宋体" w:hAnsi="宋体" w:eastAsia="宋体" w:cs="宋体"/>
          <w:kern w:val="0"/>
          <w:sz w:val="24"/>
        </w:rPr>
      </w:pPr>
      <w:r>
        <w:rPr>
          <w:rFonts w:hint="eastAsia" w:ascii="宋体" w:hAnsi="宋体" w:eastAsia="宋体" w:cs="宋体"/>
          <w:kern w:val="0"/>
          <w:sz w:val="24"/>
        </w:rPr>
        <w:t>3.4 委托人代表</w:t>
      </w:r>
    </w:p>
    <w:p w14:paraId="262656E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14:paraId="6EDDB6E1">
      <w:pPr>
        <w:snapToGrid w:val="0"/>
        <w:spacing w:line="360" w:lineRule="auto"/>
        <w:ind w:left="210" w:leftChars="100"/>
        <w:rPr>
          <w:rFonts w:ascii="宋体" w:hAnsi="宋体" w:eastAsia="宋体" w:cs="宋体"/>
          <w:kern w:val="0"/>
          <w:sz w:val="24"/>
        </w:rPr>
      </w:pPr>
      <w:r>
        <w:rPr>
          <w:rFonts w:hint="eastAsia" w:ascii="宋体" w:hAnsi="宋体" w:eastAsia="宋体" w:cs="宋体"/>
          <w:kern w:val="0"/>
          <w:sz w:val="24"/>
        </w:rPr>
        <w:t>3.5 委托人意见或要求</w:t>
      </w:r>
    </w:p>
    <w:p w14:paraId="391BB5B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在本合同约定的监理与相关服务工作范围内，委托人对承包人的任何意见或要求应通知监理人，由监理人向承包人发出相应指令。</w:t>
      </w:r>
    </w:p>
    <w:p w14:paraId="737D6A35">
      <w:pPr>
        <w:snapToGrid w:val="0"/>
        <w:spacing w:line="360" w:lineRule="auto"/>
        <w:ind w:left="210" w:leftChars="100"/>
        <w:rPr>
          <w:rFonts w:ascii="宋体" w:hAnsi="宋体" w:eastAsia="宋体" w:cs="宋体"/>
          <w:kern w:val="0"/>
          <w:sz w:val="24"/>
        </w:rPr>
      </w:pPr>
      <w:r>
        <w:rPr>
          <w:rFonts w:hint="eastAsia" w:ascii="宋体" w:hAnsi="宋体" w:eastAsia="宋体" w:cs="宋体"/>
          <w:kern w:val="0"/>
          <w:sz w:val="24"/>
        </w:rPr>
        <w:t>3.6 答复</w:t>
      </w:r>
    </w:p>
    <w:p w14:paraId="21AF68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委托人应在专用条件约定的时间内，对监理人以书面形式提交并要求作出决定的事宜，给予书面答复。逾期未答复的，视为委托人认可。</w:t>
      </w:r>
    </w:p>
    <w:p w14:paraId="61990DDC">
      <w:pPr>
        <w:snapToGrid w:val="0"/>
        <w:spacing w:line="360" w:lineRule="auto"/>
        <w:ind w:left="210" w:leftChars="100"/>
        <w:rPr>
          <w:rFonts w:ascii="宋体" w:hAnsi="宋体" w:eastAsia="宋体" w:cs="宋体"/>
          <w:kern w:val="0"/>
          <w:sz w:val="24"/>
        </w:rPr>
      </w:pPr>
      <w:r>
        <w:rPr>
          <w:rFonts w:hint="eastAsia" w:ascii="宋体" w:hAnsi="宋体" w:eastAsia="宋体" w:cs="宋体"/>
          <w:kern w:val="0"/>
          <w:sz w:val="24"/>
        </w:rPr>
        <w:t>3.7 支付</w:t>
      </w:r>
    </w:p>
    <w:p w14:paraId="6BF9D6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委托人应按本合同约定，向监理人支付酬金。</w:t>
      </w:r>
    </w:p>
    <w:p w14:paraId="5A5B8B4D">
      <w:pPr>
        <w:snapToGrid w:val="0"/>
        <w:spacing w:line="360" w:lineRule="auto"/>
        <w:rPr>
          <w:rFonts w:ascii="宋体" w:hAnsi="宋体" w:eastAsia="宋体" w:cs="宋体"/>
          <w:b/>
          <w:bCs/>
          <w:sz w:val="24"/>
        </w:rPr>
      </w:pPr>
      <w:r>
        <w:rPr>
          <w:rFonts w:hint="eastAsia" w:ascii="宋体" w:hAnsi="宋体" w:eastAsia="宋体" w:cs="宋体"/>
          <w:b/>
          <w:bCs/>
          <w:sz w:val="24"/>
        </w:rPr>
        <w:t>4. 违约责任</w:t>
      </w:r>
    </w:p>
    <w:p w14:paraId="017441B0">
      <w:pPr>
        <w:spacing w:line="360" w:lineRule="auto"/>
        <w:ind w:left="210" w:leftChars="100"/>
        <w:rPr>
          <w:rFonts w:ascii="宋体" w:hAnsi="宋体" w:eastAsia="宋体" w:cs="宋体"/>
          <w:kern w:val="0"/>
          <w:sz w:val="24"/>
        </w:rPr>
      </w:pPr>
      <w:r>
        <w:rPr>
          <w:rFonts w:hint="eastAsia" w:ascii="宋体" w:hAnsi="宋体" w:eastAsia="宋体" w:cs="宋体"/>
          <w:kern w:val="0"/>
          <w:sz w:val="24"/>
        </w:rPr>
        <w:t>4.1 监理人的违约责任</w:t>
      </w:r>
    </w:p>
    <w:p w14:paraId="15D8AB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kern w:val="0"/>
          <w:sz w:val="24"/>
        </w:rPr>
        <w:t>监理人未履行本合同义务的，应承担相应的责任。</w:t>
      </w:r>
    </w:p>
    <w:p w14:paraId="3F97676A">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4.1.1 因监理人违反本合同约定</w:t>
      </w:r>
      <w:r>
        <w:rPr>
          <w:rFonts w:hint="eastAsia" w:ascii="宋体" w:hAnsi="宋体" w:eastAsia="宋体" w:cs="宋体"/>
          <w:sz w:val="24"/>
        </w:rPr>
        <w:t>给委托人造成损失的，监理人应当赔偿委托人损失</w:t>
      </w:r>
      <w:r>
        <w:rPr>
          <w:rFonts w:hint="eastAsia" w:ascii="宋体" w:hAnsi="宋体" w:eastAsia="宋体" w:cs="宋体"/>
          <w:kern w:val="0"/>
          <w:sz w:val="24"/>
        </w:rPr>
        <w:t>。赔偿金额的确定方法在专用条件中约定。监理人承担部分赔偿责任的，其承担赔偿金额由双方协商确定。</w:t>
      </w:r>
    </w:p>
    <w:p w14:paraId="3B30CFC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4.1.2 监理人向委托人的索赔不成立时，监理人应赔偿委托人由此发生的费用。</w:t>
      </w:r>
    </w:p>
    <w:p w14:paraId="350BCCBB">
      <w:pPr>
        <w:snapToGrid w:val="0"/>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4.2 委托人的违约责任</w:t>
      </w:r>
    </w:p>
    <w:p w14:paraId="2DACF9DE">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委托人未履行本合同义务的，应承担相应的责任。</w:t>
      </w:r>
    </w:p>
    <w:p w14:paraId="403903D1">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4.2.1 委托人违反本合同约定造成监理人损失的，委托人应予以赔偿。</w:t>
      </w:r>
    </w:p>
    <w:p w14:paraId="1FD164C4">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4.2.2 委托人向监理人的索赔不成立时，应赔偿监理人由此引起的费用。</w:t>
      </w:r>
    </w:p>
    <w:p w14:paraId="2401F84C">
      <w:pPr>
        <w:spacing w:line="360" w:lineRule="auto"/>
        <w:ind w:firstLine="480" w:firstLineChars="200"/>
        <w:rPr>
          <w:rFonts w:ascii="宋体" w:hAnsi="宋体" w:eastAsia="宋体" w:cs="宋体"/>
          <w:kern w:val="0"/>
          <w:sz w:val="24"/>
        </w:rPr>
      </w:pPr>
      <w:r>
        <w:rPr>
          <w:rFonts w:hint="eastAsia" w:ascii="宋体" w:hAnsi="宋体" w:eastAsia="宋体" w:cs="宋体"/>
          <w:sz w:val="24"/>
        </w:rPr>
        <w:t xml:space="preserve">4.2.3 </w:t>
      </w:r>
      <w:r>
        <w:rPr>
          <w:rFonts w:hint="eastAsia" w:ascii="宋体" w:hAnsi="宋体" w:eastAsia="宋体" w:cs="宋体"/>
          <w:kern w:val="0"/>
          <w:sz w:val="24"/>
        </w:rPr>
        <w:t>委托人未能按期支付</w:t>
      </w:r>
      <w:r>
        <w:rPr>
          <w:rFonts w:hint="eastAsia" w:ascii="宋体" w:hAnsi="宋体" w:eastAsia="宋体" w:cs="宋体"/>
          <w:sz w:val="24"/>
        </w:rPr>
        <w:t>酬金</w:t>
      </w:r>
      <w:r>
        <w:rPr>
          <w:rFonts w:hint="eastAsia" w:ascii="宋体" w:hAnsi="宋体" w:eastAsia="宋体" w:cs="宋体"/>
          <w:kern w:val="0"/>
          <w:sz w:val="24"/>
        </w:rPr>
        <w:t>超过28天，应按专用条件约定支付逾期付款利息。</w:t>
      </w:r>
    </w:p>
    <w:p w14:paraId="762121AA">
      <w:pPr>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4.3 除外责任</w:t>
      </w:r>
    </w:p>
    <w:p w14:paraId="4D4477F1">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因非监理人的原因，且监理人无过错，发生工程质量事故、安全事故、工期延误等造成的损失，监理人不承担赔偿责任。</w:t>
      </w:r>
    </w:p>
    <w:p w14:paraId="74DC9C4C">
      <w:pPr>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因不可抗力导致本合同全部或部分不能履行时，双方各自承担其因此而造成的损失、损害。</w:t>
      </w:r>
    </w:p>
    <w:p w14:paraId="423FBB3C">
      <w:pPr>
        <w:snapToGrid w:val="0"/>
        <w:spacing w:line="360" w:lineRule="auto"/>
        <w:rPr>
          <w:rFonts w:ascii="宋体" w:hAnsi="宋体" w:eastAsia="宋体" w:cs="宋体"/>
          <w:b/>
          <w:bCs/>
          <w:sz w:val="24"/>
        </w:rPr>
      </w:pPr>
      <w:r>
        <w:rPr>
          <w:rFonts w:hint="eastAsia" w:ascii="宋体" w:hAnsi="宋体" w:eastAsia="宋体" w:cs="宋体"/>
          <w:b/>
          <w:bCs/>
          <w:sz w:val="24"/>
        </w:rPr>
        <w:t>5. 支付</w:t>
      </w:r>
    </w:p>
    <w:p w14:paraId="1DB95BB8">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5.1 </w:t>
      </w:r>
      <w:r>
        <w:rPr>
          <w:rFonts w:hint="eastAsia" w:ascii="宋体" w:hAnsi="宋体" w:eastAsia="宋体" w:cs="宋体"/>
          <w:bCs/>
          <w:sz w:val="24"/>
        </w:rPr>
        <w:t>支付货币</w:t>
      </w:r>
    </w:p>
    <w:p w14:paraId="20D124D6">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除专用条件另有约定外，酬金均以人民币支付。涉及外币支付的，所采用的货币种类、比例和汇率在专用条件中约定。</w:t>
      </w:r>
    </w:p>
    <w:p w14:paraId="4A15B56B">
      <w:pPr>
        <w:snapToGrid w:val="0"/>
        <w:spacing w:line="360" w:lineRule="auto"/>
        <w:ind w:left="210" w:leftChars="100"/>
        <w:rPr>
          <w:rFonts w:ascii="宋体" w:hAnsi="宋体" w:eastAsia="宋体" w:cs="宋体"/>
          <w:bCs/>
          <w:sz w:val="24"/>
        </w:rPr>
      </w:pPr>
      <w:r>
        <w:rPr>
          <w:rFonts w:hint="eastAsia" w:ascii="宋体" w:hAnsi="宋体" w:eastAsia="宋体" w:cs="宋体"/>
          <w:sz w:val="24"/>
        </w:rPr>
        <w:t>5.2 支付申请</w:t>
      </w:r>
    </w:p>
    <w:p w14:paraId="010C70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监理人应在本合同约定的每次应付款时间的7天前，向委托人提交支付申请书。支付申请书应当说明当期应付款总额，并列出当期应支付的款项及其金额。</w:t>
      </w:r>
    </w:p>
    <w:p w14:paraId="6C461A6D">
      <w:pPr>
        <w:snapToGrid w:val="0"/>
        <w:spacing w:line="360" w:lineRule="auto"/>
        <w:rPr>
          <w:rFonts w:ascii="宋体" w:hAnsi="宋体" w:eastAsia="宋体" w:cs="宋体"/>
          <w:sz w:val="24"/>
        </w:rPr>
      </w:pPr>
      <w:r>
        <w:rPr>
          <w:rFonts w:hint="eastAsia" w:ascii="宋体" w:hAnsi="宋体" w:eastAsia="宋体" w:cs="宋体"/>
          <w:sz w:val="24"/>
        </w:rPr>
        <w:t xml:space="preserve"> 5.3 支付酬金</w:t>
      </w:r>
    </w:p>
    <w:p w14:paraId="62C6DF93">
      <w:pPr>
        <w:snapToGrid w:val="0"/>
        <w:spacing w:line="360" w:lineRule="auto"/>
        <w:ind w:firstLine="480"/>
        <w:rPr>
          <w:rFonts w:ascii="宋体" w:hAnsi="宋体" w:eastAsia="宋体" w:cs="宋体"/>
          <w:sz w:val="24"/>
        </w:rPr>
      </w:pPr>
      <w:r>
        <w:rPr>
          <w:rFonts w:hint="eastAsia" w:ascii="宋体" w:hAnsi="宋体" w:eastAsia="宋体" w:cs="宋体"/>
          <w:sz w:val="24"/>
        </w:rPr>
        <w:t>支付的酬金包括正常工作酬金、附加工作酬金、合理化建议奖励金额及费用。</w:t>
      </w:r>
    </w:p>
    <w:p w14:paraId="79AC3935">
      <w:pPr>
        <w:snapToGrid w:val="0"/>
        <w:spacing w:line="360" w:lineRule="auto"/>
        <w:rPr>
          <w:rFonts w:ascii="宋体" w:hAnsi="宋体" w:eastAsia="宋体" w:cs="宋体"/>
          <w:bCs/>
          <w:sz w:val="24"/>
        </w:rPr>
      </w:pPr>
      <w:r>
        <w:rPr>
          <w:rFonts w:hint="eastAsia" w:ascii="宋体" w:hAnsi="宋体" w:eastAsia="宋体" w:cs="宋体"/>
          <w:sz w:val="24"/>
        </w:rPr>
        <w:t xml:space="preserve">  5.4 </w:t>
      </w:r>
      <w:r>
        <w:rPr>
          <w:rFonts w:hint="eastAsia" w:ascii="宋体" w:hAnsi="宋体" w:eastAsia="宋体" w:cs="宋体"/>
          <w:bCs/>
          <w:sz w:val="24"/>
        </w:rPr>
        <w:t>有争议部分的付款</w:t>
      </w:r>
    </w:p>
    <w:p w14:paraId="0208A56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1A0C3FF7">
      <w:pPr>
        <w:snapToGrid w:val="0"/>
        <w:spacing w:line="360" w:lineRule="auto"/>
        <w:rPr>
          <w:rFonts w:ascii="宋体" w:hAnsi="宋体" w:eastAsia="宋体" w:cs="宋体"/>
          <w:b/>
          <w:bCs/>
          <w:sz w:val="24"/>
        </w:rPr>
      </w:pPr>
      <w:r>
        <w:rPr>
          <w:rFonts w:hint="eastAsia" w:ascii="宋体" w:hAnsi="宋体" w:eastAsia="宋体" w:cs="宋体"/>
          <w:b/>
          <w:bCs/>
          <w:sz w:val="24"/>
        </w:rPr>
        <w:t>6. 合同生效、变更、暂停、解除与终止</w:t>
      </w:r>
    </w:p>
    <w:p w14:paraId="7657DBDD">
      <w:pPr>
        <w:spacing w:line="360" w:lineRule="auto"/>
        <w:ind w:left="210" w:leftChars="100"/>
        <w:rPr>
          <w:rFonts w:ascii="宋体" w:hAnsi="宋体" w:eastAsia="宋体" w:cs="宋体"/>
          <w:sz w:val="24"/>
        </w:rPr>
      </w:pPr>
      <w:r>
        <w:rPr>
          <w:rFonts w:hint="eastAsia" w:ascii="宋体" w:hAnsi="宋体" w:eastAsia="宋体" w:cs="宋体"/>
          <w:sz w:val="24"/>
        </w:rPr>
        <w:t>6.1生效</w:t>
      </w:r>
    </w:p>
    <w:p w14:paraId="1979992E">
      <w:pPr>
        <w:spacing w:line="360" w:lineRule="auto"/>
        <w:ind w:firstLine="480" w:firstLineChars="200"/>
        <w:rPr>
          <w:rFonts w:ascii="宋体" w:hAnsi="宋体" w:eastAsia="宋体" w:cs="宋体"/>
          <w:sz w:val="24"/>
        </w:rPr>
      </w:pPr>
      <w:r>
        <w:rPr>
          <w:rFonts w:hint="eastAsia" w:ascii="宋体" w:hAnsi="宋体" w:eastAsia="宋体" w:cs="宋体"/>
          <w:sz w:val="24"/>
        </w:rPr>
        <w:t>除法律另有规定或者专用条件另有约定外，委托人和监理人的法定代表人或其授权代理人在协议书上签字并盖单位章后本合同生效。</w:t>
      </w:r>
    </w:p>
    <w:p w14:paraId="04C669A7">
      <w:pPr>
        <w:snapToGrid w:val="0"/>
        <w:spacing w:line="360" w:lineRule="auto"/>
        <w:ind w:left="210" w:leftChars="100"/>
        <w:rPr>
          <w:rFonts w:ascii="宋体" w:hAnsi="宋体" w:eastAsia="宋体" w:cs="宋体"/>
          <w:bCs/>
          <w:sz w:val="24"/>
        </w:rPr>
      </w:pPr>
      <w:r>
        <w:rPr>
          <w:rFonts w:hint="eastAsia" w:ascii="宋体" w:hAnsi="宋体" w:eastAsia="宋体" w:cs="宋体"/>
          <w:sz w:val="24"/>
        </w:rPr>
        <w:t>6.2</w:t>
      </w:r>
      <w:r>
        <w:rPr>
          <w:rFonts w:hint="eastAsia" w:ascii="宋体" w:hAnsi="宋体" w:eastAsia="宋体" w:cs="宋体"/>
          <w:bCs/>
          <w:sz w:val="24"/>
        </w:rPr>
        <w:t>变更</w:t>
      </w:r>
    </w:p>
    <w:p w14:paraId="5DB1D81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6.2.1 任何一方提出变更请求时，双方经协商一致后可进行变更。</w:t>
      </w:r>
    </w:p>
    <w:p w14:paraId="7C4F0B1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EFE685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01DDAF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6.2.4合同签订后，遇有与工程相关的法律法规、标准颁布或修订的，双方应遵照执行。由此引起监理与相关服务的范围、时间、酬金变化的，双方应通过协商进行相应调整。</w:t>
      </w:r>
    </w:p>
    <w:p w14:paraId="5F0A075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6.2.5 因非监理人原因造成工程概算投资额或建筑安装工程费增加时，正常工作酬金应作相应调整。调整方法在专用条件中约定。</w:t>
      </w:r>
    </w:p>
    <w:p w14:paraId="093D45B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6.2.6 因工程规模、监理范围的变化导致监理人的正常工作量减少时，正常工作酬金应作相应调整。调整方法在专用条件中约定。</w:t>
      </w:r>
    </w:p>
    <w:p w14:paraId="2500AC4B">
      <w:pPr>
        <w:snapToGrid w:val="0"/>
        <w:spacing w:line="360" w:lineRule="auto"/>
        <w:rPr>
          <w:rFonts w:ascii="宋体" w:hAnsi="宋体" w:eastAsia="宋体" w:cs="宋体"/>
          <w:bCs/>
          <w:sz w:val="24"/>
        </w:rPr>
      </w:pPr>
      <w:r>
        <w:rPr>
          <w:rFonts w:hint="eastAsia" w:ascii="宋体" w:hAnsi="宋体" w:eastAsia="宋体" w:cs="宋体"/>
          <w:sz w:val="24"/>
        </w:rPr>
        <w:t xml:space="preserve">  6.3 暂停与</w:t>
      </w:r>
      <w:r>
        <w:rPr>
          <w:rFonts w:hint="eastAsia" w:ascii="宋体" w:hAnsi="宋体" w:eastAsia="宋体" w:cs="宋体"/>
          <w:bCs/>
          <w:sz w:val="24"/>
        </w:rPr>
        <w:t>解除</w:t>
      </w:r>
    </w:p>
    <w:p w14:paraId="03C894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除双方协商一致可以解除本合同外，当一方无正当理由未履行本合同约定的义务时，另一方可以根据本合同约定暂停履行本合同直至解除本合同。</w:t>
      </w:r>
    </w:p>
    <w:p w14:paraId="0F72120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436F0D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因解除本合同或解除监理人的部分义务导致监理人遭受的损失，除依法可以免除责任的情况外，应由委托人予以补偿，补偿金额由双方协商确定。</w:t>
      </w:r>
    </w:p>
    <w:p w14:paraId="685097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解除本合同的协议必须采取书面形式，协议未达成之前，本合同仍然有效。</w:t>
      </w:r>
    </w:p>
    <w:p w14:paraId="73DDF18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FE699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4"/>
        </w:rPr>
        <w:t>的</w:t>
      </w:r>
      <w:r>
        <w:rPr>
          <w:rFonts w:hint="eastAsia" w:ascii="宋体" w:hAnsi="宋体" w:eastAsia="宋体" w:cs="宋体"/>
          <w:sz w:val="24"/>
        </w:rPr>
        <w:t>酬金支付至本合同解除日，且应承担第4.2款约定的责任。</w:t>
      </w:r>
    </w:p>
    <w:p w14:paraId="5D462E8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4"/>
        </w:rPr>
        <w:t>的</w:t>
      </w:r>
      <w:r>
        <w:rPr>
          <w:rFonts w:hint="eastAsia" w:ascii="宋体" w:hAnsi="宋体" w:eastAsia="宋体" w:cs="宋体"/>
          <w:sz w:val="24"/>
        </w:rPr>
        <w:t>酬金支付至</w:t>
      </w:r>
      <w:r>
        <w:rPr>
          <w:rFonts w:hint="eastAsia" w:ascii="宋体" w:hAnsi="宋体" w:eastAsia="宋体" w:cs="宋体"/>
          <w:kern w:val="0"/>
          <w:sz w:val="24"/>
        </w:rPr>
        <w:t>限期改正通知到达监理人之日</w:t>
      </w:r>
      <w:r>
        <w:rPr>
          <w:rFonts w:hint="eastAsia" w:ascii="宋体" w:hAnsi="宋体" w:eastAsia="宋体" w:cs="宋体"/>
          <w:sz w:val="24"/>
        </w:rPr>
        <w:t>，但监理人应承担第4.1款约定的责任。</w:t>
      </w:r>
    </w:p>
    <w:p w14:paraId="4D2C65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168F3EB">
      <w:pPr>
        <w:snapToGrid w:val="0"/>
        <w:spacing w:line="360" w:lineRule="auto"/>
        <w:ind w:firstLine="480" w:firstLineChars="200"/>
        <w:rPr>
          <w:rFonts w:ascii="宋体" w:hAnsi="宋体" w:eastAsia="宋体" w:cs="宋体"/>
          <w:kern w:val="0"/>
          <w:sz w:val="24"/>
        </w:rPr>
      </w:pPr>
      <w:r>
        <w:rPr>
          <w:rFonts w:hint="eastAsia" w:ascii="宋体" w:hAnsi="宋体" w:eastAsia="宋体" w:cs="宋体"/>
          <w:sz w:val="24"/>
        </w:rPr>
        <w:t>6.3.5 因不可抗力致使本合同部分或全部不能履行时，一方应立即通知另一方，可暂停或解除本合同。</w:t>
      </w:r>
    </w:p>
    <w:p w14:paraId="55B0425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6.3.6 本合同解除后，本合同约定的有关结算、清理、争议解决方式的条件仍然有效。</w:t>
      </w:r>
    </w:p>
    <w:p w14:paraId="54C8EC78">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6.4 </w:t>
      </w:r>
      <w:r>
        <w:rPr>
          <w:rFonts w:hint="eastAsia" w:ascii="宋体" w:hAnsi="宋体" w:eastAsia="宋体" w:cs="宋体"/>
          <w:bCs/>
          <w:sz w:val="24"/>
        </w:rPr>
        <w:t>终止</w:t>
      </w:r>
    </w:p>
    <w:p w14:paraId="2AF81F8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以下条件全部满足时，本合同即告终止：</w:t>
      </w:r>
    </w:p>
    <w:p w14:paraId="083EFAC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（1）监理人完成本合同约定的全部工作；</w:t>
      </w:r>
    </w:p>
    <w:p w14:paraId="457C6D5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（2）委托人与监理人结清并支付全部酬金。</w:t>
      </w:r>
    </w:p>
    <w:p w14:paraId="09CD62FD">
      <w:pPr>
        <w:snapToGrid w:val="0"/>
        <w:spacing w:line="360" w:lineRule="auto"/>
        <w:rPr>
          <w:rFonts w:ascii="宋体" w:hAnsi="宋体" w:eastAsia="宋体" w:cs="宋体"/>
          <w:b/>
          <w:bCs/>
          <w:sz w:val="24"/>
        </w:rPr>
      </w:pPr>
      <w:r>
        <w:rPr>
          <w:rFonts w:hint="eastAsia" w:ascii="宋体" w:hAnsi="宋体" w:eastAsia="宋体" w:cs="宋体"/>
          <w:b/>
          <w:bCs/>
          <w:sz w:val="24"/>
        </w:rPr>
        <w:t>7. 争议解决</w:t>
      </w:r>
    </w:p>
    <w:p w14:paraId="5E595759">
      <w:pPr>
        <w:snapToGrid w:val="0"/>
        <w:spacing w:line="360" w:lineRule="auto"/>
        <w:ind w:left="210" w:leftChars="100"/>
        <w:rPr>
          <w:rFonts w:ascii="宋体" w:hAnsi="宋体" w:eastAsia="宋体" w:cs="宋体"/>
          <w:bCs/>
          <w:sz w:val="24"/>
        </w:rPr>
      </w:pPr>
      <w:r>
        <w:rPr>
          <w:rFonts w:hint="eastAsia" w:ascii="宋体" w:hAnsi="宋体" w:eastAsia="宋体" w:cs="宋体"/>
          <w:sz w:val="24"/>
        </w:rPr>
        <w:t>7.1</w:t>
      </w:r>
      <w:r>
        <w:rPr>
          <w:rFonts w:hint="eastAsia" w:ascii="宋体" w:hAnsi="宋体" w:eastAsia="宋体" w:cs="宋体"/>
          <w:bCs/>
          <w:sz w:val="24"/>
        </w:rPr>
        <w:t>协商</w:t>
      </w:r>
    </w:p>
    <w:p w14:paraId="003A0CC3">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双方应本着诚信原则协商解决彼此间的争议。</w:t>
      </w:r>
    </w:p>
    <w:p w14:paraId="2B14E250">
      <w:pPr>
        <w:snapToGrid w:val="0"/>
        <w:spacing w:line="360" w:lineRule="auto"/>
        <w:ind w:left="210" w:leftChars="100"/>
        <w:rPr>
          <w:rFonts w:ascii="宋体" w:hAnsi="宋体" w:eastAsia="宋体" w:cs="宋体"/>
          <w:bCs/>
          <w:sz w:val="24"/>
        </w:rPr>
      </w:pPr>
      <w:r>
        <w:rPr>
          <w:rFonts w:hint="eastAsia" w:ascii="宋体" w:hAnsi="宋体" w:eastAsia="宋体" w:cs="宋体"/>
          <w:sz w:val="24"/>
        </w:rPr>
        <w:t>7.2</w:t>
      </w:r>
      <w:r>
        <w:rPr>
          <w:rFonts w:hint="eastAsia" w:ascii="宋体" w:hAnsi="宋体" w:eastAsia="宋体" w:cs="宋体"/>
          <w:bCs/>
          <w:sz w:val="24"/>
        </w:rPr>
        <w:t>调解</w:t>
      </w:r>
    </w:p>
    <w:p w14:paraId="72C0FFF3">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如果双方不能在14天内或双方商定的其他时间内解决本合同争议，可以将其提交给专用条件约定的或事后达成协议的调解人进行调解。</w:t>
      </w:r>
    </w:p>
    <w:p w14:paraId="671713B7">
      <w:pPr>
        <w:snapToGrid w:val="0"/>
        <w:spacing w:line="360" w:lineRule="auto"/>
        <w:ind w:left="210" w:leftChars="100"/>
        <w:rPr>
          <w:rFonts w:ascii="宋体" w:hAnsi="宋体" w:eastAsia="宋体" w:cs="宋体"/>
          <w:bCs/>
          <w:sz w:val="24"/>
        </w:rPr>
      </w:pPr>
      <w:r>
        <w:rPr>
          <w:rFonts w:hint="eastAsia" w:ascii="宋体" w:hAnsi="宋体" w:eastAsia="宋体" w:cs="宋体"/>
          <w:sz w:val="24"/>
        </w:rPr>
        <w:t>7.3</w:t>
      </w:r>
      <w:r>
        <w:rPr>
          <w:rFonts w:hint="eastAsia" w:ascii="宋体" w:hAnsi="宋体" w:eastAsia="宋体" w:cs="宋体"/>
          <w:bCs/>
          <w:sz w:val="24"/>
        </w:rPr>
        <w:t>仲裁或诉讼</w:t>
      </w:r>
    </w:p>
    <w:p w14:paraId="2A4B956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双方均有权不经调解直接向专用条件约定的仲裁机构申请仲裁或向有管辖权的人民法院提起诉讼。</w:t>
      </w:r>
    </w:p>
    <w:p w14:paraId="210FF679">
      <w:pPr>
        <w:snapToGrid w:val="0"/>
        <w:spacing w:line="360" w:lineRule="auto"/>
        <w:rPr>
          <w:rFonts w:ascii="宋体" w:hAnsi="宋体" w:eastAsia="宋体" w:cs="宋体"/>
          <w:b/>
          <w:bCs/>
          <w:sz w:val="24"/>
        </w:rPr>
      </w:pPr>
      <w:r>
        <w:rPr>
          <w:rFonts w:hint="eastAsia" w:ascii="宋体" w:hAnsi="宋体" w:eastAsia="宋体" w:cs="宋体"/>
          <w:b/>
          <w:bCs/>
          <w:sz w:val="24"/>
        </w:rPr>
        <w:t>8. 其他</w:t>
      </w:r>
    </w:p>
    <w:p w14:paraId="23C1A2C2">
      <w:pPr>
        <w:spacing w:line="360" w:lineRule="auto"/>
        <w:ind w:left="210" w:leftChars="100"/>
        <w:rPr>
          <w:rFonts w:ascii="宋体" w:hAnsi="宋体" w:eastAsia="宋体" w:cs="宋体"/>
          <w:bCs/>
          <w:sz w:val="24"/>
        </w:rPr>
      </w:pPr>
      <w:r>
        <w:rPr>
          <w:rFonts w:hint="eastAsia" w:ascii="宋体" w:hAnsi="宋体" w:eastAsia="宋体" w:cs="宋体"/>
          <w:sz w:val="24"/>
        </w:rPr>
        <w:t xml:space="preserve">8.1 </w:t>
      </w:r>
      <w:r>
        <w:rPr>
          <w:rFonts w:hint="eastAsia" w:ascii="宋体" w:hAnsi="宋体" w:eastAsia="宋体" w:cs="宋体"/>
          <w:bCs/>
          <w:sz w:val="24"/>
        </w:rPr>
        <w:t>外出考察费用</w:t>
      </w:r>
    </w:p>
    <w:p w14:paraId="3336800E">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经委托人同意，监理人员外出考察发生的费用由委托人审核后支付。</w:t>
      </w:r>
    </w:p>
    <w:p w14:paraId="0A01BC07">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8.2 </w:t>
      </w:r>
      <w:r>
        <w:rPr>
          <w:rFonts w:hint="eastAsia" w:ascii="宋体" w:hAnsi="宋体" w:eastAsia="宋体" w:cs="宋体"/>
          <w:bCs/>
          <w:sz w:val="24"/>
        </w:rPr>
        <w:t>检测费用</w:t>
      </w:r>
    </w:p>
    <w:p w14:paraId="36D576E4">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委托人要求监理人进行的材料和设备检测所发生的费用，由委托人支付，支付时间在专用条件中约定。</w:t>
      </w:r>
    </w:p>
    <w:p w14:paraId="1FA60D00">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8.3 </w:t>
      </w:r>
      <w:r>
        <w:rPr>
          <w:rFonts w:hint="eastAsia" w:ascii="宋体" w:hAnsi="宋体" w:eastAsia="宋体" w:cs="宋体"/>
          <w:bCs/>
          <w:sz w:val="24"/>
        </w:rPr>
        <w:t>咨询费用</w:t>
      </w:r>
    </w:p>
    <w:p w14:paraId="5B48793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经委托人同意，根据工程需要由监理人组织的相关咨询论证会以及聘请相关专家等发生的费用由委托人支付，支付时间在专用条件中约定。</w:t>
      </w:r>
    </w:p>
    <w:p w14:paraId="62FE0F6F">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8.4 </w:t>
      </w:r>
      <w:r>
        <w:rPr>
          <w:rFonts w:hint="eastAsia" w:ascii="宋体" w:hAnsi="宋体" w:eastAsia="宋体" w:cs="宋体"/>
          <w:bCs/>
          <w:sz w:val="24"/>
        </w:rPr>
        <w:t>奖励</w:t>
      </w:r>
    </w:p>
    <w:p w14:paraId="0614B75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监理人在服务过程中提出的合理化建议，使委托人获得经济效益的，双方在专用条件中约定奖励金额的确定方法。奖励金额在合理化建议被采纳后，与最近一期的正常工作酬金同期支付。</w:t>
      </w:r>
    </w:p>
    <w:p w14:paraId="169EA7DC">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8.5 </w:t>
      </w:r>
      <w:r>
        <w:rPr>
          <w:rFonts w:hint="eastAsia" w:ascii="宋体" w:hAnsi="宋体" w:eastAsia="宋体" w:cs="宋体"/>
          <w:bCs/>
          <w:sz w:val="24"/>
        </w:rPr>
        <w:t>守法诚信</w:t>
      </w:r>
    </w:p>
    <w:p w14:paraId="61A35640">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监理人及其工作人员不得从与实施工程有关的第三方处获得任何经济利益。</w:t>
      </w:r>
    </w:p>
    <w:p w14:paraId="1734C525">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8.6 </w:t>
      </w:r>
      <w:r>
        <w:rPr>
          <w:rFonts w:hint="eastAsia" w:ascii="宋体" w:hAnsi="宋体" w:eastAsia="宋体" w:cs="宋体"/>
          <w:bCs/>
          <w:sz w:val="24"/>
        </w:rPr>
        <w:t>保密</w:t>
      </w:r>
    </w:p>
    <w:p w14:paraId="0639FF2D">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双方不得泄露对方申明的保密资料，亦不得泄露与实施工程有关的第三方所提供的保密资料，保密事项在专用条件中约定。</w:t>
      </w:r>
    </w:p>
    <w:p w14:paraId="0E15DE93">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8.7 </w:t>
      </w:r>
      <w:r>
        <w:rPr>
          <w:rFonts w:hint="eastAsia" w:ascii="宋体" w:hAnsi="宋体" w:eastAsia="宋体" w:cs="宋体"/>
          <w:bCs/>
          <w:sz w:val="24"/>
        </w:rPr>
        <w:t>通知</w:t>
      </w:r>
    </w:p>
    <w:p w14:paraId="34BCDA92">
      <w:pPr>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本合同涉及的通知均应当采用书面形式，并在送达对方时生效，收件人应书面签收。</w:t>
      </w:r>
    </w:p>
    <w:p w14:paraId="5B411EE3">
      <w:pPr>
        <w:snapToGrid w:val="0"/>
        <w:spacing w:line="360" w:lineRule="auto"/>
        <w:ind w:left="210" w:leftChars="100"/>
        <w:rPr>
          <w:rFonts w:ascii="宋体" w:hAnsi="宋体" w:eastAsia="宋体" w:cs="宋体"/>
          <w:bCs/>
          <w:sz w:val="24"/>
        </w:rPr>
      </w:pPr>
      <w:r>
        <w:rPr>
          <w:rFonts w:hint="eastAsia" w:ascii="宋体" w:hAnsi="宋体" w:eastAsia="宋体" w:cs="宋体"/>
          <w:sz w:val="24"/>
        </w:rPr>
        <w:t xml:space="preserve">8.8 </w:t>
      </w:r>
      <w:r>
        <w:rPr>
          <w:rFonts w:hint="eastAsia" w:ascii="宋体" w:hAnsi="宋体" w:eastAsia="宋体" w:cs="宋体"/>
          <w:bCs/>
          <w:sz w:val="24"/>
        </w:rPr>
        <w:t>著作权</w:t>
      </w:r>
    </w:p>
    <w:p w14:paraId="0EC48DF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监理人对其编制的文件拥有著作权。</w:t>
      </w:r>
    </w:p>
    <w:p w14:paraId="3421A27A">
      <w:pPr>
        <w:snapToGrid w:val="0"/>
        <w:spacing w:line="360" w:lineRule="auto"/>
        <w:ind w:firstLine="480" w:firstLineChars="200"/>
        <w:rPr>
          <w:rFonts w:ascii="宋体" w:hAnsi="宋体" w:eastAsia="宋体" w:cs="宋体"/>
          <w:sz w:val="30"/>
          <w:szCs w:val="30"/>
        </w:rPr>
      </w:pPr>
      <w:r>
        <w:rPr>
          <w:rFonts w:hint="eastAsia" w:ascii="宋体" w:hAnsi="宋体" w:eastAsia="宋体" w:cs="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8B3B7D5">
      <w:pPr>
        <w:widowControl/>
        <w:jc w:val="left"/>
        <w:rPr>
          <w:rFonts w:ascii="宋体" w:hAnsi="宋体" w:eastAsia="宋体" w:cs="宋体"/>
          <w:b/>
          <w:bCs/>
          <w:sz w:val="30"/>
          <w:szCs w:val="32"/>
        </w:rPr>
      </w:pPr>
      <w:r>
        <w:rPr>
          <w:rFonts w:hint="eastAsia" w:ascii="宋体" w:hAnsi="宋体" w:eastAsia="宋体" w:cs="宋体"/>
        </w:rPr>
        <w:br w:type="page"/>
      </w:r>
    </w:p>
    <w:p w14:paraId="0ED87C40">
      <w:pPr>
        <w:pStyle w:val="3"/>
        <w:jc w:val="center"/>
        <w:rPr>
          <w:rFonts w:ascii="宋体" w:hAnsi="宋体" w:eastAsia="宋体" w:cs="宋体"/>
        </w:rPr>
      </w:pPr>
      <w:bookmarkStart w:id="125" w:name="_Toc118466630"/>
      <w:r>
        <w:rPr>
          <w:rFonts w:hint="eastAsia" w:ascii="宋体" w:hAnsi="宋体" w:eastAsia="宋体" w:cs="宋体"/>
        </w:rPr>
        <w:t>第三部分 专用条件</w:t>
      </w:r>
      <w:bookmarkEnd w:id="125"/>
    </w:p>
    <w:p w14:paraId="1BE7D244">
      <w:pPr>
        <w:spacing w:line="360" w:lineRule="auto"/>
        <w:jc w:val="center"/>
        <w:rPr>
          <w:rFonts w:ascii="宋体" w:hAnsi="宋体" w:eastAsia="宋体" w:cs="宋体"/>
          <w:b/>
          <w:sz w:val="24"/>
        </w:rPr>
      </w:pPr>
    </w:p>
    <w:p w14:paraId="3ADFC024">
      <w:pPr>
        <w:adjustRightInd w:val="0"/>
        <w:snapToGrid w:val="0"/>
        <w:spacing w:line="360" w:lineRule="auto"/>
        <w:rPr>
          <w:rFonts w:ascii="宋体" w:hAnsi="宋体" w:eastAsia="宋体" w:cs="宋体"/>
          <w:b/>
          <w:sz w:val="24"/>
        </w:rPr>
      </w:pPr>
      <w:r>
        <w:rPr>
          <w:rFonts w:hint="eastAsia" w:ascii="宋体" w:hAnsi="宋体" w:eastAsia="宋体" w:cs="宋体"/>
          <w:b/>
          <w:sz w:val="24"/>
        </w:rPr>
        <w:t>1. 定义与解释</w:t>
      </w:r>
    </w:p>
    <w:p w14:paraId="18119263">
      <w:pPr>
        <w:adjustRightInd w:val="0"/>
        <w:snapToGrid w:val="0"/>
        <w:spacing w:line="360" w:lineRule="auto"/>
        <w:rPr>
          <w:rFonts w:ascii="宋体" w:hAnsi="宋体" w:eastAsia="宋体" w:cs="宋体"/>
          <w:sz w:val="24"/>
        </w:rPr>
      </w:pPr>
      <w:r>
        <w:rPr>
          <w:rFonts w:hint="eastAsia" w:ascii="宋体" w:hAnsi="宋体" w:eastAsia="宋体" w:cs="宋体"/>
          <w:sz w:val="24"/>
        </w:rPr>
        <w:t xml:space="preserve">  1.2  解释</w:t>
      </w:r>
    </w:p>
    <w:p w14:paraId="68C3BB5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1.2.1 本合同文件除使用中文外，还可用</w:t>
      </w:r>
      <w:r>
        <w:rPr>
          <w:rFonts w:hint="eastAsia" w:ascii="宋体" w:hAnsi="宋体" w:eastAsia="宋体" w:cs="宋体"/>
          <w:sz w:val="24"/>
          <w:u w:val="single"/>
        </w:rPr>
        <w:t xml:space="preserve">        </w:t>
      </w:r>
      <w:r>
        <w:rPr>
          <w:rFonts w:hint="eastAsia" w:ascii="宋体" w:hAnsi="宋体" w:eastAsia="宋体" w:cs="宋体"/>
          <w:sz w:val="24"/>
        </w:rPr>
        <w:t>。</w:t>
      </w:r>
    </w:p>
    <w:p w14:paraId="09651776">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约定本合同文件的解释顺序为：</w:t>
      </w:r>
      <w:r>
        <w:rPr>
          <w:rFonts w:hint="eastAsia" w:ascii="宋体" w:hAnsi="宋体" w:eastAsia="宋体" w:cs="宋体"/>
          <w:sz w:val="24"/>
          <w:u w:val="single"/>
        </w:rPr>
        <w:t xml:space="preserve">          </w:t>
      </w:r>
      <w:r>
        <w:rPr>
          <w:rFonts w:hint="eastAsia" w:ascii="宋体" w:hAnsi="宋体" w:eastAsia="宋体" w:cs="宋体"/>
          <w:sz w:val="24"/>
        </w:rPr>
        <w:t>。</w:t>
      </w:r>
    </w:p>
    <w:p w14:paraId="5299365B">
      <w:pPr>
        <w:adjustRightInd w:val="0"/>
        <w:snapToGrid w:val="0"/>
        <w:spacing w:line="360" w:lineRule="auto"/>
        <w:rPr>
          <w:rFonts w:ascii="宋体" w:hAnsi="宋体" w:eastAsia="宋体" w:cs="宋体"/>
          <w:b/>
          <w:sz w:val="24"/>
        </w:rPr>
      </w:pPr>
      <w:r>
        <w:rPr>
          <w:rFonts w:hint="eastAsia" w:ascii="宋体" w:hAnsi="宋体" w:eastAsia="宋体" w:cs="宋体"/>
          <w:b/>
          <w:sz w:val="24"/>
        </w:rPr>
        <w:t>2. 监理人义务</w:t>
      </w:r>
    </w:p>
    <w:p w14:paraId="47BA398F">
      <w:pPr>
        <w:adjustRightInd w:val="0"/>
        <w:snapToGrid w:val="0"/>
        <w:spacing w:line="360" w:lineRule="auto"/>
        <w:ind w:firstLine="235" w:firstLineChars="98"/>
        <w:rPr>
          <w:rFonts w:ascii="宋体" w:hAnsi="宋体" w:eastAsia="宋体" w:cs="宋体"/>
          <w:sz w:val="24"/>
        </w:rPr>
      </w:pPr>
      <w:r>
        <w:rPr>
          <w:rFonts w:hint="eastAsia" w:ascii="宋体" w:hAnsi="宋体" w:eastAsia="宋体" w:cs="宋体"/>
          <w:sz w:val="24"/>
        </w:rPr>
        <w:t>2.1 监理的范围和</w:t>
      </w:r>
      <w:r>
        <w:rPr>
          <w:rFonts w:hint="eastAsia" w:ascii="宋体" w:hAnsi="宋体" w:eastAsia="宋体" w:cs="宋体"/>
          <w:bCs/>
          <w:sz w:val="24"/>
        </w:rPr>
        <w:t>内容</w:t>
      </w:r>
    </w:p>
    <w:p w14:paraId="58E828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2.1.1 监理范围包括：</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836DDCA">
      <w:pPr>
        <w:adjustRightInd w:val="0"/>
        <w:snapToGrid w:val="0"/>
        <w:spacing w:line="360" w:lineRule="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0739FC54">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2.1.2 监理工作内容还包括：</w:t>
      </w:r>
      <w:r>
        <w:rPr>
          <w:rFonts w:hint="eastAsia" w:ascii="宋体" w:hAnsi="宋体" w:eastAsia="宋体" w:cs="宋体"/>
          <w:sz w:val="24"/>
          <w:u w:val="single"/>
        </w:rPr>
        <w:t xml:space="preserve">                                </w:t>
      </w:r>
    </w:p>
    <w:p w14:paraId="50D3BFDE">
      <w:pPr>
        <w:adjustRightInd w:val="0"/>
        <w:snapToGrid w:val="0"/>
        <w:spacing w:line="360" w:lineRule="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6D3C6910">
      <w:pPr>
        <w:spacing w:line="360" w:lineRule="auto"/>
        <w:ind w:firstLine="235" w:firstLineChars="98"/>
        <w:rPr>
          <w:rFonts w:ascii="宋体" w:hAnsi="宋体" w:eastAsia="宋体" w:cs="宋体"/>
          <w:sz w:val="24"/>
        </w:rPr>
      </w:pPr>
      <w:r>
        <w:rPr>
          <w:rFonts w:hint="eastAsia" w:ascii="宋体" w:hAnsi="宋体" w:eastAsia="宋体" w:cs="宋体"/>
          <w:sz w:val="24"/>
        </w:rPr>
        <w:t>2.2 监理与相关服务依据</w:t>
      </w:r>
    </w:p>
    <w:p w14:paraId="2171E5B7">
      <w:pPr>
        <w:spacing w:line="360" w:lineRule="auto"/>
        <w:ind w:firstLine="480" w:firstLineChars="200"/>
        <w:rPr>
          <w:rFonts w:ascii="宋体" w:hAnsi="宋体" w:eastAsia="宋体" w:cs="宋体"/>
          <w:sz w:val="24"/>
        </w:rPr>
      </w:pPr>
      <w:r>
        <w:rPr>
          <w:rFonts w:hint="eastAsia" w:ascii="宋体" w:hAnsi="宋体" w:eastAsia="宋体" w:cs="宋体"/>
          <w:sz w:val="24"/>
        </w:rPr>
        <w:t>2.2.1 监理依据包括：</w:t>
      </w:r>
      <w:r>
        <w:rPr>
          <w:rFonts w:hint="eastAsia" w:ascii="宋体" w:hAnsi="宋体" w:eastAsia="宋体" w:cs="宋体"/>
          <w:sz w:val="24"/>
          <w:u w:val="single"/>
        </w:rPr>
        <w:t xml:space="preserve">                                      </w:t>
      </w:r>
    </w:p>
    <w:p w14:paraId="6A9A279C">
      <w:pPr>
        <w:adjustRightInd w:val="0"/>
        <w:snapToGrid w:val="0"/>
        <w:spacing w:line="360" w:lineRule="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6F48CF8C">
      <w:pPr>
        <w:adjustRightInd w:val="0"/>
        <w:snapToGrid w:val="0"/>
        <w:spacing w:line="360" w:lineRule="auto"/>
        <w:ind w:firstLine="480" w:firstLineChars="200"/>
        <w:rPr>
          <w:rFonts w:ascii="宋体" w:hAnsi="宋体" w:eastAsia="宋体" w:cs="宋体"/>
          <w:dstrike/>
          <w:sz w:val="24"/>
        </w:rPr>
      </w:pPr>
      <w:r>
        <w:rPr>
          <w:rFonts w:hint="eastAsia" w:ascii="宋体" w:hAnsi="宋体" w:eastAsia="宋体" w:cs="宋体"/>
          <w:sz w:val="24"/>
        </w:rPr>
        <w:t>2.2.2 相关服务依据包括：</w:t>
      </w:r>
      <w:r>
        <w:rPr>
          <w:rFonts w:hint="eastAsia" w:ascii="宋体" w:hAnsi="宋体" w:eastAsia="宋体" w:cs="宋体"/>
          <w:sz w:val="24"/>
          <w:u w:val="single"/>
        </w:rPr>
        <w:t xml:space="preserve">                                </w:t>
      </w:r>
      <w:r>
        <w:rPr>
          <w:rFonts w:hint="eastAsia" w:ascii="宋体" w:hAnsi="宋体" w:eastAsia="宋体" w:cs="宋体"/>
          <w:sz w:val="24"/>
        </w:rPr>
        <w:t>。</w:t>
      </w:r>
    </w:p>
    <w:p w14:paraId="4C1C7CCD">
      <w:pPr>
        <w:spacing w:line="360" w:lineRule="auto"/>
        <w:rPr>
          <w:rFonts w:ascii="宋体" w:hAnsi="宋体" w:eastAsia="宋体" w:cs="宋体"/>
          <w:sz w:val="24"/>
        </w:rPr>
      </w:pPr>
      <w:r>
        <w:rPr>
          <w:rFonts w:hint="eastAsia" w:ascii="宋体" w:hAnsi="宋体" w:eastAsia="宋体" w:cs="宋体"/>
          <w:sz w:val="24"/>
        </w:rPr>
        <w:t xml:space="preserve">  2.3</w:t>
      </w:r>
      <w:r>
        <w:rPr>
          <w:rFonts w:hint="eastAsia" w:ascii="宋体" w:hAnsi="宋体" w:eastAsia="宋体" w:cs="宋体"/>
          <w:kern w:val="0"/>
          <w:sz w:val="24"/>
        </w:rPr>
        <w:t>项目监理机构和人员</w:t>
      </w:r>
    </w:p>
    <w:p w14:paraId="31EC3E7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2.3.4 </w:t>
      </w:r>
      <w:r>
        <w:rPr>
          <w:rFonts w:hint="eastAsia" w:ascii="宋体" w:hAnsi="宋体" w:eastAsia="宋体" w:cs="宋体"/>
          <w:kern w:val="0"/>
          <w:sz w:val="24"/>
        </w:rPr>
        <w:t>更换监理人员的其他情形：</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D30074A">
      <w:pPr>
        <w:spacing w:line="360" w:lineRule="auto"/>
        <w:ind w:firstLine="235" w:firstLineChars="98"/>
        <w:rPr>
          <w:rFonts w:ascii="宋体" w:hAnsi="宋体" w:eastAsia="宋体" w:cs="宋体"/>
          <w:sz w:val="24"/>
        </w:rPr>
      </w:pPr>
      <w:r>
        <w:rPr>
          <w:rFonts w:hint="eastAsia" w:ascii="宋体" w:hAnsi="宋体" w:eastAsia="宋体" w:cs="宋体"/>
          <w:sz w:val="24"/>
        </w:rPr>
        <w:t xml:space="preserve">2.4 </w:t>
      </w:r>
      <w:r>
        <w:rPr>
          <w:rFonts w:hint="eastAsia" w:ascii="宋体" w:hAnsi="宋体" w:eastAsia="宋体" w:cs="宋体"/>
          <w:kern w:val="0"/>
          <w:sz w:val="24"/>
        </w:rPr>
        <w:t>履行职责</w:t>
      </w:r>
    </w:p>
    <w:p w14:paraId="6429FC67">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2.4.3 对监理人的授权范围：</w:t>
      </w:r>
      <w:r>
        <w:rPr>
          <w:rFonts w:hint="eastAsia" w:ascii="宋体" w:hAnsi="宋体" w:eastAsia="宋体" w:cs="宋体"/>
          <w:sz w:val="24"/>
          <w:u w:val="single"/>
        </w:rPr>
        <w:t xml:space="preserve">                              </w:t>
      </w:r>
      <w:r>
        <w:rPr>
          <w:rFonts w:hint="eastAsia" w:ascii="宋体" w:hAnsi="宋体" w:eastAsia="宋体" w:cs="宋体"/>
          <w:sz w:val="24"/>
        </w:rPr>
        <w:t>。</w:t>
      </w:r>
    </w:p>
    <w:p w14:paraId="602EB6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在涉及工程延期      天内和（或）金额      万元内的变更，监理人不需请示委托人即可向承包人发布变更通知。</w:t>
      </w:r>
    </w:p>
    <w:p w14:paraId="213AA2AD">
      <w:pPr>
        <w:adjustRightInd w:val="0"/>
        <w:snapToGrid w:val="0"/>
        <w:spacing w:line="360" w:lineRule="auto"/>
        <w:ind w:firstLine="360" w:firstLineChars="150"/>
        <w:rPr>
          <w:rFonts w:ascii="宋体" w:hAnsi="宋体" w:eastAsia="宋体" w:cs="宋体"/>
          <w:sz w:val="24"/>
          <w:u w:val="single"/>
        </w:rPr>
      </w:pPr>
      <w:r>
        <w:rPr>
          <w:rFonts w:hint="eastAsia" w:ascii="宋体" w:hAnsi="宋体" w:eastAsia="宋体" w:cs="宋体"/>
          <w:kern w:val="0"/>
          <w:sz w:val="24"/>
        </w:rPr>
        <w:t>2.4.4 监理人有权要求承包人调换其人员</w:t>
      </w:r>
      <w:r>
        <w:rPr>
          <w:rFonts w:hint="eastAsia" w:ascii="宋体" w:hAnsi="宋体" w:eastAsia="宋体" w:cs="宋体"/>
          <w:sz w:val="24"/>
        </w:rPr>
        <w:t>的限制条件</w:t>
      </w:r>
      <w:r>
        <w:rPr>
          <w:rFonts w:hint="eastAsia" w:ascii="宋体" w:hAnsi="宋体" w:eastAsia="宋体" w:cs="宋体"/>
          <w:sz w:val="24"/>
          <w:u w:val="single"/>
        </w:rPr>
        <w:t xml:space="preserve">：           </w:t>
      </w:r>
    </w:p>
    <w:p w14:paraId="03A988AE">
      <w:pPr>
        <w:adjustRightInd w:val="0"/>
        <w:snapToGrid w:val="0"/>
        <w:spacing w:line="360" w:lineRule="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5033B994">
      <w:pPr>
        <w:adjustRightInd w:val="0"/>
        <w:snapToGrid w:val="0"/>
        <w:spacing w:line="360" w:lineRule="auto"/>
        <w:ind w:firstLine="120" w:firstLineChars="50"/>
        <w:rPr>
          <w:rFonts w:ascii="宋体" w:hAnsi="宋体" w:eastAsia="宋体" w:cs="宋体"/>
          <w:sz w:val="24"/>
        </w:rPr>
      </w:pPr>
      <w:r>
        <w:rPr>
          <w:rFonts w:hint="eastAsia" w:ascii="宋体" w:hAnsi="宋体" w:eastAsia="宋体" w:cs="宋体"/>
          <w:sz w:val="24"/>
        </w:rPr>
        <w:t>2.5 提交报告</w:t>
      </w:r>
    </w:p>
    <w:p w14:paraId="4FCB2869">
      <w:pPr>
        <w:adjustRightInd w:val="0"/>
        <w:snapToGrid w:val="0"/>
        <w:spacing w:line="360" w:lineRule="auto"/>
        <w:ind w:firstLine="525"/>
        <w:rPr>
          <w:rFonts w:ascii="宋体" w:hAnsi="宋体" w:eastAsia="宋体" w:cs="宋体"/>
          <w:kern w:val="0"/>
          <w:sz w:val="24"/>
          <w:u w:val="single"/>
        </w:rPr>
      </w:pPr>
      <w:r>
        <w:rPr>
          <w:rFonts w:hint="eastAsia" w:ascii="宋体" w:hAnsi="宋体" w:eastAsia="宋体" w:cs="宋体"/>
          <w:sz w:val="24"/>
        </w:rPr>
        <w:t>监理人应提交报告的种类(</w:t>
      </w:r>
      <w:r>
        <w:rPr>
          <w:rFonts w:hint="eastAsia" w:ascii="宋体" w:hAnsi="宋体" w:eastAsia="宋体" w:cs="宋体"/>
          <w:kern w:val="0"/>
          <w:sz w:val="24"/>
        </w:rPr>
        <w:t>包括监理规划、监理月报及约定的专项报告)</w:t>
      </w:r>
      <w:r>
        <w:rPr>
          <w:rFonts w:hint="eastAsia" w:ascii="宋体" w:hAnsi="宋体" w:eastAsia="宋体" w:cs="宋体"/>
          <w:sz w:val="24"/>
        </w:rPr>
        <w:t>、时间和份数</w:t>
      </w:r>
      <w:r>
        <w:rPr>
          <w:rFonts w:hint="eastAsia" w:ascii="宋体" w:hAnsi="宋体" w:eastAsia="宋体" w:cs="宋体"/>
          <w:kern w:val="0"/>
          <w:sz w:val="24"/>
        </w:rPr>
        <w:t>：</w:t>
      </w:r>
      <w:r>
        <w:rPr>
          <w:rFonts w:hint="eastAsia" w:ascii="宋体" w:hAnsi="宋体" w:eastAsia="宋体" w:cs="宋体"/>
          <w:kern w:val="0"/>
          <w:sz w:val="24"/>
          <w:u w:val="single"/>
        </w:rPr>
        <w:t xml:space="preserve">                                             </w:t>
      </w:r>
    </w:p>
    <w:p w14:paraId="4F41487B">
      <w:pPr>
        <w:adjustRightInd w:val="0"/>
        <w:snapToGrid w:val="0"/>
        <w:spacing w:line="360" w:lineRule="auto"/>
        <w:rPr>
          <w:rFonts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sz w:val="24"/>
        </w:rPr>
        <w:t>。</w:t>
      </w:r>
    </w:p>
    <w:p w14:paraId="45157E45">
      <w:pPr>
        <w:spacing w:line="360" w:lineRule="auto"/>
        <w:rPr>
          <w:rFonts w:ascii="宋体" w:hAnsi="宋体" w:eastAsia="宋体" w:cs="宋体"/>
          <w:kern w:val="0"/>
          <w:sz w:val="24"/>
        </w:rPr>
      </w:pPr>
      <w:r>
        <w:rPr>
          <w:rFonts w:hint="eastAsia" w:ascii="宋体" w:hAnsi="宋体" w:eastAsia="宋体" w:cs="宋体"/>
          <w:kern w:val="0"/>
          <w:sz w:val="24"/>
        </w:rPr>
        <w:t xml:space="preserve"> 2.7 使用委托人的财产</w:t>
      </w:r>
    </w:p>
    <w:p w14:paraId="52E2A6FB">
      <w:pPr>
        <w:spacing w:line="360" w:lineRule="auto"/>
        <w:ind w:firstLine="480" w:firstLineChars="200"/>
        <w:rPr>
          <w:rFonts w:ascii="宋体" w:hAnsi="宋体" w:eastAsia="宋体" w:cs="宋体"/>
          <w:kern w:val="0"/>
          <w:sz w:val="24"/>
        </w:rPr>
      </w:pPr>
      <w:r>
        <w:rPr>
          <w:rFonts w:hint="eastAsia" w:ascii="宋体" w:hAnsi="宋体" w:eastAsia="宋体" w:cs="宋体"/>
          <w:sz w:val="24"/>
        </w:rPr>
        <w:t>附录B中由委托人无偿提供的房屋、设备的所有权属于：</w:t>
      </w:r>
      <w:r>
        <w:rPr>
          <w:rFonts w:hint="eastAsia" w:ascii="宋体" w:hAnsi="宋体" w:eastAsia="宋体" w:cs="宋体"/>
          <w:sz w:val="24"/>
          <w:u w:val="single"/>
        </w:rPr>
        <w:t xml:space="preserve">                                            </w:t>
      </w:r>
      <w:r>
        <w:rPr>
          <w:rFonts w:hint="eastAsia" w:ascii="宋体" w:hAnsi="宋体" w:eastAsia="宋体" w:cs="宋体"/>
          <w:sz w:val="24"/>
        </w:rPr>
        <w:t>。</w:t>
      </w:r>
    </w:p>
    <w:p w14:paraId="579CF9CF">
      <w:pPr>
        <w:spacing w:line="360" w:lineRule="auto"/>
        <w:ind w:firstLine="480" w:firstLineChars="200"/>
        <w:rPr>
          <w:rFonts w:ascii="宋体" w:hAnsi="宋体" w:eastAsia="宋体" w:cs="宋体"/>
          <w:kern w:val="0"/>
          <w:sz w:val="24"/>
        </w:rPr>
      </w:pPr>
      <w:r>
        <w:rPr>
          <w:rFonts w:hint="eastAsia" w:ascii="宋体" w:hAnsi="宋体" w:eastAsia="宋体" w:cs="宋体"/>
          <w:sz w:val="24"/>
        </w:rPr>
        <w:t>监理人应在本合同终止后</w:t>
      </w:r>
      <w:r>
        <w:rPr>
          <w:rFonts w:hint="eastAsia" w:ascii="宋体" w:hAnsi="宋体" w:eastAsia="宋体" w:cs="宋体"/>
          <w:sz w:val="24"/>
          <w:u w:val="single"/>
        </w:rPr>
        <w:t xml:space="preserve">       </w:t>
      </w:r>
      <w:r>
        <w:rPr>
          <w:rFonts w:hint="eastAsia" w:ascii="宋体" w:hAnsi="宋体" w:eastAsia="宋体" w:cs="宋体"/>
          <w:sz w:val="24"/>
        </w:rPr>
        <w:t>天内移交委托人无偿提供的房屋、设备，移交的时间和方式为：</w:t>
      </w:r>
      <w:r>
        <w:rPr>
          <w:rFonts w:hint="eastAsia" w:ascii="宋体" w:hAnsi="宋体" w:eastAsia="宋体" w:cs="宋体"/>
          <w:sz w:val="24"/>
          <w:u w:val="single"/>
        </w:rPr>
        <w:t xml:space="preserve">                      </w:t>
      </w:r>
      <w:r>
        <w:rPr>
          <w:rFonts w:hint="eastAsia" w:ascii="宋体" w:hAnsi="宋体" w:eastAsia="宋体" w:cs="宋体"/>
          <w:sz w:val="24"/>
        </w:rPr>
        <w:t>。</w:t>
      </w:r>
    </w:p>
    <w:p w14:paraId="769FBA61">
      <w:pPr>
        <w:adjustRightInd w:val="0"/>
        <w:snapToGrid w:val="0"/>
        <w:spacing w:line="360" w:lineRule="auto"/>
        <w:rPr>
          <w:rFonts w:ascii="宋体" w:hAnsi="宋体" w:eastAsia="宋体" w:cs="宋体"/>
          <w:b/>
          <w:sz w:val="24"/>
        </w:rPr>
      </w:pPr>
      <w:r>
        <w:rPr>
          <w:rFonts w:hint="eastAsia" w:ascii="宋体" w:hAnsi="宋体" w:eastAsia="宋体" w:cs="宋体"/>
          <w:b/>
          <w:kern w:val="0"/>
          <w:sz w:val="24"/>
        </w:rPr>
        <w:t>3. 委托人义务</w:t>
      </w:r>
    </w:p>
    <w:p w14:paraId="2DD50089">
      <w:pPr>
        <w:snapToGrid w:val="0"/>
        <w:spacing w:line="360" w:lineRule="auto"/>
        <w:rPr>
          <w:rFonts w:ascii="宋体" w:hAnsi="宋体" w:eastAsia="宋体" w:cs="宋体"/>
          <w:sz w:val="24"/>
        </w:rPr>
      </w:pPr>
      <w:r>
        <w:rPr>
          <w:rFonts w:hint="eastAsia" w:ascii="宋体" w:hAnsi="宋体" w:eastAsia="宋体" w:cs="宋体"/>
          <w:kern w:val="0"/>
          <w:sz w:val="24"/>
        </w:rPr>
        <w:t>3.4 委托人代表</w:t>
      </w:r>
    </w:p>
    <w:p w14:paraId="1FCF358E">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委托人代表为：</w:t>
      </w:r>
      <w:r>
        <w:rPr>
          <w:rFonts w:hint="eastAsia" w:ascii="宋体" w:hAnsi="宋体" w:eastAsia="宋体" w:cs="宋体"/>
          <w:sz w:val="24"/>
          <w:u w:val="single"/>
        </w:rPr>
        <w:t xml:space="preserve">                                           </w:t>
      </w:r>
      <w:r>
        <w:rPr>
          <w:rFonts w:hint="eastAsia" w:ascii="宋体" w:hAnsi="宋体" w:eastAsia="宋体" w:cs="宋体"/>
          <w:sz w:val="24"/>
        </w:rPr>
        <w:t>。</w:t>
      </w:r>
    </w:p>
    <w:p w14:paraId="36827D0A">
      <w:pPr>
        <w:adjustRightInd w:val="0"/>
        <w:snapToGrid w:val="0"/>
        <w:spacing w:line="360" w:lineRule="auto"/>
        <w:ind w:firstLine="235" w:firstLineChars="98"/>
        <w:rPr>
          <w:rFonts w:ascii="宋体" w:hAnsi="宋体" w:eastAsia="宋体" w:cs="宋体"/>
          <w:kern w:val="0"/>
          <w:sz w:val="24"/>
        </w:rPr>
      </w:pPr>
      <w:r>
        <w:rPr>
          <w:rFonts w:hint="eastAsia" w:ascii="宋体" w:hAnsi="宋体" w:eastAsia="宋体" w:cs="宋体"/>
          <w:kern w:val="0"/>
          <w:sz w:val="24"/>
        </w:rPr>
        <w:t>3.6 答复</w:t>
      </w:r>
    </w:p>
    <w:p w14:paraId="738707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委托人同意在</w:t>
      </w:r>
      <w:r>
        <w:rPr>
          <w:rFonts w:hint="eastAsia" w:ascii="宋体" w:hAnsi="宋体" w:eastAsia="宋体" w:cs="宋体"/>
          <w:sz w:val="24"/>
          <w:u w:val="single"/>
        </w:rPr>
        <w:t xml:space="preserve">       </w:t>
      </w:r>
      <w:r>
        <w:rPr>
          <w:rFonts w:hint="eastAsia" w:ascii="宋体" w:hAnsi="宋体" w:eastAsia="宋体" w:cs="宋体"/>
          <w:sz w:val="24"/>
        </w:rPr>
        <w:t>天内，对监理人书面提交并要求做出决定的事宜给予书面答复。</w:t>
      </w:r>
    </w:p>
    <w:p w14:paraId="0BA59D48">
      <w:pPr>
        <w:snapToGrid w:val="0"/>
        <w:spacing w:line="360" w:lineRule="auto"/>
        <w:rPr>
          <w:rFonts w:ascii="宋体" w:hAnsi="宋体" w:eastAsia="宋体" w:cs="宋体"/>
          <w:b/>
          <w:bCs/>
          <w:sz w:val="24"/>
        </w:rPr>
      </w:pPr>
      <w:r>
        <w:rPr>
          <w:rFonts w:hint="eastAsia" w:ascii="宋体" w:hAnsi="宋体" w:eastAsia="宋体" w:cs="宋体"/>
          <w:b/>
          <w:bCs/>
          <w:sz w:val="24"/>
        </w:rPr>
        <w:t>4. 违约责任</w:t>
      </w:r>
    </w:p>
    <w:p w14:paraId="3BF4E2DE">
      <w:pPr>
        <w:spacing w:line="360" w:lineRule="auto"/>
        <w:ind w:left="210" w:leftChars="100"/>
        <w:rPr>
          <w:rFonts w:ascii="宋体" w:hAnsi="宋体" w:eastAsia="宋体" w:cs="宋体"/>
          <w:kern w:val="0"/>
          <w:sz w:val="24"/>
        </w:rPr>
      </w:pPr>
      <w:r>
        <w:rPr>
          <w:rFonts w:hint="eastAsia" w:ascii="宋体" w:hAnsi="宋体" w:eastAsia="宋体" w:cs="宋体"/>
          <w:kern w:val="0"/>
          <w:sz w:val="24"/>
        </w:rPr>
        <w:t>4.1 监理人的违约责任</w:t>
      </w:r>
    </w:p>
    <w:p w14:paraId="002E280F">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4.1.1监理人赔偿金额按下列方法确定：</w:t>
      </w:r>
    </w:p>
    <w:p w14:paraId="4C8D35AC">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赔偿金＝直接经济损失×正常工作酬金÷工程概算</w:t>
      </w:r>
      <w:r>
        <w:rPr>
          <w:rFonts w:hint="eastAsia" w:ascii="宋体" w:hAnsi="宋体" w:eastAsia="宋体" w:cs="宋体"/>
          <w:kern w:val="0"/>
          <w:sz w:val="24"/>
        </w:rPr>
        <w:t>投资额（或建筑安装工程费）。上述赔偿金无法覆盖委托人全部损失时，监理人应赔偿委托人全部实际损失，包括但不限于委托人用于实现债权的费用（诉讼费、交通费、差旅费等）</w:t>
      </w:r>
    </w:p>
    <w:p w14:paraId="6D45EBEA">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4.1.2如监理人违反合同约定，应当向委托人支付合同总金额   %的违约金。</w:t>
      </w:r>
    </w:p>
    <w:p w14:paraId="22469E2E">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4.1.3如监理人收到委托人整改通知后，未按照委托人要求的时间整改完毕或者在合同履行过程中累计违约次数超过   次，委托人有权解除合同并要求监理人承担合同总金额    %的违约金。合同解除后，双方就监理人已完工作量据实结算。</w:t>
      </w:r>
    </w:p>
    <w:p w14:paraId="222AC2D7">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4.1.4监理人员出勤率较低（出勤率较低的衡量标准为：监理人员的总出勤率低于80%），未按业主方指令进行改正的，每次扣除    元违约金。</w:t>
      </w:r>
    </w:p>
    <w:p w14:paraId="520468A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4.1.5在工程实施期间未经发包人批准，监理人员缺员30%以上或者监理进场车辆、办公、试验检测设备30%以上撤离现场。委托人有权单方解除本合同，自解除合同通知送达监理人时发生解除效力。</w:t>
      </w:r>
    </w:p>
    <w:p w14:paraId="357F3E97">
      <w:pPr>
        <w:snapToGrid w:val="0"/>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4.2 委托人的违约责任</w:t>
      </w:r>
    </w:p>
    <w:p w14:paraId="74547D8B">
      <w:pPr>
        <w:spacing w:line="360" w:lineRule="auto"/>
        <w:ind w:firstLine="480" w:firstLineChars="200"/>
        <w:rPr>
          <w:rFonts w:ascii="宋体" w:hAnsi="宋体" w:eastAsia="宋体" w:cs="宋体"/>
          <w:kern w:val="0"/>
          <w:sz w:val="24"/>
        </w:rPr>
      </w:pPr>
      <w:r>
        <w:rPr>
          <w:rFonts w:hint="eastAsia" w:ascii="宋体" w:hAnsi="宋体" w:eastAsia="宋体" w:cs="宋体"/>
          <w:sz w:val="24"/>
        </w:rPr>
        <w:t>4.2.3 委托人</w:t>
      </w:r>
      <w:r>
        <w:rPr>
          <w:rFonts w:hint="eastAsia" w:ascii="宋体" w:hAnsi="宋体" w:eastAsia="宋体" w:cs="宋体"/>
          <w:kern w:val="0"/>
          <w:sz w:val="24"/>
        </w:rPr>
        <w:t>逾期付款利息按下列方法确定：</w:t>
      </w:r>
    </w:p>
    <w:p w14:paraId="3DAD225F">
      <w:pPr>
        <w:spacing w:line="360" w:lineRule="auto"/>
        <w:ind w:firstLine="480" w:firstLineChars="200"/>
        <w:rPr>
          <w:rFonts w:ascii="宋体" w:hAnsi="宋体" w:eastAsia="宋体" w:cs="宋体"/>
          <w:sz w:val="24"/>
        </w:rPr>
      </w:pPr>
      <w:r>
        <w:rPr>
          <w:rFonts w:hint="eastAsia" w:ascii="宋体" w:hAnsi="宋体" w:eastAsia="宋体" w:cs="宋体"/>
          <w:sz w:val="24"/>
        </w:rPr>
        <w:t>逾期付款利息＝当期应付款总额×市场贷款报价利率LPR</w:t>
      </w:r>
      <w:r>
        <w:rPr>
          <w:rFonts w:hint="eastAsia" w:ascii="宋体" w:hAnsi="宋体" w:eastAsia="宋体" w:cs="宋体"/>
          <w:sz w:val="24"/>
          <w:lang w:eastAsia="zh-CN"/>
        </w:rPr>
        <w:t>（</w:t>
      </w:r>
      <w:r>
        <w:rPr>
          <w:rFonts w:hint="eastAsia" w:ascii="宋体" w:hAnsi="宋体" w:eastAsia="宋体" w:cs="宋体"/>
          <w:sz w:val="24"/>
          <w:lang w:val="en-US" w:eastAsia="zh-CN"/>
        </w:rPr>
        <w:t>一倍</w:t>
      </w:r>
      <w:r>
        <w:rPr>
          <w:rFonts w:hint="eastAsia" w:ascii="宋体" w:hAnsi="宋体" w:eastAsia="宋体" w:cs="宋体"/>
          <w:sz w:val="24"/>
          <w:lang w:eastAsia="zh-CN"/>
        </w:rPr>
        <w:t>）</w:t>
      </w:r>
      <w:r>
        <w:rPr>
          <w:rFonts w:hint="eastAsia" w:ascii="宋体" w:hAnsi="宋体" w:eastAsia="宋体" w:cs="宋体"/>
          <w:sz w:val="24"/>
        </w:rPr>
        <w:t>×拖延支付天数</w:t>
      </w:r>
    </w:p>
    <w:p w14:paraId="1EC4639E">
      <w:pPr>
        <w:snapToGrid w:val="0"/>
        <w:spacing w:line="360" w:lineRule="auto"/>
        <w:rPr>
          <w:rFonts w:ascii="宋体" w:hAnsi="宋体" w:eastAsia="宋体" w:cs="宋体"/>
          <w:b/>
          <w:sz w:val="24"/>
        </w:rPr>
      </w:pPr>
      <w:r>
        <w:rPr>
          <w:rFonts w:hint="eastAsia" w:ascii="宋体" w:hAnsi="宋体" w:eastAsia="宋体" w:cs="宋体"/>
          <w:b/>
          <w:bCs/>
          <w:sz w:val="24"/>
        </w:rPr>
        <w:t>5. 支付</w:t>
      </w:r>
    </w:p>
    <w:p w14:paraId="7A9BCEA3">
      <w:pPr>
        <w:snapToGrid w:val="0"/>
        <w:spacing w:line="360" w:lineRule="auto"/>
        <w:rPr>
          <w:rFonts w:ascii="宋体" w:hAnsi="宋体" w:eastAsia="宋体" w:cs="宋体"/>
          <w:bCs/>
          <w:sz w:val="24"/>
        </w:rPr>
      </w:pPr>
      <w:r>
        <w:rPr>
          <w:rFonts w:hint="eastAsia" w:ascii="宋体" w:hAnsi="宋体" w:eastAsia="宋体" w:cs="宋体"/>
          <w:sz w:val="24"/>
        </w:rPr>
        <w:t xml:space="preserve">  5.1 </w:t>
      </w:r>
      <w:r>
        <w:rPr>
          <w:rFonts w:hint="eastAsia" w:ascii="宋体" w:hAnsi="宋体" w:eastAsia="宋体" w:cs="宋体"/>
          <w:bCs/>
          <w:sz w:val="24"/>
        </w:rPr>
        <w:t>支付货币</w:t>
      </w:r>
    </w:p>
    <w:p w14:paraId="219B68A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币种为：</w:t>
      </w:r>
      <w:r>
        <w:rPr>
          <w:rFonts w:hint="eastAsia" w:ascii="宋体" w:hAnsi="宋体" w:eastAsia="宋体" w:cs="宋体"/>
          <w:b/>
          <w:sz w:val="24"/>
          <w:u w:val="single"/>
        </w:rPr>
        <w:t xml:space="preserve">       </w:t>
      </w:r>
      <w:r>
        <w:rPr>
          <w:rFonts w:hint="eastAsia" w:ascii="宋体" w:hAnsi="宋体" w:eastAsia="宋体" w:cs="宋体"/>
          <w:sz w:val="24"/>
        </w:rPr>
        <w:t>，比例为：</w:t>
      </w:r>
      <w:r>
        <w:rPr>
          <w:rFonts w:hint="eastAsia" w:ascii="宋体" w:hAnsi="宋体" w:eastAsia="宋体" w:cs="宋体"/>
          <w:sz w:val="24"/>
          <w:u w:val="single"/>
        </w:rPr>
        <w:t xml:space="preserve">        </w:t>
      </w:r>
      <w:r>
        <w:rPr>
          <w:rFonts w:hint="eastAsia" w:ascii="宋体" w:hAnsi="宋体" w:eastAsia="宋体" w:cs="宋体"/>
          <w:sz w:val="24"/>
        </w:rPr>
        <w:t>，汇率为：</w:t>
      </w:r>
      <w:r>
        <w:rPr>
          <w:rFonts w:hint="eastAsia" w:ascii="宋体" w:hAnsi="宋体" w:eastAsia="宋体" w:cs="宋体"/>
          <w:sz w:val="24"/>
          <w:u w:val="single"/>
        </w:rPr>
        <w:t xml:space="preserve">        </w:t>
      </w:r>
      <w:r>
        <w:rPr>
          <w:rFonts w:hint="eastAsia" w:ascii="宋体" w:hAnsi="宋体" w:eastAsia="宋体" w:cs="宋体"/>
          <w:sz w:val="24"/>
        </w:rPr>
        <w:t>。</w:t>
      </w:r>
    </w:p>
    <w:p w14:paraId="51BB2CA6">
      <w:pPr>
        <w:snapToGrid w:val="0"/>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5.3 支付酬金</w:t>
      </w:r>
    </w:p>
    <w:p w14:paraId="4056D2F2">
      <w:pPr>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正常工作</w:t>
      </w:r>
      <w:r>
        <w:rPr>
          <w:rFonts w:hint="eastAsia" w:ascii="宋体" w:hAnsi="宋体" w:eastAsia="宋体" w:cs="宋体"/>
          <w:sz w:val="24"/>
        </w:rPr>
        <w:t>酬金的</w:t>
      </w:r>
      <w:r>
        <w:rPr>
          <w:rFonts w:hint="eastAsia" w:ascii="宋体" w:hAnsi="宋体" w:eastAsia="宋体" w:cs="宋体"/>
          <w:kern w:val="0"/>
          <w:sz w:val="24"/>
        </w:rPr>
        <w:t>支付</w:t>
      </w:r>
      <w:r>
        <w:rPr>
          <w:rFonts w:hint="eastAsia" w:ascii="宋体" w:hAnsi="宋体" w:eastAsia="宋体" w:cs="宋体"/>
          <w:sz w:val="24"/>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353"/>
        <w:gridCol w:w="1725"/>
        <w:gridCol w:w="3137"/>
      </w:tblGrid>
      <w:tr w14:paraId="4A99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5" w:type="dxa"/>
            <w:noWrap w:val="0"/>
            <w:vAlign w:val="center"/>
          </w:tcPr>
          <w:p w14:paraId="3F6F1A53">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支付次数</w:t>
            </w:r>
          </w:p>
        </w:tc>
        <w:tc>
          <w:tcPr>
            <w:tcW w:w="2353" w:type="dxa"/>
            <w:noWrap w:val="0"/>
            <w:vAlign w:val="center"/>
          </w:tcPr>
          <w:p w14:paraId="47D7F2A2">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支付时间</w:t>
            </w:r>
          </w:p>
        </w:tc>
        <w:tc>
          <w:tcPr>
            <w:tcW w:w="1725" w:type="dxa"/>
            <w:noWrap w:val="0"/>
            <w:vAlign w:val="top"/>
          </w:tcPr>
          <w:p w14:paraId="0DD0CA59">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支付比例</w:t>
            </w:r>
          </w:p>
        </w:tc>
        <w:tc>
          <w:tcPr>
            <w:tcW w:w="3137" w:type="dxa"/>
            <w:noWrap w:val="0"/>
            <w:vAlign w:val="center"/>
          </w:tcPr>
          <w:p w14:paraId="711B5A46">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支付金额（万元）</w:t>
            </w:r>
          </w:p>
        </w:tc>
      </w:tr>
      <w:tr w14:paraId="4659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25" w:type="dxa"/>
            <w:noWrap w:val="0"/>
            <w:vAlign w:val="top"/>
          </w:tcPr>
          <w:p w14:paraId="4817D500">
            <w:pPr>
              <w:keepNext w:val="0"/>
              <w:keepLines w:val="0"/>
              <w:suppressLineNumbers w:val="0"/>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首付款</w:t>
            </w:r>
          </w:p>
        </w:tc>
        <w:tc>
          <w:tcPr>
            <w:tcW w:w="2353" w:type="dxa"/>
            <w:noWrap w:val="0"/>
            <w:vAlign w:val="top"/>
          </w:tcPr>
          <w:p w14:paraId="56775683">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 xml:space="preserve"> </w:t>
            </w:r>
          </w:p>
        </w:tc>
        <w:tc>
          <w:tcPr>
            <w:tcW w:w="1725" w:type="dxa"/>
            <w:noWrap w:val="0"/>
            <w:vAlign w:val="top"/>
          </w:tcPr>
          <w:p w14:paraId="32ED5A40">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c>
          <w:tcPr>
            <w:tcW w:w="3137" w:type="dxa"/>
            <w:noWrap w:val="0"/>
            <w:vAlign w:val="top"/>
          </w:tcPr>
          <w:p w14:paraId="55D26FAF">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r>
      <w:tr w14:paraId="2544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25" w:type="dxa"/>
            <w:noWrap w:val="0"/>
            <w:vAlign w:val="top"/>
          </w:tcPr>
          <w:p w14:paraId="12F29D54">
            <w:pPr>
              <w:keepNext w:val="0"/>
              <w:keepLines w:val="0"/>
              <w:suppressLineNumbers w:val="0"/>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第二次付款</w:t>
            </w:r>
          </w:p>
        </w:tc>
        <w:tc>
          <w:tcPr>
            <w:tcW w:w="2353" w:type="dxa"/>
            <w:noWrap w:val="0"/>
            <w:vAlign w:val="top"/>
          </w:tcPr>
          <w:p w14:paraId="092E4FE2">
            <w:pPr>
              <w:keepNext w:val="0"/>
              <w:keepLines w:val="0"/>
              <w:suppressLineNumbers w:val="0"/>
              <w:spacing w:before="0" w:beforeAutospacing="0" w:after="0" w:afterAutospacing="0" w:line="360" w:lineRule="auto"/>
              <w:ind w:left="0" w:right="0" w:firstLine="360" w:firstLineChars="150"/>
              <w:rPr>
                <w:rFonts w:hint="default" w:ascii="宋体" w:hAnsi="宋体" w:eastAsia="宋体" w:cs="宋体"/>
                <w:sz w:val="24"/>
              </w:rPr>
            </w:pPr>
          </w:p>
        </w:tc>
        <w:tc>
          <w:tcPr>
            <w:tcW w:w="1725" w:type="dxa"/>
            <w:noWrap w:val="0"/>
            <w:vAlign w:val="top"/>
          </w:tcPr>
          <w:p w14:paraId="1A232A49">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c>
          <w:tcPr>
            <w:tcW w:w="3137" w:type="dxa"/>
            <w:noWrap w:val="0"/>
            <w:vAlign w:val="top"/>
          </w:tcPr>
          <w:p w14:paraId="4F0934E7">
            <w:pPr>
              <w:keepNext w:val="0"/>
              <w:keepLines w:val="0"/>
              <w:suppressLineNumbers w:val="0"/>
              <w:spacing w:before="0" w:beforeAutospacing="0" w:after="0" w:afterAutospacing="0" w:line="360" w:lineRule="auto"/>
              <w:ind w:left="0" w:right="0" w:firstLine="840" w:firstLineChars="350"/>
              <w:rPr>
                <w:rFonts w:hint="default" w:ascii="宋体" w:hAnsi="宋体" w:eastAsia="宋体" w:cs="宋体"/>
                <w:sz w:val="24"/>
              </w:rPr>
            </w:pPr>
          </w:p>
        </w:tc>
      </w:tr>
      <w:tr w14:paraId="2597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25" w:type="dxa"/>
            <w:noWrap w:val="0"/>
            <w:vAlign w:val="top"/>
          </w:tcPr>
          <w:p w14:paraId="7E8A9771">
            <w:pPr>
              <w:keepNext w:val="0"/>
              <w:keepLines w:val="0"/>
              <w:suppressLineNumbers w:val="0"/>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第三次付款</w:t>
            </w:r>
          </w:p>
        </w:tc>
        <w:tc>
          <w:tcPr>
            <w:tcW w:w="2353" w:type="dxa"/>
            <w:noWrap w:val="0"/>
            <w:vAlign w:val="top"/>
          </w:tcPr>
          <w:p w14:paraId="150B2FF4">
            <w:pPr>
              <w:keepNext w:val="0"/>
              <w:keepLines w:val="0"/>
              <w:suppressLineNumbers w:val="0"/>
              <w:spacing w:before="0" w:beforeAutospacing="0" w:after="0" w:afterAutospacing="0" w:line="360" w:lineRule="auto"/>
              <w:ind w:left="0" w:right="0" w:firstLine="360" w:firstLineChars="150"/>
              <w:rPr>
                <w:rFonts w:hint="default" w:ascii="宋体" w:hAnsi="宋体" w:eastAsia="宋体" w:cs="宋体"/>
                <w:sz w:val="24"/>
              </w:rPr>
            </w:pPr>
          </w:p>
        </w:tc>
        <w:tc>
          <w:tcPr>
            <w:tcW w:w="1725" w:type="dxa"/>
            <w:noWrap w:val="0"/>
            <w:vAlign w:val="top"/>
          </w:tcPr>
          <w:p w14:paraId="49E51BE8">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c>
          <w:tcPr>
            <w:tcW w:w="3137" w:type="dxa"/>
            <w:noWrap w:val="0"/>
            <w:vAlign w:val="top"/>
          </w:tcPr>
          <w:p w14:paraId="21367628">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r>
      <w:tr w14:paraId="62F8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25" w:type="dxa"/>
            <w:noWrap w:val="0"/>
            <w:vAlign w:val="top"/>
          </w:tcPr>
          <w:p w14:paraId="1D658FD9">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eastAsia" w:ascii="宋体" w:hAnsi="宋体" w:eastAsia="宋体" w:cs="宋体"/>
                <w:sz w:val="24"/>
              </w:rPr>
              <w:t>……</w:t>
            </w:r>
          </w:p>
        </w:tc>
        <w:tc>
          <w:tcPr>
            <w:tcW w:w="2353" w:type="dxa"/>
            <w:noWrap w:val="0"/>
            <w:vAlign w:val="top"/>
          </w:tcPr>
          <w:p w14:paraId="5482D5CA">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c>
          <w:tcPr>
            <w:tcW w:w="1725" w:type="dxa"/>
            <w:noWrap w:val="0"/>
            <w:vAlign w:val="top"/>
          </w:tcPr>
          <w:p w14:paraId="76F0B051">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c>
          <w:tcPr>
            <w:tcW w:w="3137" w:type="dxa"/>
            <w:noWrap w:val="0"/>
            <w:vAlign w:val="top"/>
          </w:tcPr>
          <w:p w14:paraId="21BBA115">
            <w:pPr>
              <w:keepNext w:val="0"/>
              <w:keepLines w:val="0"/>
              <w:suppressLineNumbers w:val="0"/>
              <w:spacing w:before="0" w:beforeAutospacing="0" w:after="0" w:afterAutospacing="0" w:line="360" w:lineRule="auto"/>
              <w:ind w:left="0" w:right="0"/>
              <w:rPr>
                <w:rFonts w:hint="default" w:ascii="宋体" w:hAnsi="宋体" w:eastAsia="宋体" w:cs="宋体"/>
                <w:sz w:val="24"/>
              </w:rPr>
            </w:pPr>
          </w:p>
        </w:tc>
      </w:tr>
      <w:tr w14:paraId="023A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25" w:type="dxa"/>
            <w:noWrap w:val="0"/>
            <w:vAlign w:val="top"/>
          </w:tcPr>
          <w:p w14:paraId="793D94F9">
            <w:pPr>
              <w:keepNext w:val="0"/>
              <w:keepLines w:val="0"/>
              <w:suppressLineNumbers w:val="0"/>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最后付款</w:t>
            </w:r>
          </w:p>
        </w:tc>
        <w:tc>
          <w:tcPr>
            <w:tcW w:w="2353" w:type="dxa"/>
            <w:noWrap w:val="0"/>
            <w:vAlign w:val="top"/>
          </w:tcPr>
          <w:p w14:paraId="635DD319">
            <w:pPr>
              <w:keepNext w:val="0"/>
              <w:keepLines w:val="0"/>
              <w:suppressLineNumbers w:val="0"/>
              <w:spacing w:before="0" w:beforeAutospacing="0" w:after="0" w:afterAutospacing="0" w:line="360" w:lineRule="auto"/>
              <w:ind w:left="0" w:right="0"/>
              <w:rPr>
                <w:rFonts w:hint="default" w:ascii="宋体" w:hAnsi="宋体" w:eastAsia="宋体" w:cs="宋体"/>
                <w:sz w:val="24"/>
              </w:rPr>
            </w:pPr>
            <w:r>
              <w:rPr>
                <w:rFonts w:hint="eastAsia" w:ascii="宋体" w:hAnsi="宋体" w:eastAsia="宋体" w:cs="宋体"/>
                <w:sz w:val="24"/>
              </w:rPr>
              <w:t xml:space="preserve"> </w:t>
            </w:r>
          </w:p>
        </w:tc>
        <w:tc>
          <w:tcPr>
            <w:tcW w:w="1725" w:type="dxa"/>
            <w:noWrap w:val="0"/>
            <w:vAlign w:val="top"/>
          </w:tcPr>
          <w:p w14:paraId="3C20751D">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p>
        </w:tc>
        <w:tc>
          <w:tcPr>
            <w:tcW w:w="3137" w:type="dxa"/>
            <w:noWrap w:val="0"/>
            <w:vAlign w:val="top"/>
          </w:tcPr>
          <w:p w14:paraId="41002CBD">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p>
        </w:tc>
      </w:tr>
    </w:tbl>
    <w:p w14:paraId="44312EE9">
      <w:pPr>
        <w:snapToGrid w:val="0"/>
        <w:spacing w:line="360" w:lineRule="auto"/>
        <w:rPr>
          <w:rFonts w:hint="eastAsia" w:ascii="宋体" w:hAnsi="宋体" w:eastAsia="宋体" w:cs="宋体"/>
          <w:bCs/>
          <w:color w:val="0D0D0D" w:themeColor="text1" w:themeTint="F2"/>
          <w:sz w:val="24"/>
          <w14:textFill>
            <w14:solidFill>
              <w14:schemeClr w14:val="tx1">
                <w14:lumMod w14:val="95000"/>
                <w14:lumOff w14:val="5000"/>
              </w14:schemeClr>
            </w14:solidFill>
          </w14:textFill>
        </w:rPr>
      </w:pPr>
      <w:r>
        <w:rPr>
          <w:rFonts w:hint="eastAsia" w:ascii="宋体" w:hAnsi="宋体" w:cs="宋体"/>
          <w:bCs/>
          <w:color w:val="0D0D0D" w:themeColor="text1" w:themeTint="F2"/>
          <w:sz w:val="24"/>
          <w:lang w:val="en-US" w:eastAsia="zh-CN"/>
          <w14:textFill>
            <w14:solidFill>
              <w14:schemeClr w14:val="tx1">
                <w14:lumMod w14:val="95000"/>
                <w14:lumOff w14:val="5000"/>
              </w14:schemeClr>
            </w14:solidFill>
          </w14:textFill>
        </w:rPr>
        <w:t>委托人付款前，</w:t>
      </w:r>
      <w:r>
        <w:rPr>
          <w:rFonts w:hint="eastAsia" w:ascii="宋体" w:hAnsi="宋体" w:eastAsia="宋体" w:cs="宋体"/>
          <w:bCs/>
          <w:color w:val="0D0D0D" w:themeColor="text1" w:themeTint="F2"/>
          <w:sz w:val="24"/>
          <w14:textFill>
            <w14:solidFill>
              <w14:schemeClr w14:val="tx1">
                <w14:lumMod w14:val="95000"/>
                <w14:lumOff w14:val="5000"/>
              </w14:schemeClr>
            </w14:solidFill>
          </w14:textFill>
        </w:rPr>
        <w:t>监理人</w:t>
      </w:r>
      <w:r>
        <w:rPr>
          <w:rFonts w:hint="eastAsia" w:ascii="宋体" w:hAnsi="宋体" w:cs="宋体"/>
          <w:bCs/>
          <w:color w:val="0D0D0D" w:themeColor="text1" w:themeTint="F2"/>
          <w:sz w:val="24"/>
          <w:lang w:val="en-US" w:eastAsia="zh-CN"/>
          <w14:textFill>
            <w14:solidFill>
              <w14:schemeClr w14:val="tx1">
                <w14:lumMod w14:val="95000"/>
                <w14:lumOff w14:val="5000"/>
              </w14:schemeClr>
            </w14:solidFill>
          </w14:textFill>
        </w:rPr>
        <w:t>应先</w:t>
      </w:r>
      <w:r>
        <w:rPr>
          <w:rFonts w:hint="eastAsia" w:ascii="宋体" w:hAnsi="宋体" w:eastAsia="宋体" w:cs="宋体"/>
          <w:bCs/>
          <w:color w:val="0D0D0D" w:themeColor="text1" w:themeTint="F2"/>
          <w:sz w:val="24"/>
          <w14:textFill>
            <w14:solidFill>
              <w14:schemeClr w14:val="tx1">
                <w14:lumMod w14:val="95000"/>
                <w14:lumOff w14:val="5000"/>
              </w14:schemeClr>
            </w14:solidFill>
          </w14:textFill>
        </w:rPr>
        <w:t>开具等额合规</w:t>
      </w:r>
      <w:r>
        <w:rPr>
          <w:rFonts w:hint="eastAsia" w:ascii="宋体" w:hAnsi="宋体" w:eastAsia="宋体" w:cs="宋体"/>
          <w:bCs/>
          <w:color w:val="0D0D0D" w:themeColor="text1" w:themeTint="F2"/>
          <w:sz w:val="24"/>
          <w:lang w:eastAsia="zh-CN"/>
          <w14:textFill>
            <w14:solidFill>
              <w14:schemeClr w14:val="tx1">
                <w14:lumMod w14:val="95000"/>
                <w14:lumOff w14:val="5000"/>
              </w14:schemeClr>
            </w14:solidFill>
          </w14:textFill>
        </w:rPr>
        <w:t>的</w:t>
      </w:r>
      <w:r>
        <w:rPr>
          <w:rFonts w:hint="eastAsia" w:ascii="宋体" w:hAnsi="宋体" w:eastAsia="宋体" w:cs="宋体"/>
          <w:bCs/>
          <w:color w:val="0D0D0D" w:themeColor="text1" w:themeTint="F2"/>
          <w:sz w:val="24"/>
          <w14:textFill>
            <w14:solidFill>
              <w14:schemeClr w14:val="tx1">
                <w14:lumMod w14:val="95000"/>
                <w14:lumOff w14:val="5000"/>
              </w14:schemeClr>
            </w14:solidFill>
          </w14:textFill>
        </w:rPr>
        <w:t>发票，否则委托人有权拒绝付款，并不承担逾期付款违约责任。</w:t>
      </w:r>
    </w:p>
    <w:p w14:paraId="1CC24AEA">
      <w:pPr>
        <w:snapToGrid w:val="0"/>
        <w:spacing w:line="360" w:lineRule="auto"/>
        <w:rPr>
          <w:rFonts w:ascii="宋体" w:hAnsi="宋体" w:eastAsia="宋体" w:cs="宋体"/>
          <w:b/>
          <w:bCs/>
          <w:sz w:val="24"/>
        </w:rPr>
      </w:pPr>
      <w:r>
        <w:rPr>
          <w:rFonts w:hint="eastAsia" w:ascii="宋体" w:hAnsi="宋体" w:eastAsia="宋体" w:cs="宋体"/>
          <w:bCs/>
          <w:sz w:val="24"/>
        </w:rPr>
        <w:t>6</w:t>
      </w:r>
      <w:r>
        <w:rPr>
          <w:rFonts w:hint="eastAsia" w:ascii="宋体" w:hAnsi="宋体" w:eastAsia="宋体" w:cs="宋体"/>
          <w:b/>
          <w:bCs/>
          <w:sz w:val="24"/>
        </w:rPr>
        <w:t>. 合同生效、变更、暂停、解除与终止</w:t>
      </w:r>
    </w:p>
    <w:p w14:paraId="4D1D7411">
      <w:pPr>
        <w:adjustRightInd w:val="0"/>
        <w:snapToGrid w:val="0"/>
        <w:spacing w:line="360" w:lineRule="auto"/>
        <w:ind w:firstLine="240" w:firstLineChars="100"/>
        <w:rPr>
          <w:rFonts w:ascii="宋体" w:hAnsi="宋体" w:eastAsia="宋体" w:cs="宋体"/>
          <w:sz w:val="24"/>
        </w:rPr>
      </w:pPr>
      <w:r>
        <w:rPr>
          <w:rFonts w:hint="eastAsia" w:ascii="宋体" w:hAnsi="宋体" w:eastAsia="宋体" w:cs="宋体"/>
          <w:sz w:val="24"/>
        </w:rPr>
        <w:t>6.1 生效</w:t>
      </w:r>
    </w:p>
    <w:p w14:paraId="0B46ED63">
      <w:pPr>
        <w:adjustRightInd w:val="0"/>
        <w:snapToGrid w:val="0"/>
        <w:spacing w:line="360" w:lineRule="auto"/>
        <w:ind w:firstLine="480"/>
        <w:rPr>
          <w:rFonts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sz w:val="24"/>
        </w:rPr>
        <w:t>本合同生效条件：</w:t>
      </w:r>
      <w:r>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t>双方法定代表人或委托代理人签字</w:t>
      </w:r>
      <w:r>
        <w:rPr>
          <w:rFonts w:hint="eastAsia" w:ascii="宋体" w:hAnsi="宋体" w:eastAsia="宋体" w:cs="宋体"/>
          <w:color w:val="0D0D0D" w:themeColor="text1" w:themeTint="F2"/>
          <w:sz w:val="24"/>
          <w:u w:val="single"/>
          <w:lang w:val="en-US" w:eastAsia="zh-CN"/>
          <w14:textFill>
            <w14:solidFill>
              <w14:schemeClr w14:val="tx1">
                <w14:lumMod w14:val="95000"/>
                <w14:lumOff w14:val="5000"/>
              </w14:schemeClr>
            </w14:solidFill>
          </w14:textFill>
        </w:rPr>
        <w:t>并加盖公</w:t>
      </w:r>
      <w:r>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t xml:space="preserve">章之日起生效  </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w:t>
      </w:r>
    </w:p>
    <w:p w14:paraId="7C52CF03">
      <w:pPr>
        <w:adjustRightInd w:val="0"/>
        <w:snapToGrid w:val="0"/>
        <w:spacing w:line="360" w:lineRule="auto"/>
        <w:ind w:firstLine="235" w:firstLineChars="98"/>
        <w:rPr>
          <w:rFonts w:ascii="宋体" w:hAnsi="宋体" w:eastAsia="宋体" w:cs="宋体"/>
          <w:sz w:val="24"/>
        </w:rPr>
      </w:pPr>
      <w:r>
        <w:rPr>
          <w:rFonts w:hint="eastAsia" w:ascii="宋体" w:hAnsi="宋体" w:eastAsia="宋体" w:cs="宋体"/>
          <w:sz w:val="24"/>
        </w:rPr>
        <w:t>6.2 变更</w:t>
      </w:r>
    </w:p>
    <w:p w14:paraId="21F7B173">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6.2.2 除不可抗力外，因非监理人原因导致本合同期限延长时，附加工作酬金按下列方法确定：</w:t>
      </w:r>
    </w:p>
    <w:p w14:paraId="16407670">
      <w:pPr>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附加工作</w:t>
      </w:r>
      <w:r>
        <w:rPr>
          <w:rFonts w:hint="eastAsia" w:ascii="宋体" w:hAnsi="宋体" w:eastAsia="宋体" w:cs="宋体"/>
          <w:sz w:val="24"/>
        </w:rPr>
        <w:t>酬金</w:t>
      </w:r>
      <w:r>
        <w:rPr>
          <w:rFonts w:hint="eastAsia" w:ascii="宋体" w:hAnsi="宋体" w:eastAsia="宋体" w:cs="宋体"/>
          <w:kern w:val="0"/>
          <w:sz w:val="24"/>
        </w:rPr>
        <w:t>=</w:t>
      </w:r>
      <w:r>
        <w:rPr>
          <w:rFonts w:hint="eastAsia" w:ascii="宋体" w:hAnsi="宋体" w:eastAsia="宋体" w:cs="宋体"/>
          <w:sz w:val="24"/>
        </w:rPr>
        <w:t>本合同期限延长</w:t>
      </w:r>
      <w:r>
        <w:rPr>
          <w:rFonts w:hint="eastAsia" w:ascii="宋体" w:hAnsi="宋体" w:eastAsia="宋体" w:cs="宋体"/>
          <w:kern w:val="0"/>
          <w:sz w:val="24"/>
        </w:rPr>
        <w:t>时间（天）×正常工作酬金÷</w:t>
      </w:r>
      <w:r>
        <w:rPr>
          <w:rFonts w:hint="eastAsia" w:ascii="宋体" w:hAnsi="宋体" w:eastAsia="宋体" w:cs="宋体"/>
          <w:sz w:val="24"/>
        </w:rPr>
        <w:t>协议书约定的监理与相关服务期限</w:t>
      </w:r>
      <w:r>
        <w:rPr>
          <w:rFonts w:hint="eastAsia" w:ascii="宋体" w:hAnsi="宋体" w:eastAsia="宋体" w:cs="宋体"/>
          <w:kern w:val="0"/>
          <w:sz w:val="24"/>
        </w:rPr>
        <w:t>（天）</w:t>
      </w:r>
    </w:p>
    <w:p w14:paraId="5E4863D1">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6.2.3附加工作酬金按下列方法确定：</w:t>
      </w:r>
    </w:p>
    <w:p w14:paraId="0B0FBA3D">
      <w:pPr>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附加工作</w:t>
      </w:r>
      <w:r>
        <w:rPr>
          <w:rFonts w:hint="eastAsia" w:ascii="宋体" w:hAnsi="宋体" w:eastAsia="宋体" w:cs="宋体"/>
          <w:sz w:val="24"/>
        </w:rPr>
        <w:t>酬金</w:t>
      </w:r>
      <w:r>
        <w:rPr>
          <w:rFonts w:hint="eastAsia" w:ascii="宋体" w:hAnsi="宋体" w:eastAsia="宋体" w:cs="宋体"/>
          <w:kern w:val="0"/>
          <w:sz w:val="24"/>
        </w:rPr>
        <w:t>=善后工作及恢复服务的准备工作时间（天）×正常工作酬金÷</w:t>
      </w:r>
      <w:r>
        <w:rPr>
          <w:rFonts w:hint="eastAsia" w:ascii="宋体" w:hAnsi="宋体" w:eastAsia="宋体" w:cs="宋体"/>
          <w:sz w:val="24"/>
        </w:rPr>
        <w:t>协议书约定的监理与相关服务期限</w:t>
      </w:r>
      <w:r>
        <w:rPr>
          <w:rFonts w:hint="eastAsia" w:ascii="宋体" w:hAnsi="宋体" w:eastAsia="宋体" w:cs="宋体"/>
          <w:kern w:val="0"/>
          <w:sz w:val="24"/>
        </w:rPr>
        <w:t>（天）</w:t>
      </w:r>
    </w:p>
    <w:p w14:paraId="25F30B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6.2.5 正常工作酬金增加额按下列方法确定：</w:t>
      </w:r>
    </w:p>
    <w:p w14:paraId="39EDF323">
      <w:pPr>
        <w:adjustRightInd w:val="0"/>
        <w:snapToGrid w:val="0"/>
        <w:spacing w:line="360" w:lineRule="auto"/>
        <w:ind w:firstLine="480"/>
        <w:rPr>
          <w:rFonts w:ascii="宋体" w:hAnsi="宋体" w:eastAsia="宋体" w:cs="宋体"/>
          <w:kern w:val="0"/>
          <w:sz w:val="24"/>
        </w:rPr>
      </w:pPr>
      <w:r>
        <w:rPr>
          <w:rFonts w:hint="eastAsia" w:ascii="宋体" w:hAnsi="宋体" w:eastAsia="宋体" w:cs="宋体"/>
          <w:sz w:val="24"/>
        </w:rPr>
        <w:t>正常工作酬金增加额</w:t>
      </w:r>
      <w:r>
        <w:rPr>
          <w:rFonts w:hint="eastAsia" w:ascii="宋体" w:hAnsi="宋体" w:eastAsia="宋体" w:cs="宋体"/>
          <w:kern w:val="0"/>
          <w:sz w:val="24"/>
        </w:rPr>
        <w:t>=工程投资额</w:t>
      </w:r>
      <w:r>
        <w:rPr>
          <w:rFonts w:hint="eastAsia" w:ascii="宋体" w:hAnsi="宋体" w:eastAsia="宋体" w:cs="宋体"/>
          <w:sz w:val="24"/>
        </w:rPr>
        <w:t>或建筑安装工程费</w:t>
      </w:r>
      <w:r>
        <w:rPr>
          <w:rFonts w:hint="eastAsia" w:ascii="宋体" w:hAnsi="宋体" w:eastAsia="宋体" w:cs="宋体"/>
          <w:kern w:val="0"/>
          <w:sz w:val="24"/>
        </w:rPr>
        <w:t>增加额×正常工作酬金÷工程概算投资额（或建筑安装工程费）</w:t>
      </w:r>
    </w:p>
    <w:p w14:paraId="4A8574D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6.2.6 因工程规模、监理范围的变化导致监理人的正常工作量减少时，按减少工作量的比例从协议书约定的正常工作酬金中扣减相同比例的酬金。</w:t>
      </w:r>
    </w:p>
    <w:p w14:paraId="0C8D3CC3">
      <w:pPr>
        <w:snapToGrid w:val="0"/>
        <w:spacing w:line="360" w:lineRule="auto"/>
        <w:rPr>
          <w:rFonts w:ascii="宋体" w:hAnsi="宋体" w:eastAsia="宋体" w:cs="宋体"/>
          <w:b/>
          <w:sz w:val="24"/>
        </w:rPr>
      </w:pPr>
      <w:r>
        <w:rPr>
          <w:rFonts w:hint="eastAsia" w:ascii="宋体" w:hAnsi="宋体" w:eastAsia="宋体" w:cs="宋体"/>
          <w:b/>
          <w:bCs/>
          <w:sz w:val="24"/>
        </w:rPr>
        <w:t>7. 争议解决</w:t>
      </w:r>
    </w:p>
    <w:p w14:paraId="4B216583">
      <w:pPr>
        <w:snapToGrid w:val="0"/>
        <w:spacing w:line="360" w:lineRule="auto"/>
        <w:ind w:firstLine="235" w:firstLineChars="98"/>
        <w:rPr>
          <w:rFonts w:ascii="宋体" w:hAnsi="宋体" w:eastAsia="宋体" w:cs="宋体"/>
          <w:sz w:val="24"/>
        </w:rPr>
      </w:pPr>
      <w:r>
        <w:rPr>
          <w:rFonts w:hint="eastAsia" w:ascii="宋体" w:hAnsi="宋体" w:eastAsia="宋体" w:cs="宋体"/>
          <w:sz w:val="24"/>
        </w:rPr>
        <w:t xml:space="preserve">7.2 </w:t>
      </w:r>
      <w:r>
        <w:rPr>
          <w:rFonts w:hint="eastAsia" w:ascii="宋体" w:hAnsi="宋体" w:eastAsia="宋体" w:cs="宋体"/>
          <w:bCs/>
          <w:sz w:val="24"/>
        </w:rPr>
        <w:t>调解</w:t>
      </w:r>
    </w:p>
    <w:p w14:paraId="1EBC8F45">
      <w:pPr>
        <w:snapToGrid w:val="0"/>
        <w:spacing w:line="360" w:lineRule="auto"/>
        <w:ind w:firstLine="470" w:firstLineChars="196"/>
        <w:rPr>
          <w:rFonts w:ascii="宋体" w:hAnsi="宋体" w:eastAsia="宋体" w:cs="宋体"/>
          <w:sz w:val="24"/>
        </w:rPr>
      </w:pPr>
      <w:r>
        <w:rPr>
          <w:rFonts w:hint="eastAsia" w:ascii="宋体" w:hAnsi="宋体" w:eastAsia="宋体" w:cs="宋体"/>
          <w:sz w:val="24"/>
        </w:rPr>
        <w:t>本合同争议进行调解时，可提交</w:t>
      </w:r>
      <w:r>
        <w:rPr>
          <w:rFonts w:hint="eastAsia" w:ascii="宋体" w:hAnsi="宋体" w:eastAsia="宋体" w:cs="宋体"/>
          <w:sz w:val="24"/>
          <w:u w:val="single"/>
        </w:rPr>
        <w:t xml:space="preserve">            </w:t>
      </w:r>
      <w:r>
        <w:rPr>
          <w:rFonts w:hint="eastAsia" w:ascii="宋体" w:hAnsi="宋体" w:eastAsia="宋体" w:cs="宋体"/>
          <w:sz w:val="24"/>
        </w:rPr>
        <w:t>进行调解。</w:t>
      </w:r>
    </w:p>
    <w:p w14:paraId="691D4F58">
      <w:pPr>
        <w:snapToGrid w:val="0"/>
        <w:spacing w:line="360" w:lineRule="auto"/>
        <w:ind w:firstLine="235" w:firstLineChars="98"/>
        <w:rPr>
          <w:rFonts w:ascii="宋体" w:hAnsi="宋体" w:eastAsia="宋体" w:cs="宋体"/>
          <w:sz w:val="24"/>
        </w:rPr>
      </w:pPr>
      <w:r>
        <w:rPr>
          <w:rFonts w:hint="eastAsia" w:ascii="宋体" w:hAnsi="宋体" w:eastAsia="宋体" w:cs="宋体"/>
          <w:sz w:val="24"/>
        </w:rPr>
        <w:t xml:space="preserve">7.3 </w:t>
      </w:r>
      <w:r>
        <w:rPr>
          <w:rFonts w:hint="eastAsia" w:ascii="宋体" w:hAnsi="宋体" w:eastAsia="宋体" w:cs="宋体"/>
          <w:bCs/>
          <w:sz w:val="24"/>
        </w:rPr>
        <w:t>仲裁或诉讼</w:t>
      </w:r>
    </w:p>
    <w:p w14:paraId="04D64EA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合同争议的最终解决方式为下列第</w:t>
      </w:r>
      <w:r>
        <w:rPr>
          <w:rFonts w:hint="eastAsia" w:ascii="宋体" w:hAnsi="宋体" w:eastAsia="宋体" w:cs="宋体"/>
          <w:sz w:val="24"/>
          <w:u w:val="single"/>
        </w:rPr>
        <w:t xml:space="preserve">    </w:t>
      </w:r>
      <w:r>
        <w:rPr>
          <w:rFonts w:hint="eastAsia" w:ascii="宋体" w:hAnsi="宋体" w:cs="宋体"/>
          <w:color w:val="0D0D0D" w:themeColor="text1" w:themeTint="F2"/>
          <w:sz w:val="24"/>
          <w:u w:val="singl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u w:val="single"/>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4"/>
          <w:u w:val="singl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t xml:space="preserve">  </w:t>
      </w:r>
      <w:r>
        <w:rPr>
          <w:rFonts w:hint="eastAsia" w:ascii="宋体" w:hAnsi="宋体" w:eastAsia="宋体" w:cs="宋体"/>
          <w:sz w:val="24"/>
          <w:u w:val="single"/>
        </w:rPr>
        <w:t xml:space="preserve">      </w:t>
      </w:r>
      <w:r>
        <w:rPr>
          <w:rFonts w:hint="eastAsia" w:ascii="宋体" w:hAnsi="宋体" w:eastAsia="宋体" w:cs="宋体"/>
          <w:sz w:val="24"/>
        </w:rPr>
        <w:t>种方式：</w:t>
      </w:r>
    </w:p>
    <w:p w14:paraId="038472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（1）提请</w:t>
      </w:r>
      <w:r>
        <w:rPr>
          <w:rFonts w:hint="eastAsia" w:ascii="宋体" w:hAnsi="宋体" w:eastAsia="宋体" w:cs="宋体"/>
          <w:sz w:val="24"/>
          <w:u w:val="single"/>
        </w:rPr>
        <w:t xml:space="preserve">       </w:t>
      </w:r>
      <w:r>
        <w:rPr>
          <w:rFonts w:hint="eastAsia" w:ascii="宋体" w:hAnsi="宋体" w:eastAsia="宋体" w:cs="宋体"/>
          <w:sz w:val="24"/>
        </w:rPr>
        <w:t>仲裁委员会进行仲裁。</w:t>
      </w:r>
    </w:p>
    <w:p w14:paraId="5A39A1C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（2）向</w:t>
      </w:r>
      <w:r>
        <w:rPr>
          <w:rFonts w:hint="eastAsia" w:ascii="宋体" w:hAnsi="宋体" w:eastAsia="宋体" w:cs="宋体"/>
          <w:sz w:val="24"/>
          <w:u w:val="single"/>
        </w:rPr>
        <w:t xml:space="preserve"> </w:t>
      </w:r>
      <w:r>
        <w:rPr>
          <w:rFonts w:hint="eastAsia" w:ascii="宋体" w:hAnsi="宋体" w:cs="宋体"/>
          <w:color w:val="0D0D0D" w:themeColor="text1" w:themeTint="F2"/>
          <w:sz w:val="24"/>
          <w:u w:val="single"/>
          <w:lang w:val="en-US" w:eastAsia="zh-CN"/>
          <w14:textFill>
            <w14:solidFill>
              <w14:schemeClr w14:val="tx1">
                <w14:lumMod w14:val="95000"/>
                <w14:lumOff w14:val="5000"/>
              </w14:schemeClr>
            </w14:solidFill>
          </w14:textFill>
        </w:rPr>
        <w:t>项目所在地</w:t>
      </w:r>
      <w:r>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t xml:space="preserve"> </w:t>
      </w:r>
      <w:r>
        <w:rPr>
          <w:rFonts w:hint="eastAsia" w:ascii="宋体" w:hAnsi="宋体" w:eastAsia="宋体" w:cs="宋体"/>
          <w:sz w:val="24"/>
        </w:rPr>
        <w:t>人民法院提起诉讼。</w:t>
      </w:r>
    </w:p>
    <w:p w14:paraId="2BAE7F90">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8. 其他</w:t>
      </w:r>
    </w:p>
    <w:p w14:paraId="250BC758">
      <w:pPr>
        <w:adjustRightInd w:val="0"/>
        <w:snapToGrid w:val="0"/>
        <w:spacing w:line="360" w:lineRule="auto"/>
        <w:ind w:firstLine="240" w:firstLineChars="100"/>
        <w:rPr>
          <w:rFonts w:ascii="宋体" w:hAnsi="宋体" w:eastAsia="宋体" w:cs="宋体"/>
          <w:bCs/>
          <w:sz w:val="24"/>
        </w:rPr>
      </w:pPr>
      <w:r>
        <w:rPr>
          <w:rFonts w:hint="eastAsia" w:ascii="宋体" w:hAnsi="宋体" w:eastAsia="宋体" w:cs="宋体"/>
          <w:bCs/>
          <w:sz w:val="24"/>
        </w:rPr>
        <w:t>8.2 检测费用</w:t>
      </w:r>
    </w:p>
    <w:p w14:paraId="6729333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委托人应在检测工作完成后</w:t>
      </w:r>
      <w:r>
        <w:rPr>
          <w:rFonts w:hint="eastAsia" w:ascii="宋体" w:hAnsi="宋体" w:eastAsia="宋体" w:cs="宋体"/>
          <w:bCs/>
          <w:sz w:val="24"/>
          <w:u w:val="single"/>
        </w:rPr>
        <w:t xml:space="preserve">     </w:t>
      </w:r>
      <w:r>
        <w:rPr>
          <w:rFonts w:hint="eastAsia" w:ascii="宋体" w:hAnsi="宋体" w:eastAsia="宋体" w:cs="宋体"/>
          <w:bCs/>
          <w:sz w:val="24"/>
        </w:rPr>
        <w:t>天内支付检测费用。</w:t>
      </w:r>
    </w:p>
    <w:p w14:paraId="2E9B78EB">
      <w:pPr>
        <w:adjustRightInd w:val="0"/>
        <w:snapToGrid w:val="0"/>
        <w:spacing w:line="360" w:lineRule="auto"/>
        <w:rPr>
          <w:rFonts w:ascii="宋体" w:hAnsi="宋体" w:eastAsia="宋体" w:cs="宋体"/>
          <w:bCs/>
          <w:sz w:val="24"/>
        </w:rPr>
      </w:pPr>
      <w:r>
        <w:rPr>
          <w:rFonts w:hint="eastAsia" w:ascii="宋体" w:hAnsi="宋体" w:eastAsia="宋体" w:cs="宋体"/>
          <w:bCs/>
          <w:sz w:val="24"/>
        </w:rPr>
        <w:t xml:space="preserve">  8.3 咨询费用</w:t>
      </w:r>
    </w:p>
    <w:p w14:paraId="6F6EFA5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委托人应在咨询工作完成后</w:t>
      </w:r>
      <w:r>
        <w:rPr>
          <w:rFonts w:hint="eastAsia" w:ascii="宋体" w:hAnsi="宋体" w:eastAsia="宋体" w:cs="宋体"/>
          <w:bCs/>
          <w:sz w:val="24"/>
          <w:u w:val="single"/>
        </w:rPr>
        <w:t xml:space="preserve">     </w:t>
      </w:r>
      <w:r>
        <w:rPr>
          <w:rFonts w:hint="eastAsia" w:ascii="宋体" w:hAnsi="宋体" w:eastAsia="宋体" w:cs="宋体"/>
          <w:bCs/>
          <w:sz w:val="24"/>
        </w:rPr>
        <w:t>天内支付咨询费用。</w:t>
      </w:r>
    </w:p>
    <w:p w14:paraId="16337391">
      <w:pPr>
        <w:snapToGrid w:val="0"/>
        <w:spacing w:line="360" w:lineRule="auto"/>
        <w:ind w:firstLine="235" w:firstLineChars="98"/>
        <w:rPr>
          <w:rFonts w:ascii="宋体" w:hAnsi="宋体" w:eastAsia="宋体" w:cs="宋体"/>
          <w:sz w:val="24"/>
        </w:rPr>
      </w:pPr>
      <w:r>
        <w:rPr>
          <w:rFonts w:hint="eastAsia" w:ascii="宋体" w:hAnsi="宋体" w:eastAsia="宋体" w:cs="宋体"/>
          <w:sz w:val="24"/>
        </w:rPr>
        <w:t>8.4 奖励</w:t>
      </w:r>
    </w:p>
    <w:p w14:paraId="30C8A65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合理化建议的奖励金额按下列方法确定为：</w:t>
      </w:r>
    </w:p>
    <w:p w14:paraId="1614559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奖励金额＝工程投资节省额×奖励金额的比率；</w:t>
      </w:r>
    </w:p>
    <w:p w14:paraId="7D23DF6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奖励金额的比率为</w:t>
      </w:r>
      <w:r>
        <w:rPr>
          <w:rFonts w:hint="eastAsia" w:ascii="宋体" w:hAnsi="宋体" w:eastAsia="宋体" w:cs="宋体"/>
          <w:sz w:val="24"/>
          <w:u w:val="single"/>
        </w:rPr>
        <w:t xml:space="preserve">       </w:t>
      </w:r>
      <w:r>
        <w:rPr>
          <w:rFonts w:hint="eastAsia" w:ascii="宋体" w:hAnsi="宋体" w:eastAsia="宋体" w:cs="宋体"/>
          <w:sz w:val="24"/>
        </w:rPr>
        <w:t>%。</w:t>
      </w:r>
    </w:p>
    <w:p w14:paraId="7B6E36A8">
      <w:pPr>
        <w:adjustRightInd w:val="0"/>
        <w:snapToGrid w:val="0"/>
        <w:spacing w:line="360" w:lineRule="auto"/>
        <w:ind w:firstLine="235" w:firstLineChars="98"/>
        <w:rPr>
          <w:rFonts w:ascii="宋体" w:hAnsi="宋体" w:eastAsia="宋体" w:cs="宋体"/>
          <w:sz w:val="24"/>
        </w:rPr>
      </w:pPr>
      <w:r>
        <w:rPr>
          <w:rFonts w:hint="eastAsia" w:ascii="宋体" w:hAnsi="宋体" w:eastAsia="宋体" w:cs="宋体"/>
          <w:sz w:val="24"/>
        </w:rPr>
        <w:t>8.6 保密</w:t>
      </w:r>
    </w:p>
    <w:p w14:paraId="12DC5AE4">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委托人申明的保密事项和期限：</w:t>
      </w:r>
      <w:r>
        <w:rPr>
          <w:rFonts w:hint="eastAsia" w:ascii="宋体" w:hAnsi="宋体" w:eastAsia="宋体" w:cs="宋体"/>
          <w:sz w:val="24"/>
          <w:u w:val="single"/>
        </w:rPr>
        <w:t xml:space="preserve">                          </w:t>
      </w:r>
      <w:r>
        <w:rPr>
          <w:rFonts w:hint="eastAsia" w:ascii="宋体" w:hAnsi="宋体" w:eastAsia="宋体" w:cs="宋体"/>
          <w:sz w:val="24"/>
        </w:rPr>
        <w:t>。</w:t>
      </w:r>
    </w:p>
    <w:p w14:paraId="752E73C3">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监理人申明的保密事项和期限：</w:t>
      </w:r>
      <w:r>
        <w:rPr>
          <w:rFonts w:hint="eastAsia" w:ascii="宋体" w:hAnsi="宋体" w:eastAsia="宋体" w:cs="宋体"/>
          <w:sz w:val="24"/>
          <w:u w:val="single"/>
        </w:rPr>
        <w:t xml:space="preserve">                          </w:t>
      </w:r>
      <w:r>
        <w:rPr>
          <w:rFonts w:hint="eastAsia" w:ascii="宋体" w:hAnsi="宋体" w:eastAsia="宋体" w:cs="宋体"/>
          <w:sz w:val="24"/>
        </w:rPr>
        <w:t>。</w:t>
      </w:r>
    </w:p>
    <w:p w14:paraId="77CB5C60">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第三方申明的保密事项和期限：</w:t>
      </w:r>
      <w:r>
        <w:rPr>
          <w:rFonts w:hint="eastAsia" w:ascii="宋体" w:hAnsi="宋体" w:eastAsia="宋体" w:cs="宋体"/>
          <w:sz w:val="24"/>
          <w:u w:val="single"/>
        </w:rPr>
        <w:t xml:space="preserve">                           </w:t>
      </w:r>
      <w:r>
        <w:rPr>
          <w:rFonts w:hint="eastAsia" w:ascii="宋体" w:hAnsi="宋体" w:eastAsia="宋体" w:cs="宋体"/>
          <w:sz w:val="24"/>
        </w:rPr>
        <w:t>。</w:t>
      </w:r>
    </w:p>
    <w:p w14:paraId="5AA7696F">
      <w:pPr>
        <w:snapToGrid w:val="0"/>
        <w:spacing w:line="360" w:lineRule="auto"/>
        <w:ind w:firstLine="235" w:firstLineChars="98"/>
        <w:rPr>
          <w:rFonts w:ascii="宋体" w:hAnsi="宋体" w:eastAsia="宋体" w:cs="宋体"/>
          <w:bCs/>
          <w:sz w:val="24"/>
        </w:rPr>
      </w:pPr>
      <w:r>
        <w:rPr>
          <w:rFonts w:hint="eastAsia" w:ascii="宋体" w:hAnsi="宋体" w:eastAsia="宋体" w:cs="宋体"/>
          <w:sz w:val="24"/>
        </w:rPr>
        <w:t>8.8</w:t>
      </w:r>
      <w:r>
        <w:rPr>
          <w:rFonts w:hint="eastAsia" w:ascii="宋体" w:hAnsi="宋体" w:eastAsia="宋体" w:cs="宋体"/>
          <w:bCs/>
          <w:sz w:val="24"/>
        </w:rPr>
        <w:t>著作权</w:t>
      </w:r>
    </w:p>
    <w:p w14:paraId="06376E06">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监理人在本合同履行期间及本合同终止后两年内出版涉及本工程的有关监理与相关服务的资料的限制条件：</w:t>
      </w:r>
      <w:r>
        <w:rPr>
          <w:rFonts w:hint="eastAsia" w:ascii="宋体" w:hAnsi="宋体" w:eastAsia="宋体" w:cs="宋体"/>
          <w:sz w:val="24"/>
          <w:u w:val="single"/>
        </w:rPr>
        <w:t xml:space="preserve">    </w:t>
      </w:r>
      <w:r>
        <w:rPr>
          <w:rFonts w:hint="eastAsia" w:ascii="宋体" w:hAnsi="宋体" w:eastAsia="宋体" w:cs="宋体"/>
          <w:color w:val="000000" w:themeColor="text1"/>
          <w:sz w:val="24"/>
          <w:u w:val="single"/>
          <w14:textFill>
            <w14:solidFill>
              <w14:schemeClr w14:val="tx1"/>
            </w14:solidFill>
          </w14:textFill>
        </w:rPr>
        <w:t xml:space="preserve">应当获得委托人的书面同意    </w:t>
      </w:r>
      <w:r>
        <w:rPr>
          <w:rFonts w:hint="eastAsia" w:ascii="宋体" w:hAnsi="宋体" w:eastAsia="宋体" w:cs="宋体"/>
          <w:sz w:val="24"/>
          <w:u w:val="single"/>
        </w:rPr>
        <w:t xml:space="preserve">                                </w:t>
      </w:r>
    </w:p>
    <w:p w14:paraId="452B8EBD">
      <w:pPr>
        <w:adjustRightInd w:val="0"/>
        <w:snapToGrid w:val="0"/>
        <w:spacing w:line="360" w:lineRule="auto"/>
        <w:rPr>
          <w:rFonts w:ascii="宋体" w:hAnsi="宋体" w:eastAsia="宋体" w:cs="宋体"/>
          <w:sz w:val="24"/>
        </w:rPr>
      </w:pPr>
      <w:r>
        <w:rPr>
          <w:rFonts w:hint="eastAsia" w:ascii="宋体" w:hAnsi="宋体" w:eastAsia="宋体" w:cs="宋体"/>
          <w:sz w:val="24"/>
          <w:u w:val="single"/>
        </w:rPr>
        <w:t xml:space="preserve">                                                                      </w:t>
      </w:r>
    </w:p>
    <w:p w14:paraId="34CC11E4">
      <w:pPr>
        <w:adjustRightInd w:val="0"/>
        <w:snapToGrid w:val="0"/>
        <w:spacing w:line="360" w:lineRule="auto"/>
        <w:rPr>
          <w:rFonts w:ascii="宋体" w:hAnsi="宋体" w:eastAsia="宋体" w:cs="宋体"/>
          <w:sz w:val="24"/>
        </w:rPr>
      </w:pPr>
      <w:r>
        <w:rPr>
          <w:rFonts w:hint="eastAsia" w:ascii="宋体" w:hAnsi="宋体" w:eastAsia="宋体" w:cs="宋体"/>
          <w:sz w:val="24"/>
          <w:u w:val="single"/>
        </w:rPr>
        <w:t xml:space="preserve">                                                                      </w:t>
      </w:r>
    </w:p>
    <w:p w14:paraId="5A04B24F">
      <w:pPr>
        <w:numPr>
          <w:ilvl w:val="0"/>
          <w:numId w:val="0"/>
        </w:numPr>
        <w:adjustRightInd w:val="0"/>
        <w:snapToGrid w:val="0"/>
        <w:spacing w:before="156" w:beforeLines="50" w:after="156" w:afterLines="50" w:line="360" w:lineRule="auto"/>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pPr>
      <w:r>
        <w:rPr>
          <w:rFonts w:hint="eastAsia" w:ascii="宋体" w:hAnsi="宋体" w:eastAsia="宋体" w:cs="宋体"/>
          <w:sz w:val="24"/>
        </w:rPr>
        <w:t>9. 补充条款:</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t xml:space="preserve"> 若监理人不按合同约定及委托人要求履行监理职责，或与承包人串通给委托人或工程造成损失的，</w:t>
      </w:r>
      <w:r>
        <w:rPr>
          <w:rFonts w:hint="eastAsia" w:ascii="宋体" w:hAnsi="宋体" w:eastAsia="宋体" w:cs="宋体"/>
          <w:color w:val="0D0D0D" w:themeColor="text1" w:themeTint="F2"/>
          <w:sz w:val="24"/>
          <w:u w:val="single"/>
          <w:lang w:val="en-US" w:eastAsia="zh-CN"/>
          <w14:textFill>
            <w14:solidFill>
              <w14:schemeClr w14:val="tx1">
                <w14:lumMod w14:val="95000"/>
                <w14:lumOff w14:val="5000"/>
              </w14:schemeClr>
            </w14:solidFill>
          </w14:textFill>
        </w:rPr>
        <w:t>或监理人将监理服务的任何部分分包的，</w:t>
      </w:r>
      <w:r>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t>委托人有权单方解除终止合同并有权要求监理人承担违约赔偿责任，违约金为监理报酬总额的</w:t>
      </w:r>
      <w:r>
        <w:rPr>
          <w:rFonts w:hint="eastAsia" w:ascii="宋体" w:hAnsi="宋体" w:eastAsia="宋体" w:cs="宋体"/>
          <w:color w:val="0D0D0D" w:themeColor="text1" w:themeTint="F2"/>
          <w:sz w:val="24"/>
          <w:u w:val="singl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u w:val="single"/>
          <w14:textFill>
            <w14:solidFill>
              <w14:schemeClr w14:val="tx1">
                <w14:lumMod w14:val="95000"/>
                <w14:lumOff w14:val="5000"/>
              </w14:schemeClr>
            </w14:solidFill>
          </w14:textFill>
        </w:rPr>
        <w:t>%，赔偿责任包括实际损失但不限于由此产生的诉讼费用、律师费、鉴定费、差旅费等损失费用。</w:t>
      </w:r>
    </w:p>
    <w:p w14:paraId="0954B3A0">
      <w:pPr>
        <w:numPr>
          <w:ilvl w:val="0"/>
          <w:numId w:val="0"/>
        </w:numPr>
        <w:adjustRightInd w:val="0"/>
        <w:snapToGrid w:val="0"/>
        <w:spacing w:before="156" w:beforeLines="50" w:after="156" w:afterLines="50" w:line="360" w:lineRule="auto"/>
        <w:ind w:firstLine="480" w:firstLineChars="200"/>
        <w:rPr>
          <w:rFonts w:ascii="宋体" w:hAnsi="宋体" w:eastAsia="宋体" w:cs="宋体"/>
          <w:b/>
          <w:bCs/>
          <w:color w:val="0D0D0D" w:themeColor="text1" w:themeTint="F2"/>
          <w:kern w:val="0"/>
          <w:sz w:val="30"/>
          <w:szCs w:val="3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u w:val="single"/>
          <w:lang w:val="en-US" w:eastAsia="zh-CN"/>
          <w14:textFill>
            <w14:solidFill>
              <w14:schemeClr w14:val="tx1">
                <w14:lumMod w14:val="95000"/>
                <w14:lumOff w14:val="5000"/>
              </w14:schemeClr>
            </w14:solidFill>
          </w14:textFill>
        </w:rPr>
        <w:t>履行合同过程中，监理人向委托人提交的任何待核实、审核、批准、回复、确认的申请、通知、报告、要求、资料等，只有委托人的授权人签字并加盖公章，才能视为认可或接受或确认；否则，不能视为认可或接受或确认，即使部门规章、地方性法规或地方规章中有视为认可或接受或确认之规定。本条款优先适用于通用条款。</w:t>
      </w:r>
    </w:p>
    <w:p w14:paraId="58D06AA8">
      <w:pPr>
        <w:adjustRightInd w:val="0"/>
        <w:snapToGrid w:val="0"/>
        <w:spacing w:line="360" w:lineRule="auto"/>
        <w:ind w:firstLine="480"/>
        <w:jc w:val="center"/>
        <w:rPr>
          <w:rFonts w:ascii="宋体" w:hAnsi="宋体" w:eastAsia="宋体" w:cs="宋体"/>
          <w:b/>
          <w:bCs/>
          <w:kern w:val="0"/>
          <w:sz w:val="30"/>
          <w:szCs w:val="30"/>
        </w:rPr>
      </w:pPr>
    </w:p>
    <w:p w14:paraId="7AEDCF02">
      <w:pPr>
        <w:adjustRightInd w:val="0"/>
        <w:snapToGrid w:val="0"/>
        <w:spacing w:line="360" w:lineRule="auto"/>
        <w:ind w:firstLine="480"/>
        <w:jc w:val="center"/>
        <w:rPr>
          <w:rFonts w:ascii="宋体" w:hAnsi="宋体" w:eastAsia="宋体" w:cs="宋体"/>
          <w:b/>
          <w:bCs/>
          <w:kern w:val="0"/>
          <w:sz w:val="30"/>
          <w:szCs w:val="30"/>
        </w:rPr>
      </w:pPr>
    </w:p>
    <w:p w14:paraId="5BF9CDCE">
      <w:pPr>
        <w:adjustRightInd w:val="0"/>
        <w:snapToGrid w:val="0"/>
        <w:spacing w:line="360" w:lineRule="auto"/>
        <w:ind w:firstLine="480"/>
        <w:jc w:val="center"/>
        <w:rPr>
          <w:rFonts w:ascii="宋体" w:hAnsi="宋体" w:eastAsia="宋体" w:cs="宋体"/>
          <w:b/>
          <w:bCs/>
          <w:kern w:val="0"/>
          <w:sz w:val="30"/>
          <w:szCs w:val="30"/>
        </w:rPr>
      </w:pPr>
    </w:p>
    <w:p w14:paraId="3AB955D0">
      <w:pPr>
        <w:adjustRightInd w:val="0"/>
        <w:snapToGrid w:val="0"/>
        <w:spacing w:line="360" w:lineRule="auto"/>
        <w:ind w:firstLine="480"/>
        <w:jc w:val="center"/>
        <w:rPr>
          <w:rFonts w:ascii="宋体" w:hAnsi="宋体" w:eastAsia="宋体" w:cs="宋体"/>
          <w:b/>
          <w:bCs/>
          <w:kern w:val="0"/>
          <w:sz w:val="30"/>
          <w:szCs w:val="30"/>
        </w:rPr>
      </w:pPr>
    </w:p>
    <w:p w14:paraId="139A4FF1">
      <w:pPr>
        <w:adjustRightInd w:val="0"/>
        <w:snapToGrid w:val="0"/>
        <w:spacing w:line="360" w:lineRule="auto"/>
        <w:ind w:firstLine="480"/>
        <w:jc w:val="center"/>
        <w:rPr>
          <w:rFonts w:ascii="宋体" w:hAnsi="宋体" w:eastAsia="宋体" w:cs="宋体"/>
          <w:b/>
          <w:bCs/>
          <w:kern w:val="0"/>
          <w:sz w:val="30"/>
          <w:szCs w:val="30"/>
        </w:rPr>
      </w:pPr>
    </w:p>
    <w:p w14:paraId="49B5A00B">
      <w:pPr>
        <w:adjustRightInd w:val="0"/>
        <w:snapToGrid w:val="0"/>
        <w:spacing w:line="360" w:lineRule="auto"/>
        <w:ind w:firstLine="480"/>
        <w:jc w:val="center"/>
        <w:rPr>
          <w:rFonts w:ascii="宋体" w:hAnsi="宋体" w:eastAsia="宋体" w:cs="宋体"/>
          <w:b/>
          <w:bCs/>
          <w:kern w:val="0"/>
          <w:sz w:val="30"/>
          <w:szCs w:val="30"/>
        </w:rPr>
      </w:pPr>
    </w:p>
    <w:p w14:paraId="116B7414">
      <w:pPr>
        <w:adjustRightInd w:val="0"/>
        <w:snapToGrid w:val="0"/>
        <w:spacing w:line="360" w:lineRule="auto"/>
        <w:ind w:firstLine="480"/>
        <w:jc w:val="center"/>
        <w:rPr>
          <w:rFonts w:ascii="宋体" w:hAnsi="宋体" w:eastAsia="宋体" w:cs="宋体"/>
          <w:b/>
          <w:bCs/>
          <w:kern w:val="0"/>
          <w:sz w:val="30"/>
          <w:szCs w:val="30"/>
        </w:rPr>
      </w:pPr>
    </w:p>
    <w:p w14:paraId="015C347E">
      <w:pPr>
        <w:adjustRightInd w:val="0"/>
        <w:snapToGrid w:val="0"/>
        <w:spacing w:line="360" w:lineRule="auto"/>
        <w:ind w:firstLine="480"/>
        <w:jc w:val="center"/>
        <w:rPr>
          <w:rFonts w:ascii="宋体" w:hAnsi="宋体" w:eastAsia="宋体" w:cs="宋体"/>
          <w:b/>
          <w:bCs/>
          <w:kern w:val="0"/>
          <w:sz w:val="30"/>
          <w:szCs w:val="30"/>
        </w:rPr>
      </w:pPr>
    </w:p>
    <w:p w14:paraId="52623844">
      <w:pPr>
        <w:adjustRightInd w:val="0"/>
        <w:snapToGrid w:val="0"/>
        <w:spacing w:line="360" w:lineRule="auto"/>
        <w:ind w:firstLine="480"/>
        <w:jc w:val="center"/>
        <w:rPr>
          <w:rFonts w:ascii="宋体" w:hAnsi="宋体" w:eastAsia="宋体" w:cs="宋体"/>
          <w:b/>
          <w:bCs/>
          <w:kern w:val="0"/>
          <w:sz w:val="30"/>
          <w:szCs w:val="30"/>
        </w:rPr>
      </w:pPr>
    </w:p>
    <w:p w14:paraId="66F10FD9">
      <w:pPr>
        <w:adjustRightInd w:val="0"/>
        <w:snapToGrid w:val="0"/>
        <w:spacing w:line="360" w:lineRule="auto"/>
        <w:ind w:firstLine="480"/>
        <w:jc w:val="center"/>
        <w:rPr>
          <w:rFonts w:ascii="宋体" w:hAnsi="宋体" w:eastAsia="宋体" w:cs="宋体"/>
          <w:b/>
          <w:bCs/>
          <w:kern w:val="0"/>
          <w:sz w:val="30"/>
          <w:szCs w:val="30"/>
        </w:rPr>
      </w:pPr>
    </w:p>
    <w:p w14:paraId="21318115">
      <w:pPr>
        <w:adjustRightInd w:val="0"/>
        <w:snapToGrid w:val="0"/>
        <w:spacing w:line="360" w:lineRule="auto"/>
        <w:ind w:firstLine="480"/>
        <w:jc w:val="center"/>
        <w:rPr>
          <w:rFonts w:ascii="宋体" w:hAnsi="宋体" w:eastAsia="宋体" w:cs="宋体"/>
          <w:b/>
          <w:bCs/>
          <w:kern w:val="0"/>
          <w:sz w:val="30"/>
          <w:szCs w:val="30"/>
        </w:rPr>
      </w:pPr>
    </w:p>
    <w:p w14:paraId="0A09AF41">
      <w:pPr>
        <w:adjustRightInd w:val="0"/>
        <w:snapToGrid w:val="0"/>
        <w:spacing w:line="360" w:lineRule="auto"/>
        <w:ind w:firstLine="480"/>
        <w:jc w:val="center"/>
        <w:rPr>
          <w:rFonts w:ascii="宋体" w:hAnsi="宋体" w:eastAsia="宋体" w:cs="宋体"/>
          <w:b/>
          <w:bCs/>
          <w:kern w:val="0"/>
          <w:sz w:val="30"/>
          <w:szCs w:val="30"/>
        </w:rPr>
      </w:pPr>
      <w:r>
        <w:rPr>
          <w:rFonts w:hint="eastAsia" w:ascii="宋体" w:hAnsi="宋体" w:eastAsia="宋体" w:cs="宋体"/>
          <w:b/>
          <w:bCs/>
          <w:kern w:val="0"/>
          <w:sz w:val="30"/>
          <w:szCs w:val="30"/>
        </w:rPr>
        <w:t>附录A  相关服务的范围和内容</w:t>
      </w:r>
    </w:p>
    <w:p w14:paraId="44F99EAE">
      <w:pPr>
        <w:adjustRightInd w:val="0"/>
        <w:snapToGrid w:val="0"/>
        <w:spacing w:line="360" w:lineRule="auto"/>
        <w:ind w:firstLine="480"/>
        <w:rPr>
          <w:rFonts w:ascii="宋体" w:hAnsi="宋体" w:eastAsia="宋体" w:cs="宋体"/>
          <w:kern w:val="0"/>
          <w:sz w:val="24"/>
        </w:rPr>
      </w:pPr>
    </w:p>
    <w:p w14:paraId="59ADB65F">
      <w:pPr>
        <w:adjustRightInd w:val="0"/>
        <w:snapToGrid w:val="0"/>
        <w:spacing w:line="360" w:lineRule="auto"/>
        <w:ind w:firstLine="480"/>
        <w:rPr>
          <w:rFonts w:ascii="宋体" w:hAnsi="宋体" w:eastAsia="宋体" w:cs="宋体"/>
          <w:kern w:val="0"/>
          <w:sz w:val="24"/>
          <w:u w:val="single"/>
        </w:rPr>
      </w:pPr>
      <w:r>
        <w:rPr>
          <w:rFonts w:hint="eastAsia" w:ascii="宋体" w:hAnsi="宋体" w:eastAsia="宋体" w:cs="宋体"/>
          <w:kern w:val="0"/>
          <w:sz w:val="24"/>
        </w:rPr>
        <w:t>A-1 勘察阶段：</w:t>
      </w:r>
      <w:r>
        <w:rPr>
          <w:rFonts w:hint="eastAsia" w:ascii="宋体" w:hAnsi="宋体" w:eastAsia="宋体" w:cs="宋体"/>
          <w:kern w:val="0"/>
          <w:sz w:val="24"/>
          <w:u w:val="single"/>
        </w:rPr>
        <w:t xml:space="preserve">                                             </w:t>
      </w:r>
    </w:p>
    <w:p w14:paraId="1004DB8D">
      <w:pPr>
        <w:adjustRightInd w:val="0"/>
        <w:snapToGrid w:val="0"/>
        <w:spacing w:line="360" w:lineRule="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5D2FC14E">
      <w:pPr>
        <w:adjustRightInd w:val="0"/>
        <w:snapToGrid w:val="0"/>
        <w:spacing w:line="360" w:lineRule="auto"/>
        <w:ind w:firstLine="480"/>
        <w:rPr>
          <w:rFonts w:ascii="宋体" w:hAnsi="宋体" w:eastAsia="宋体" w:cs="宋体"/>
          <w:kern w:val="0"/>
          <w:sz w:val="24"/>
          <w:u w:val="single"/>
        </w:rPr>
      </w:pPr>
      <w:r>
        <w:rPr>
          <w:rFonts w:hint="eastAsia" w:ascii="宋体" w:hAnsi="宋体" w:eastAsia="宋体" w:cs="宋体"/>
          <w:kern w:val="0"/>
          <w:sz w:val="24"/>
        </w:rPr>
        <w:t>A-2 设计阶段：</w:t>
      </w:r>
      <w:r>
        <w:rPr>
          <w:rFonts w:hint="eastAsia" w:ascii="宋体" w:hAnsi="宋体" w:eastAsia="宋体" w:cs="宋体"/>
          <w:kern w:val="0"/>
          <w:sz w:val="24"/>
          <w:u w:val="single"/>
        </w:rPr>
        <w:t xml:space="preserve">                                             </w:t>
      </w:r>
    </w:p>
    <w:p w14:paraId="043EADEB">
      <w:pPr>
        <w:adjustRightInd w:val="0"/>
        <w:snapToGrid w:val="0"/>
        <w:spacing w:line="360" w:lineRule="auto"/>
        <w:ind w:firstLine="48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6BD05845">
      <w:pPr>
        <w:adjustRightInd w:val="0"/>
        <w:snapToGrid w:val="0"/>
        <w:spacing w:line="360" w:lineRule="auto"/>
        <w:ind w:firstLine="480"/>
        <w:rPr>
          <w:rFonts w:ascii="宋体" w:hAnsi="宋体" w:eastAsia="宋体" w:cs="宋体"/>
          <w:kern w:val="0"/>
          <w:sz w:val="24"/>
          <w:u w:val="single"/>
        </w:rPr>
      </w:pPr>
      <w:r>
        <w:rPr>
          <w:rFonts w:hint="eastAsia" w:ascii="宋体" w:hAnsi="宋体" w:eastAsia="宋体" w:cs="宋体"/>
          <w:kern w:val="0"/>
          <w:sz w:val="24"/>
        </w:rPr>
        <w:t>A-3 保修阶段：</w:t>
      </w:r>
      <w:r>
        <w:rPr>
          <w:rFonts w:hint="eastAsia" w:ascii="宋体" w:hAnsi="宋体" w:eastAsia="宋体" w:cs="宋体"/>
          <w:kern w:val="0"/>
          <w:sz w:val="24"/>
          <w:u w:val="single"/>
        </w:rPr>
        <w:t xml:space="preserve">                                             </w:t>
      </w:r>
    </w:p>
    <w:p w14:paraId="0B7AB6A9">
      <w:pPr>
        <w:adjustRightInd w:val="0"/>
        <w:snapToGrid w:val="0"/>
        <w:spacing w:line="360" w:lineRule="auto"/>
        <w:ind w:firstLine="48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5888D3BF">
      <w:pPr>
        <w:adjustRightInd w:val="0"/>
        <w:snapToGrid w:val="0"/>
        <w:spacing w:line="360" w:lineRule="auto"/>
        <w:ind w:firstLine="480"/>
        <w:rPr>
          <w:rFonts w:ascii="宋体" w:hAnsi="宋体" w:eastAsia="宋体" w:cs="宋体"/>
          <w:kern w:val="0"/>
          <w:sz w:val="24"/>
          <w:u w:val="single"/>
        </w:rPr>
      </w:pPr>
      <w:r>
        <w:rPr>
          <w:rFonts w:hint="eastAsia" w:ascii="宋体" w:hAnsi="宋体" w:eastAsia="宋体" w:cs="宋体"/>
          <w:kern w:val="0"/>
          <w:sz w:val="24"/>
        </w:rPr>
        <w:t>A-4 其他（专业技术咨询、外部协调工作等）</w:t>
      </w:r>
      <w:r>
        <w:rPr>
          <w:rFonts w:hint="eastAsia" w:ascii="宋体" w:hAnsi="宋体" w:eastAsia="宋体" w:cs="宋体"/>
          <w:kern w:val="0"/>
          <w:sz w:val="24"/>
          <w:u w:val="single"/>
        </w:rPr>
        <w:t xml:space="preserve">                   </w:t>
      </w:r>
    </w:p>
    <w:p w14:paraId="10B09999">
      <w:pPr>
        <w:adjustRightInd w:val="0"/>
        <w:snapToGrid w:val="0"/>
        <w:spacing w:line="360" w:lineRule="auto"/>
        <w:ind w:firstLine="480"/>
        <w:rPr>
          <w:rFonts w:ascii="宋体" w:hAnsi="宋体" w:eastAsia="宋体" w:cs="宋体"/>
          <w:kern w:val="0"/>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2C206DB0">
      <w:pPr>
        <w:adjustRightInd w:val="0"/>
        <w:snapToGrid w:val="0"/>
        <w:spacing w:line="360" w:lineRule="auto"/>
        <w:ind w:firstLine="480"/>
        <w:rPr>
          <w:rFonts w:ascii="宋体" w:hAnsi="宋体" w:eastAsia="宋体" w:cs="宋体"/>
          <w:kern w:val="0"/>
          <w:sz w:val="30"/>
          <w:szCs w:val="30"/>
        </w:rPr>
      </w:pPr>
    </w:p>
    <w:p w14:paraId="7F694499">
      <w:pPr>
        <w:adjustRightInd w:val="0"/>
        <w:snapToGrid w:val="0"/>
        <w:spacing w:line="360" w:lineRule="auto"/>
        <w:ind w:firstLine="480"/>
        <w:rPr>
          <w:rFonts w:ascii="宋体" w:hAnsi="宋体" w:eastAsia="宋体" w:cs="宋体"/>
          <w:kern w:val="0"/>
          <w:sz w:val="30"/>
          <w:szCs w:val="30"/>
        </w:rPr>
      </w:pPr>
    </w:p>
    <w:p w14:paraId="077904F0">
      <w:pPr>
        <w:adjustRightInd w:val="0"/>
        <w:snapToGrid w:val="0"/>
        <w:spacing w:line="360" w:lineRule="auto"/>
        <w:ind w:firstLine="480"/>
        <w:rPr>
          <w:rFonts w:ascii="宋体" w:hAnsi="宋体" w:eastAsia="宋体" w:cs="宋体"/>
          <w:kern w:val="0"/>
          <w:sz w:val="30"/>
          <w:szCs w:val="30"/>
        </w:rPr>
      </w:pPr>
    </w:p>
    <w:p w14:paraId="569D1D42">
      <w:pPr>
        <w:adjustRightInd w:val="0"/>
        <w:snapToGrid w:val="0"/>
        <w:spacing w:line="360" w:lineRule="auto"/>
        <w:ind w:firstLine="480"/>
        <w:rPr>
          <w:rFonts w:ascii="宋体" w:hAnsi="宋体" w:eastAsia="宋体" w:cs="宋体"/>
          <w:kern w:val="0"/>
          <w:sz w:val="30"/>
          <w:szCs w:val="30"/>
        </w:rPr>
      </w:pPr>
    </w:p>
    <w:p w14:paraId="5906BC90">
      <w:pPr>
        <w:adjustRightInd w:val="0"/>
        <w:snapToGrid w:val="0"/>
        <w:spacing w:line="360" w:lineRule="auto"/>
        <w:ind w:firstLine="480"/>
        <w:rPr>
          <w:rFonts w:ascii="宋体" w:hAnsi="宋体" w:eastAsia="宋体" w:cs="宋体"/>
          <w:kern w:val="0"/>
          <w:sz w:val="30"/>
          <w:szCs w:val="30"/>
        </w:rPr>
      </w:pPr>
    </w:p>
    <w:p w14:paraId="06F8808C">
      <w:pPr>
        <w:adjustRightInd w:val="0"/>
        <w:snapToGrid w:val="0"/>
        <w:spacing w:line="360" w:lineRule="auto"/>
        <w:ind w:firstLine="480"/>
        <w:rPr>
          <w:rFonts w:ascii="宋体" w:hAnsi="宋体" w:eastAsia="宋体" w:cs="宋体"/>
          <w:kern w:val="0"/>
          <w:sz w:val="30"/>
          <w:szCs w:val="30"/>
        </w:rPr>
      </w:pPr>
    </w:p>
    <w:p w14:paraId="15099F9B">
      <w:pPr>
        <w:adjustRightInd w:val="0"/>
        <w:snapToGrid w:val="0"/>
        <w:spacing w:line="360" w:lineRule="auto"/>
        <w:ind w:firstLine="480"/>
        <w:rPr>
          <w:rFonts w:ascii="宋体" w:hAnsi="宋体" w:eastAsia="宋体" w:cs="宋体"/>
          <w:kern w:val="0"/>
          <w:sz w:val="30"/>
          <w:szCs w:val="30"/>
        </w:rPr>
      </w:pPr>
    </w:p>
    <w:p w14:paraId="5262FE5B">
      <w:pPr>
        <w:adjustRightInd w:val="0"/>
        <w:snapToGrid w:val="0"/>
        <w:spacing w:line="360" w:lineRule="auto"/>
        <w:ind w:firstLine="480"/>
        <w:rPr>
          <w:rFonts w:ascii="宋体" w:hAnsi="宋体" w:eastAsia="宋体" w:cs="宋体"/>
          <w:kern w:val="0"/>
          <w:sz w:val="30"/>
          <w:szCs w:val="30"/>
        </w:rPr>
      </w:pPr>
    </w:p>
    <w:p w14:paraId="63BD7EA6">
      <w:pPr>
        <w:adjustRightInd w:val="0"/>
        <w:snapToGrid w:val="0"/>
        <w:spacing w:line="360" w:lineRule="auto"/>
        <w:ind w:firstLine="480"/>
        <w:rPr>
          <w:rFonts w:ascii="宋体" w:hAnsi="宋体" w:eastAsia="宋体" w:cs="宋体"/>
          <w:kern w:val="0"/>
          <w:sz w:val="30"/>
          <w:szCs w:val="30"/>
        </w:rPr>
      </w:pPr>
    </w:p>
    <w:p w14:paraId="7D2534DB">
      <w:pPr>
        <w:adjustRightInd w:val="0"/>
        <w:snapToGrid w:val="0"/>
        <w:spacing w:line="360" w:lineRule="auto"/>
        <w:ind w:firstLine="480"/>
        <w:rPr>
          <w:rFonts w:ascii="宋体" w:hAnsi="宋体" w:eastAsia="宋体" w:cs="宋体"/>
          <w:kern w:val="0"/>
          <w:sz w:val="30"/>
          <w:szCs w:val="30"/>
        </w:rPr>
      </w:pPr>
    </w:p>
    <w:p w14:paraId="4E839142">
      <w:pPr>
        <w:adjustRightInd w:val="0"/>
        <w:snapToGrid w:val="0"/>
        <w:spacing w:line="360" w:lineRule="auto"/>
        <w:ind w:firstLine="480"/>
        <w:rPr>
          <w:rFonts w:ascii="宋体" w:hAnsi="宋体" w:eastAsia="宋体" w:cs="宋体"/>
          <w:kern w:val="0"/>
          <w:sz w:val="30"/>
          <w:szCs w:val="30"/>
        </w:rPr>
      </w:pPr>
    </w:p>
    <w:p w14:paraId="0CD433A9">
      <w:pPr>
        <w:adjustRightInd w:val="0"/>
        <w:snapToGrid w:val="0"/>
        <w:spacing w:line="360" w:lineRule="auto"/>
        <w:ind w:firstLine="480"/>
        <w:rPr>
          <w:rFonts w:ascii="宋体" w:hAnsi="宋体" w:eastAsia="宋体" w:cs="宋体"/>
          <w:kern w:val="0"/>
          <w:sz w:val="30"/>
          <w:szCs w:val="30"/>
        </w:rPr>
      </w:pPr>
    </w:p>
    <w:p w14:paraId="1F825763">
      <w:pPr>
        <w:adjustRightInd w:val="0"/>
        <w:snapToGrid w:val="0"/>
        <w:spacing w:line="360" w:lineRule="auto"/>
        <w:rPr>
          <w:rFonts w:ascii="宋体" w:hAnsi="宋体" w:eastAsia="宋体" w:cs="宋体"/>
          <w:kern w:val="0"/>
          <w:sz w:val="30"/>
          <w:szCs w:val="30"/>
        </w:rPr>
      </w:pPr>
    </w:p>
    <w:p w14:paraId="3F738CD9">
      <w:pPr>
        <w:adjustRightInd w:val="0"/>
        <w:snapToGrid w:val="0"/>
        <w:spacing w:line="360" w:lineRule="auto"/>
        <w:jc w:val="center"/>
        <w:rPr>
          <w:rFonts w:ascii="宋体" w:hAnsi="宋体" w:eastAsia="宋体" w:cs="宋体"/>
          <w:b/>
          <w:bCs/>
          <w:kern w:val="0"/>
          <w:sz w:val="30"/>
          <w:szCs w:val="30"/>
        </w:rPr>
      </w:pPr>
    </w:p>
    <w:p w14:paraId="2EDBE0D1">
      <w:pPr>
        <w:widowControl/>
        <w:jc w:val="left"/>
        <w:rPr>
          <w:rFonts w:ascii="宋体" w:hAnsi="宋体" w:eastAsia="宋体" w:cs="宋体"/>
          <w:b/>
          <w:bCs/>
          <w:kern w:val="0"/>
          <w:sz w:val="30"/>
          <w:szCs w:val="30"/>
        </w:rPr>
      </w:pPr>
      <w:r>
        <w:rPr>
          <w:rFonts w:hint="eastAsia" w:ascii="宋体" w:hAnsi="宋体" w:eastAsia="宋体" w:cs="宋体"/>
          <w:b/>
          <w:bCs/>
          <w:kern w:val="0"/>
          <w:sz w:val="30"/>
          <w:szCs w:val="30"/>
        </w:rPr>
        <w:br w:type="page"/>
      </w:r>
    </w:p>
    <w:p w14:paraId="3D159277">
      <w:pPr>
        <w:adjustRightInd w:val="0"/>
        <w:snapToGrid w:val="0"/>
        <w:spacing w:line="360" w:lineRule="auto"/>
        <w:jc w:val="center"/>
        <w:rPr>
          <w:rFonts w:ascii="宋体" w:hAnsi="宋体" w:eastAsia="宋体" w:cs="宋体"/>
          <w:b/>
          <w:bCs/>
          <w:kern w:val="0"/>
          <w:sz w:val="30"/>
          <w:szCs w:val="30"/>
        </w:rPr>
      </w:pPr>
    </w:p>
    <w:p w14:paraId="3778C661">
      <w:pPr>
        <w:adjustRightInd w:val="0"/>
        <w:snapToGrid w:val="0"/>
        <w:spacing w:line="360" w:lineRule="auto"/>
        <w:jc w:val="center"/>
        <w:rPr>
          <w:rFonts w:ascii="宋体" w:hAnsi="宋体" w:eastAsia="宋体" w:cs="宋体"/>
          <w:b/>
          <w:bCs/>
          <w:kern w:val="0"/>
          <w:sz w:val="30"/>
          <w:szCs w:val="30"/>
        </w:rPr>
      </w:pPr>
      <w:r>
        <w:rPr>
          <w:rFonts w:hint="eastAsia" w:ascii="宋体" w:hAnsi="宋体" w:eastAsia="宋体" w:cs="宋体"/>
          <w:b/>
          <w:bCs/>
          <w:kern w:val="0"/>
          <w:sz w:val="30"/>
          <w:szCs w:val="30"/>
        </w:rPr>
        <w:t>附录B  委托人派遣的人员和提供的房屋、资料、设备</w:t>
      </w:r>
    </w:p>
    <w:p w14:paraId="09DBF214">
      <w:pPr>
        <w:adjustRightInd w:val="0"/>
        <w:snapToGrid w:val="0"/>
        <w:spacing w:line="360" w:lineRule="auto"/>
        <w:rPr>
          <w:rFonts w:ascii="宋体" w:hAnsi="宋体" w:eastAsia="宋体" w:cs="宋体"/>
          <w:b/>
          <w:bCs/>
          <w:kern w:val="0"/>
          <w:sz w:val="30"/>
          <w:szCs w:val="30"/>
        </w:rPr>
      </w:pPr>
    </w:p>
    <w:p w14:paraId="0C01561F">
      <w:pPr>
        <w:adjustRightInd w:val="0"/>
        <w:snapToGrid w:val="0"/>
        <w:spacing w:line="360" w:lineRule="auto"/>
        <w:rPr>
          <w:rFonts w:ascii="宋体" w:hAnsi="宋体" w:eastAsia="宋体" w:cs="宋体"/>
          <w:b/>
          <w:bCs/>
          <w:kern w:val="0"/>
          <w:sz w:val="24"/>
        </w:rPr>
      </w:pPr>
      <w:r>
        <w:rPr>
          <w:rFonts w:hint="eastAsia" w:ascii="宋体" w:hAnsi="宋体" w:eastAsia="宋体" w:cs="宋体"/>
          <w:b/>
          <w:bCs/>
          <w:kern w:val="0"/>
          <w:sz w:val="24"/>
        </w:rPr>
        <w:t>B-1  委托人派遣的人员</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EDC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7552B16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名称</w:t>
            </w:r>
          </w:p>
        </w:tc>
        <w:tc>
          <w:tcPr>
            <w:tcW w:w="1770" w:type="dxa"/>
            <w:noWrap w:val="0"/>
            <w:vAlign w:val="center"/>
          </w:tcPr>
          <w:p w14:paraId="5394B1D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数量</w:t>
            </w:r>
          </w:p>
        </w:tc>
        <w:tc>
          <w:tcPr>
            <w:tcW w:w="2130" w:type="dxa"/>
            <w:noWrap w:val="0"/>
            <w:vAlign w:val="center"/>
          </w:tcPr>
          <w:p w14:paraId="152FC07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工作要求</w:t>
            </w:r>
          </w:p>
        </w:tc>
        <w:tc>
          <w:tcPr>
            <w:tcW w:w="1860" w:type="dxa"/>
            <w:noWrap w:val="0"/>
            <w:vAlign w:val="center"/>
          </w:tcPr>
          <w:p w14:paraId="1023E08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提供时间</w:t>
            </w:r>
          </w:p>
        </w:tc>
      </w:tr>
      <w:tr w14:paraId="23EE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192F14C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1.工程技术人员</w:t>
            </w:r>
          </w:p>
        </w:tc>
        <w:tc>
          <w:tcPr>
            <w:tcW w:w="1770" w:type="dxa"/>
            <w:noWrap w:val="0"/>
            <w:vAlign w:val="center"/>
          </w:tcPr>
          <w:p w14:paraId="7572FED8">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2130" w:type="dxa"/>
            <w:noWrap w:val="0"/>
            <w:vAlign w:val="center"/>
          </w:tcPr>
          <w:p w14:paraId="2B17B1EC">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1860" w:type="dxa"/>
            <w:noWrap w:val="0"/>
            <w:vAlign w:val="center"/>
          </w:tcPr>
          <w:p w14:paraId="69B917A7">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r>
      <w:tr w14:paraId="1A19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3A8FA618">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2.辅助工作人员</w:t>
            </w:r>
          </w:p>
        </w:tc>
        <w:tc>
          <w:tcPr>
            <w:tcW w:w="1770" w:type="dxa"/>
            <w:noWrap w:val="0"/>
            <w:vAlign w:val="center"/>
          </w:tcPr>
          <w:p w14:paraId="1157CF54">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2130" w:type="dxa"/>
            <w:noWrap w:val="0"/>
            <w:vAlign w:val="center"/>
          </w:tcPr>
          <w:p w14:paraId="292206A2">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1860" w:type="dxa"/>
            <w:noWrap w:val="0"/>
            <w:vAlign w:val="center"/>
          </w:tcPr>
          <w:p w14:paraId="03D882B4">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r>
      <w:tr w14:paraId="15D1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20F4C16F">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3.其他人员</w:t>
            </w:r>
          </w:p>
        </w:tc>
        <w:tc>
          <w:tcPr>
            <w:tcW w:w="1770" w:type="dxa"/>
            <w:noWrap w:val="0"/>
            <w:vAlign w:val="center"/>
          </w:tcPr>
          <w:p w14:paraId="430CBDCD">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2130" w:type="dxa"/>
            <w:noWrap w:val="0"/>
            <w:vAlign w:val="center"/>
          </w:tcPr>
          <w:p w14:paraId="197E56C6">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1860" w:type="dxa"/>
            <w:noWrap w:val="0"/>
            <w:vAlign w:val="center"/>
          </w:tcPr>
          <w:p w14:paraId="3DCAB565">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r>
      <w:tr w14:paraId="51D9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2F1E2C5D">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1770" w:type="dxa"/>
            <w:noWrap w:val="0"/>
            <w:vAlign w:val="center"/>
          </w:tcPr>
          <w:p w14:paraId="3F4D3FDD">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2130" w:type="dxa"/>
            <w:noWrap w:val="0"/>
            <w:vAlign w:val="center"/>
          </w:tcPr>
          <w:p w14:paraId="30AA631A">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c>
          <w:tcPr>
            <w:tcW w:w="1860" w:type="dxa"/>
            <w:noWrap w:val="0"/>
            <w:vAlign w:val="center"/>
          </w:tcPr>
          <w:p w14:paraId="2BFBB057">
            <w:pPr>
              <w:keepNext w:val="0"/>
              <w:keepLines w:val="0"/>
              <w:suppressLineNumbers w:val="0"/>
              <w:adjustRightInd w:val="0"/>
              <w:snapToGrid w:val="0"/>
              <w:spacing w:before="0" w:beforeAutospacing="0" w:after="0" w:afterAutospacing="0" w:line="360" w:lineRule="auto"/>
              <w:ind w:left="0" w:right="0" w:firstLine="480"/>
              <w:jc w:val="center"/>
              <w:rPr>
                <w:rFonts w:hint="default" w:ascii="宋体" w:hAnsi="宋体" w:eastAsia="宋体" w:cs="宋体"/>
                <w:kern w:val="0"/>
                <w:sz w:val="24"/>
              </w:rPr>
            </w:pPr>
          </w:p>
        </w:tc>
      </w:tr>
    </w:tbl>
    <w:p w14:paraId="00BA39C3">
      <w:pPr>
        <w:adjustRightInd w:val="0"/>
        <w:snapToGrid w:val="0"/>
        <w:spacing w:line="360" w:lineRule="auto"/>
        <w:rPr>
          <w:rFonts w:ascii="宋体" w:hAnsi="宋体" w:eastAsia="宋体" w:cs="宋体"/>
          <w:b/>
          <w:bCs/>
          <w:kern w:val="0"/>
          <w:sz w:val="24"/>
        </w:rPr>
      </w:pPr>
    </w:p>
    <w:p w14:paraId="16972138">
      <w:pPr>
        <w:adjustRightInd w:val="0"/>
        <w:snapToGrid w:val="0"/>
        <w:spacing w:line="360" w:lineRule="auto"/>
        <w:rPr>
          <w:rFonts w:ascii="宋体" w:hAnsi="宋体" w:eastAsia="宋体" w:cs="宋体"/>
          <w:b/>
          <w:bCs/>
          <w:kern w:val="0"/>
          <w:sz w:val="24"/>
        </w:rPr>
      </w:pPr>
      <w:r>
        <w:rPr>
          <w:rFonts w:hint="eastAsia" w:ascii="宋体" w:hAnsi="宋体" w:eastAsia="宋体" w:cs="宋体"/>
          <w:b/>
          <w:bCs/>
          <w:kern w:val="0"/>
          <w:sz w:val="24"/>
        </w:rPr>
        <w:t>B-2  委托人提供的房屋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548E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572D810">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r>
              <w:rPr>
                <w:rFonts w:hint="eastAsia" w:ascii="宋体" w:hAnsi="宋体" w:eastAsia="宋体" w:cs="宋体"/>
                <w:kern w:val="0"/>
                <w:sz w:val="24"/>
              </w:rPr>
              <w:t>名称</w:t>
            </w:r>
          </w:p>
        </w:tc>
        <w:tc>
          <w:tcPr>
            <w:tcW w:w="2130" w:type="dxa"/>
            <w:noWrap w:val="0"/>
            <w:vAlign w:val="top"/>
          </w:tcPr>
          <w:p w14:paraId="1A4CA7D6">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r>
              <w:rPr>
                <w:rFonts w:hint="eastAsia" w:ascii="宋体" w:hAnsi="宋体" w:eastAsia="宋体" w:cs="宋体"/>
                <w:kern w:val="0"/>
                <w:sz w:val="24"/>
              </w:rPr>
              <w:t>数量</w:t>
            </w:r>
          </w:p>
        </w:tc>
        <w:tc>
          <w:tcPr>
            <w:tcW w:w="2130" w:type="dxa"/>
            <w:noWrap w:val="0"/>
            <w:vAlign w:val="top"/>
          </w:tcPr>
          <w:p w14:paraId="4F6F040A">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r>
              <w:rPr>
                <w:rFonts w:hint="eastAsia" w:ascii="宋体" w:hAnsi="宋体" w:eastAsia="宋体" w:cs="宋体"/>
                <w:kern w:val="0"/>
                <w:sz w:val="24"/>
              </w:rPr>
              <w:t>面积</w:t>
            </w:r>
          </w:p>
        </w:tc>
        <w:tc>
          <w:tcPr>
            <w:tcW w:w="1860" w:type="dxa"/>
            <w:noWrap w:val="0"/>
            <w:vAlign w:val="top"/>
          </w:tcPr>
          <w:p w14:paraId="0D4EE5E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提供时间</w:t>
            </w:r>
          </w:p>
        </w:tc>
      </w:tr>
      <w:tr w14:paraId="3A60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06F6520">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1.办公用房</w:t>
            </w:r>
          </w:p>
        </w:tc>
        <w:tc>
          <w:tcPr>
            <w:tcW w:w="2130" w:type="dxa"/>
            <w:noWrap w:val="0"/>
            <w:vAlign w:val="top"/>
          </w:tcPr>
          <w:p w14:paraId="62319CC2">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2BF967E4">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4E5C1934">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341A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E22E84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2.生活用房</w:t>
            </w:r>
          </w:p>
        </w:tc>
        <w:tc>
          <w:tcPr>
            <w:tcW w:w="2130" w:type="dxa"/>
            <w:noWrap w:val="0"/>
            <w:vAlign w:val="top"/>
          </w:tcPr>
          <w:p w14:paraId="772F3EF8">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2AE392D3">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5805A7C9">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7F03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05795AA">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3.试验用房</w:t>
            </w:r>
          </w:p>
        </w:tc>
        <w:tc>
          <w:tcPr>
            <w:tcW w:w="2130" w:type="dxa"/>
            <w:noWrap w:val="0"/>
            <w:vAlign w:val="top"/>
          </w:tcPr>
          <w:p w14:paraId="775B91CF">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2C7D37EE">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3A70AD3D">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4D7D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58934A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4.样品用房</w:t>
            </w:r>
          </w:p>
        </w:tc>
        <w:tc>
          <w:tcPr>
            <w:tcW w:w="2130" w:type="dxa"/>
            <w:noWrap w:val="0"/>
            <w:vAlign w:val="top"/>
          </w:tcPr>
          <w:p w14:paraId="69047BA1">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4EB55B2A">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1ABEB1BC">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6FAC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05576E2">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7DCF101B">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008F1C28">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60769A24">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338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BCCAF19">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用餐及其他生活条件</w:t>
            </w:r>
          </w:p>
        </w:tc>
        <w:tc>
          <w:tcPr>
            <w:tcW w:w="6120" w:type="dxa"/>
            <w:gridSpan w:val="3"/>
            <w:noWrap w:val="0"/>
            <w:vAlign w:val="top"/>
          </w:tcPr>
          <w:p w14:paraId="0A32BFBB">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bl>
    <w:p w14:paraId="462D9985">
      <w:pPr>
        <w:adjustRightInd w:val="0"/>
        <w:snapToGrid w:val="0"/>
        <w:spacing w:line="360" w:lineRule="auto"/>
        <w:ind w:firstLine="480"/>
        <w:rPr>
          <w:rFonts w:ascii="宋体" w:hAnsi="宋体" w:eastAsia="宋体" w:cs="宋体"/>
          <w:kern w:val="0"/>
          <w:sz w:val="24"/>
        </w:rPr>
      </w:pPr>
    </w:p>
    <w:p w14:paraId="31B8B166">
      <w:pPr>
        <w:adjustRightInd w:val="0"/>
        <w:snapToGrid w:val="0"/>
        <w:spacing w:line="360" w:lineRule="auto"/>
        <w:ind w:firstLine="480"/>
        <w:rPr>
          <w:rFonts w:ascii="宋体" w:hAnsi="宋体" w:eastAsia="宋体" w:cs="宋体"/>
          <w:kern w:val="0"/>
          <w:sz w:val="24"/>
        </w:rPr>
      </w:pPr>
    </w:p>
    <w:p w14:paraId="2132A7AE">
      <w:pPr>
        <w:adjustRightInd w:val="0"/>
        <w:snapToGrid w:val="0"/>
        <w:spacing w:line="360" w:lineRule="auto"/>
        <w:ind w:firstLine="480"/>
        <w:rPr>
          <w:rFonts w:ascii="宋体" w:hAnsi="宋体" w:eastAsia="宋体" w:cs="宋体"/>
          <w:kern w:val="0"/>
          <w:sz w:val="24"/>
        </w:rPr>
      </w:pPr>
    </w:p>
    <w:p w14:paraId="511559D0">
      <w:pPr>
        <w:adjustRightInd w:val="0"/>
        <w:snapToGrid w:val="0"/>
        <w:spacing w:line="360" w:lineRule="auto"/>
        <w:ind w:firstLine="480"/>
        <w:rPr>
          <w:rFonts w:ascii="宋体" w:hAnsi="宋体" w:eastAsia="宋体" w:cs="宋体"/>
          <w:kern w:val="0"/>
          <w:sz w:val="24"/>
        </w:rPr>
      </w:pPr>
    </w:p>
    <w:p w14:paraId="683BDAAC">
      <w:pPr>
        <w:adjustRightInd w:val="0"/>
        <w:snapToGrid w:val="0"/>
        <w:spacing w:line="360" w:lineRule="auto"/>
        <w:rPr>
          <w:rFonts w:ascii="宋体" w:hAnsi="宋体" w:eastAsia="宋体" w:cs="宋体"/>
          <w:b/>
          <w:bCs/>
          <w:kern w:val="0"/>
          <w:sz w:val="24"/>
        </w:rPr>
      </w:pPr>
    </w:p>
    <w:p w14:paraId="1DBFB375">
      <w:pPr>
        <w:adjustRightInd w:val="0"/>
        <w:snapToGrid w:val="0"/>
        <w:spacing w:line="360" w:lineRule="auto"/>
        <w:rPr>
          <w:rFonts w:ascii="宋体" w:hAnsi="宋体" w:eastAsia="宋体" w:cs="宋体"/>
          <w:kern w:val="0"/>
          <w:sz w:val="24"/>
        </w:rPr>
      </w:pPr>
      <w:r>
        <w:rPr>
          <w:rFonts w:hint="eastAsia" w:ascii="宋体" w:hAnsi="宋体" w:eastAsia="宋体" w:cs="宋体"/>
          <w:b/>
          <w:bCs/>
          <w:kern w:val="0"/>
          <w:sz w:val="24"/>
        </w:rPr>
        <w:t>B-3  委托人提供的资料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38D5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center"/>
          </w:tcPr>
          <w:p w14:paraId="50233A1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名称</w:t>
            </w:r>
          </w:p>
        </w:tc>
        <w:tc>
          <w:tcPr>
            <w:tcW w:w="1491" w:type="dxa"/>
            <w:noWrap w:val="0"/>
            <w:vAlign w:val="center"/>
          </w:tcPr>
          <w:p w14:paraId="2BAF92A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份数</w:t>
            </w:r>
          </w:p>
        </w:tc>
        <w:tc>
          <w:tcPr>
            <w:tcW w:w="2147" w:type="dxa"/>
            <w:noWrap w:val="0"/>
            <w:vAlign w:val="center"/>
          </w:tcPr>
          <w:p w14:paraId="77DD468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提供时间</w:t>
            </w:r>
          </w:p>
        </w:tc>
        <w:tc>
          <w:tcPr>
            <w:tcW w:w="2082" w:type="dxa"/>
            <w:noWrap w:val="0"/>
            <w:vAlign w:val="center"/>
          </w:tcPr>
          <w:p w14:paraId="07AC076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备注</w:t>
            </w:r>
          </w:p>
        </w:tc>
      </w:tr>
      <w:tr w14:paraId="5F1E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CA9E003">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1.工程立项文件</w:t>
            </w:r>
          </w:p>
        </w:tc>
        <w:tc>
          <w:tcPr>
            <w:tcW w:w="1491" w:type="dxa"/>
            <w:noWrap w:val="0"/>
            <w:vAlign w:val="top"/>
          </w:tcPr>
          <w:p w14:paraId="792AFE09">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47" w:type="dxa"/>
            <w:noWrap w:val="0"/>
            <w:vAlign w:val="top"/>
          </w:tcPr>
          <w:p w14:paraId="3FF4E4AF">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082" w:type="dxa"/>
            <w:noWrap w:val="0"/>
            <w:vAlign w:val="top"/>
          </w:tcPr>
          <w:p w14:paraId="10135228">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495D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047F09B">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2.工程勘察文件</w:t>
            </w:r>
          </w:p>
        </w:tc>
        <w:tc>
          <w:tcPr>
            <w:tcW w:w="1491" w:type="dxa"/>
            <w:noWrap w:val="0"/>
            <w:vAlign w:val="top"/>
          </w:tcPr>
          <w:p w14:paraId="2CD6536E">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47" w:type="dxa"/>
            <w:noWrap w:val="0"/>
            <w:vAlign w:val="top"/>
          </w:tcPr>
          <w:p w14:paraId="5D209990">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082" w:type="dxa"/>
            <w:noWrap w:val="0"/>
            <w:vAlign w:val="top"/>
          </w:tcPr>
          <w:p w14:paraId="13693E61">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453E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D1C400D">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3.工程设计及施工图纸</w:t>
            </w:r>
          </w:p>
        </w:tc>
        <w:tc>
          <w:tcPr>
            <w:tcW w:w="1491" w:type="dxa"/>
            <w:noWrap w:val="0"/>
            <w:vAlign w:val="top"/>
          </w:tcPr>
          <w:p w14:paraId="56115B88">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47" w:type="dxa"/>
            <w:noWrap w:val="0"/>
            <w:vAlign w:val="top"/>
          </w:tcPr>
          <w:p w14:paraId="42B6DFCF">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082" w:type="dxa"/>
            <w:noWrap w:val="0"/>
            <w:vAlign w:val="top"/>
          </w:tcPr>
          <w:p w14:paraId="1C2A5419">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49A4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EA88DD3">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4.工程承包合同及其他相关合同</w:t>
            </w:r>
          </w:p>
        </w:tc>
        <w:tc>
          <w:tcPr>
            <w:tcW w:w="1491" w:type="dxa"/>
            <w:noWrap w:val="0"/>
            <w:vAlign w:val="top"/>
          </w:tcPr>
          <w:p w14:paraId="2E1BF30C">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47" w:type="dxa"/>
            <w:noWrap w:val="0"/>
            <w:vAlign w:val="top"/>
          </w:tcPr>
          <w:p w14:paraId="23DD9B3E">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082" w:type="dxa"/>
            <w:noWrap w:val="0"/>
            <w:vAlign w:val="top"/>
          </w:tcPr>
          <w:p w14:paraId="493973CA">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4217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A2B7CA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5.施工许可文件</w:t>
            </w:r>
          </w:p>
        </w:tc>
        <w:tc>
          <w:tcPr>
            <w:tcW w:w="1491" w:type="dxa"/>
            <w:noWrap w:val="0"/>
            <w:vAlign w:val="top"/>
          </w:tcPr>
          <w:p w14:paraId="38B6E05A">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47" w:type="dxa"/>
            <w:noWrap w:val="0"/>
            <w:vAlign w:val="top"/>
          </w:tcPr>
          <w:p w14:paraId="51E38EB2">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082" w:type="dxa"/>
            <w:noWrap w:val="0"/>
            <w:vAlign w:val="top"/>
          </w:tcPr>
          <w:p w14:paraId="4600949A">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7D28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FAA21E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6.其他文件</w:t>
            </w:r>
          </w:p>
        </w:tc>
        <w:tc>
          <w:tcPr>
            <w:tcW w:w="1491" w:type="dxa"/>
            <w:noWrap w:val="0"/>
            <w:vAlign w:val="top"/>
          </w:tcPr>
          <w:p w14:paraId="42B9BA70">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47" w:type="dxa"/>
            <w:noWrap w:val="0"/>
            <w:vAlign w:val="top"/>
          </w:tcPr>
          <w:p w14:paraId="39C5F333">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082" w:type="dxa"/>
            <w:noWrap w:val="0"/>
            <w:vAlign w:val="top"/>
          </w:tcPr>
          <w:p w14:paraId="29D2E2EA">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6D3E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50FDA8F">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491" w:type="dxa"/>
            <w:noWrap w:val="0"/>
            <w:vAlign w:val="top"/>
          </w:tcPr>
          <w:p w14:paraId="68F69478">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47" w:type="dxa"/>
            <w:noWrap w:val="0"/>
            <w:vAlign w:val="top"/>
          </w:tcPr>
          <w:p w14:paraId="5EC1C573">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082" w:type="dxa"/>
            <w:noWrap w:val="0"/>
            <w:vAlign w:val="top"/>
          </w:tcPr>
          <w:p w14:paraId="45B85FB0">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bl>
    <w:p w14:paraId="077FFA08">
      <w:pPr>
        <w:adjustRightInd w:val="0"/>
        <w:snapToGrid w:val="0"/>
        <w:spacing w:line="360" w:lineRule="auto"/>
        <w:rPr>
          <w:rFonts w:ascii="宋体" w:hAnsi="宋体" w:eastAsia="宋体" w:cs="宋体"/>
          <w:b/>
          <w:bCs/>
          <w:kern w:val="0"/>
          <w:sz w:val="24"/>
        </w:rPr>
      </w:pPr>
    </w:p>
    <w:p w14:paraId="521C9557">
      <w:pPr>
        <w:adjustRightInd w:val="0"/>
        <w:snapToGrid w:val="0"/>
        <w:spacing w:line="360" w:lineRule="auto"/>
        <w:rPr>
          <w:rFonts w:ascii="宋体" w:hAnsi="宋体" w:eastAsia="宋体" w:cs="宋体"/>
          <w:b/>
          <w:bCs/>
          <w:kern w:val="0"/>
          <w:sz w:val="24"/>
        </w:rPr>
      </w:pPr>
      <w:r>
        <w:rPr>
          <w:rFonts w:hint="eastAsia" w:ascii="宋体" w:hAnsi="宋体" w:eastAsia="宋体" w:cs="宋体"/>
          <w:b/>
          <w:bCs/>
          <w:kern w:val="0"/>
          <w:sz w:val="24"/>
        </w:rPr>
        <w:t>B-4 委托人提供的设备</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223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D0F851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名称</w:t>
            </w:r>
          </w:p>
        </w:tc>
        <w:tc>
          <w:tcPr>
            <w:tcW w:w="1590" w:type="dxa"/>
            <w:noWrap w:val="0"/>
            <w:vAlign w:val="top"/>
          </w:tcPr>
          <w:p w14:paraId="278CC7F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数量</w:t>
            </w:r>
          </w:p>
        </w:tc>
        <w:tc>
          <w:tcPr>
            <w:tcW w:w="2130" w:type="dxa"/>
            <w:noWrap w:val="0"/>
            <w:vAlign w:val="top"/>
          </w:tcPr>
          <w:p w14:paraId="2D63D7D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型号与规格</w:t>
            </w:r>
          </w:p>
        </w:tc>
        <w:tc>
          <w:tcPr>
            <w:tcW w:w="1860" w:type="dxa"/>
            <w:noWrap w:val="0"/>
            <w:vAlign w:val="top"/>
          </w:tcPr>
          <w:p w14:paraId="69E514D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0"/>
                <w:sz w:val="24"/>
              </w:rPr>
            </w:pPr>
            <w:r>
              <w:rPr>
                <w:rFonts w:hint="eastAsia" w:ascii="宋体" w:hAnsi="宋体" w:eastAsia="宋体" w:cs="宋体"/>
                <w:kern w:val="0"/>
                <w:sz w:val="24"/>
              </w:rPr>
              <w:t>提供时间</w:t>
            </w:r>
          </w:p>
        </w:tc>
      </w:tr>
      <w:tr w14:paraId="701C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931E74F">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1.通讯设备</w:t>
            </w:r>
          </w:p>
        </w:tc>
        <w:tc>
          <w:tcPr>
            <w:tcW w:w="1590" w:type="dxa"/>
            <w:noWrap w:val="0"/>
            <w:vAlign w:val="top"/>
          </w:tcPr>
          <w:p w14:paraId="5D7C8158">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26070304">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61464E3F">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0EB7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D3F6439">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2.办公设备</w:t>
            </w:r>
          </w:p>
        </w:tc>
        <w:tc>
          <w:tcPr>
            <w:tcW w:w="1590" w:type="dxa"/>
            <w:noWrap w:val="0"/>
            <w:vAlign w:val="top"/>
          </w:tcPr>
          <w:p w14:paraId="6D3E0655">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786E20D9">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1B1F76D0">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2844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3D3B6F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3.交通工具</w:t>
            </w:r>
          </w:p>
        </w:tc>
        <w:tc>
          <w:tcPr>
            <w:tcW w:w="1590" w:type="dxa"/>
            <w:noWrap w:val="0"/>
            <w:vAlign w:val="top"/>
          </w:tcPr>
          <w:p w14:paraId="11FC664B">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42F7410F">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7C14B3C3">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6B48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A5B4779">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kern w:val="0"/>
                <w:sz w:val="24"/>
              </w:rPr>
            </w:pPr>
            <w:r>
              <w:rPr>
                <w:rFonts w:hint="eastAsia" w:ascii="宋体" w:hAnsi="宋体" w:eastAsia="宋体" w:cs="宋体"/>
                <w:kern w:val="0"/>
                <w:sz w:val="24"/>
              </w:rPr>
              <w:t>4.检测和试验设备</w:t>
            </w:r>
          </w:p>
        </w:tc>
        <w:tc>
          <w:tcPr>
            <w:tcW w:w="1590" w:type="dxa"/>
            <w:noWrap w:val="0"/>
            <w:vAlign w:val="top"/>
          </w:tcPr>
          <w:p w14:paraId="02117C7F">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060A2147">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38330E69">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r w14:paraId="1BD2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B79D6B0">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590" w:type="dxa"/>
            <w:noWrap w:val="0"/>
            <w:vAlign w:val="top"/>
          </w:tcPr>
          <w:p w14:paraId="6D4348A1">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2130" w:type="dxa"/>
            <w:noWrap w:val="0"/>
            <w:vAlign w:val="top"/>
          </w:tcPr>
          <w:p w14:paraId="6F314C40">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c>
          <w:tcPr>
            <w:tcW w:w="1860" w:type="dxa"/>
            <w:noWrap w:val="0"/>
            <w:vAlign w:val="top"/>
          </w:tcPr>
          <w:p w14:paraId="48E27978">
            <w:pPr>
              <w:keepNext w:val="0"/>
              <w:keepLines w:val="0"/>
              <w:suppressLineNumbers w:val="0"/>
              <w:adjustRightInd w:val="0"/>
              <w:snapToGrid w:val="0"/>
              <w:spacing w:before="0" w:beforeAutospacing="0" w:after="0" w:afterAutospacing="0" w:line="360" w:lineRule="auto"/>
              <w:ind w:left="0" w:right="0" w:firstLine="480"/>
              <w:rPr>
                <w:rFonts w:hint="default" w:ascii="宋体" w:hAnsi="宋体" w:eastAsia="宋体" w:cs="宋体"/>
                <w:kern w:val="0"/>
                <w:sz w:val="24"/>
              </w:rPr>
            </w:pPr>
          </w:p>
        </w:tc>
      </w:tr>
    </w:tbl>
    <w:p w14:paraId="6F6205DF">
      <w:pPr>
        <w:autoSpaceDE w:val="0"/>
        <w:autoSpaceDN w:val="0"/>
        <w:adjustRightInd w:val="0"/>
        <w:spacing w:line="360" w:lineRule="auto"/>
        <w:rPr>
          <w:rFonts w:ascii="宋体" w:hAnsi="宋体" w:eastAsia="宋体" w:cs="宋体"/>
          <w:b/>
          <w:sz w:val="24"/>
          <w:lang w:val="zh-CN"/>
        </w:rPr>
      </w:pPr>
    </w:p>
    <w:p w14:paraId="0999D265">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b/>
          <w:sz w:val="24"/>
          <w:lang w:val="zh-CN"/>
        </w:rPr>
        <w:t>附加协议条款</w:t>
      </w:r>
      <w:r>
        <w:rPr>
          <w:rFonts w:hint="eastAsia" w:ascii="宋体" w:hAnsi="宋体" w:eastAsia="宋体" w:cs="宋体"/>
          <w:sz w:val="24"/>
          <w:lang w:val="zh-CN"/>
        </w:rPr>
        <w:t>：</w:t>
      </w:r>
    </w:p>
    <w:p w14:paraId="44E1F1A9">
      <w:pPr>
        <w:autoSpaceDE w:val="0"/>
        <w:autoSpaceDN w:val="0"/>
        <w:adjustRightInd w:val="0"/>
        <w:ind w:left="2" w:firstLine="477" w:firstLineChars="198"/>
        <w:rPr>
          <w:rFonts w:ascii="宋体" w:hAnsi="宋体" w:eastAsia="宋体" w:cs="宋体"/>
          <w:kern w:val="0"/>
          <w:sz w:val="24"/>
        </w:rPr>
      </w:pPr>
      <w:r>
        <w:rPr>
          <w:rFonts w:hint="eastAsia" w:ascii="宋体" w:hAnsi="宋体" w:eastAsia="宋体" w:cs="宋体"/>
          <w:b/>
          <w:sz w:val="24"/>
          <w:lang w:val="zh-CN"/>
        </w:rPr>
        <w:t>说明</w:t>
      </w:r>
      <w:r>
        <w:rPr>
          <w:rFonts w:hint="eastAsia" w:ascii="宋体" w:hAnsi="宋体" w:eastAsia="宋体" w:cs="宋体"/>
          <w:sz w:val="24"/>
          <w:lang w:val="zh-CN"/>
        </w:rPr>
        <w:t>：除招标文件中已经约定的内容，专用条件中的其他条款</w:t>
      </w:r>
      <w:r>
        <w:rPr>
          <w:rFonts w:hint="eastAsia" w:ascii="宋体" w:hAnsi="宋体" w:eastAsia="宋体" w:cs="宋体"/>
          <w:sz w:val="24"/>
        </w:rPr>
        <w:t>由</w:t>
      </w:r>
      <w:r>
        <w:rPr>
          <w:rFonts w:hint="eastAsia" w:ascii="宋体" w:hAnsi="宋体" w:eastAsia="宋体" w:cs="宋体"/>
          <w:sz w:val="24"/>
          <w:lang w:val="zh-CN"/>
        </w:rPr>
        <w:t>中标人与业主另行协商确定。</w:t>
      </w:r>
    </w:p>
    <w:p w14:paraId="49040748">
      <w:pPr>
        <w:numPr>
          <w:ilvl w:val="0"/>
          <w:numId w:val="0"/>
        </w:numPr>
        <w:rPr>
          <w:rFonts w:hint="eastAsia"/>
          <w:lang w:eastAsia="zh-CN"/>
        </w:rPr>
      </w:pPr>
    </w:p>
    <w:bookmarkEnd w:id="122"/>
    <w:p w14:paraId="6EAEAAC9">
      <w:pPr>
        <w:pStyle w:val="169"/>
        <w:wordWrap w:val="0"/>
        <w:spacing w:line="500" w:lineRule="atLeast"/>
        <w:rPr>
          <w:rFonts w:hint="eastAsia" w:ascii="宋体" w:hAnsi="宋体" w:cs="宋体"/>
          <w:bCs/>
          <w:color w:val="000000" w:themeColor="text1"/>
          <w:sz w:val="28"/>
          <w:szCs w:val="28"/>
          <w:lang w:eastAsia="zh-CN"/>
          <w14:textFill>
            <w14:solidFill>
              <w14:schemeClr w14:val="tx1"/>
            </w14:solidFill>
          </w14:textFill>
        </w:rPr>
      </w:pPr>
      <w:bookmarkStart w:id="126" w:name="_Toc532543568"/>
      <w:bookmarkStart w:id="127" w:name="_Toc18901"/>
      <w:bookmarkStart w:id="128" w:name="_Toc531075012"/>
      <w:bookmarkStart w:id="129" w:name="_Toc257633148"/>
      <w:bookmarkStart w:id="130" w:name="_Toc256000017"/>
      <w:r>
        <w:rPr>
          <w:rFonts w:hint="eastAsia" w:ascii="宋体" w:hAnsi="宋体" w:cs="宋体"/>
          <w:bCs/>
          <w:color w:val="000000" w:themeColor="text1"/>
          <w:sz w:val="28"/>
          <w:szCs w:val="28"/>
          <w:lang w:eastAsia="zh-CN"/>
          <w14:textFill>
            <w14:solidFill>
              <w14:schemeClr w14:val="tx1"/>
            </w14:solidFill>
          </w14:textFill>
        </w:rPr>
        <w:t>注：此合同仅供参考，以最终具体签订合同为准</w:t>
      </w:r>
    </w:p>
    <w:p w14:paraId="4F236580">
      <w:pPr>
        <w:pStyle w:val="28"/>
        <w:wordWrap w:val="0"/>
        <w:spacing w:line="440" w:lineRule="exact"/>
        <w:rPr>
          <w:rFonts w:ascii="Arial" w:hAnsi="Times New Roman" w:eastAsia="仿宋_GB2312" w:cs="Arial"/>
          <w:color w:val="000000" w:themeColor="text1"/>
          <w:kern w:val="2"/>
          <w:sz w:val="32"/>
          <w:szCs w:val="32"/>
          <w14:textFill>
            <w14:solidFill>
              <w14:schemeClr w14:val="tx1"/>
            </w14:solidFill>
          </w14:textFill>
        </w:rPr>
      </w:pPr>
    </w:p>
    <w:p w14:paraId="2D2C4A99">
      <w:pPr>
        <w:widowControl/>
        <w:wordWrap w:val="0"/>
        <w:jc w:val="both"/>
        <w:rPr>
          <w:rFonts w:ascii="宋体" w:hAnsi="宋体" w:cs="宋体"/>
          <w:bCs/>
          <w:color w:val="000000" w:themeColor="text1"/>
          <w:kern w:val="0"/>
          <w:sz w:val="32"/>
          <w:szCs w:val="24"/>
          <w14:textFill>
            <w14:solidFill>
              <w14:schemeClr w14:val="tx1"/>
            </w14:solidFill>
          </w14:textFill>
        </w:rPr>
      </w:pPr>
    </w:p>
    <w:p w14:paraId="2E4F3364">
      <w:pPr>
        <w:widowControl/>
        <w:wordWrap w:val="0"/>
        <w:jc w:val="both"/>
        <w:rPr>
          <w:rFonts w:ascii="宋体" w:hAnsi="宋体" w:cs="宋体"/>
          <w:bCs/>
          <w:color w:val="000000" w:themeColor="text1"/>
          <w:kern w:val="0"/>
          <w:sz w:val="32"/>
          <w:szCs w:val="24"/>
          <w14:textFill>
            <w14:solidFill>
              <w14:schemeClr w14:val="tx1"/>
            </w14:solidFill>
          </w14:textFill>
        </w:rPr>
      </w:pPr>
    </w:p>
    <w:p w14:paraId="0BB8160C">
      <w:pPr>
        <w:widowControl/>
        <w:wordWrap w:val="0"/>
        <w:jc w:val="both"/>
        <w:rPr>
          <w:rFonts w:ascii="宋体" w:hAnsi="宋体" w:cs="宋体"/>
          <w:bCs/>
          <w:color w:val="000000" w:themeColor="text1"/>
          <w:kern w:val="0"/>
          <w:sz w:val="32"/>
          <w:szCs w:val="24"/>
          <w14:textFill>
            <w14:solidFill>
              <w14:schemeClr w14:val="tx1"/>
            </w14:solidFill>
          </w14:textFill>
        </w:rPr>
      </w:pPr>
    </w:p>
    <w:p w14:paraId="07B99758">
      <w:pPr>
        <w:widowControl/>
        <w:wordWrap w:val="0"/>
        <w:jc w:val="both"/>
        <w:rPr>
          <w:rFonts w:ascii="宋体" w:hAnsi="宋体" w:cs="宋体"/>
          <w:bCs/>
          <w:color w:val="000000" w:themeColor="text1"/>
          <w:kern w:val="0"/>
          <w:sz w:val="32"/>
          <w:szCs w:val="24"/>
          <w14:textFill>
            <w14:solidFill>
              <w14:schemeClr w14:val="tx1"/>
            </w14:solidFill>
          </w14:textFill>
        </w:rPr>
      </w:pPr>
    </w:p>
    <w:p w14:paraId="62572591">
      <w:pPr>
        <w:widowControl/>
        <w:wordWrap w:val="0"/>
        <w:jc w:val="both"/>
        <w:rPr>
          <w:rFonts w:ascii="宋体" w:hAnsi="宋体" w:cs="宋体"/>
          <w:bCs/>
          <w:color w:val="000000" w:themeColor="text1"/>
          <w:kern w:val="0"/>
          <w:sz w:val="32"/>
          <w:szCs w:val="24"/>
          <w14:textFill>
            <w14:solidFill>
              <w14:schemeClr w14:val="tx1"/>
            </w14:solidFill>
          </w14:textFill>
        </w:rPr>
      </w:pPr>
    </w:p>
    <w:p w14:paraId="1C1068DF">
      <w:pPr>
        <w:widowControl/>
        <w:wordWrap w:val="0"/>
        <w:jc w:val="both"/>
        <w:rPr>
          <w:rFonts w:ascii="宋体" w:hAnsi="宋体" w:cs="宋体"/>
          <w:bCs/>
          <w:color w:val="000000" w:themeColor="text1"/>
          <w:kern w:val="0"/>
          <w:sz w:val="32"/>
          <w:szCs w:val="24"/>
          <w14:textFill>
            <w14:solidFill>
              <w14:schemeClr w14:val="tx1"/>
            </w14:solidFill>
          </w14:textFill>
        </w:rPr>
      </w:pPr>
    </w:p>
    <w:p w14:paraId="6761464E">
      <w:pPr>
        <w:widowControl/>
        <w:wordWrap w:val="0"/>
        <w:jc w:val="both"/>
        <w:rPr>
          <w:rFonts w:ascii="宋体" w:hAnsi="宋体" w:cs="宋体"/>
          <w:bCs/>
          <w:color w:val="000000" w:themeColor="text1"/>
          <w:kern w:val="0"/>
          <w:sz w:val="32"/>
          <w:szCs w:val="24"/>
          <w14:textFill>
            <w14:solidFill>
              <w14:schemeClr w14:val="tx1"/>
            </w14:solidFill>
          </w14:textFill>
        </w:rPr>
      </w:pPr>
    </w:p>
    <w:p w14:paraId="0684CD37">
      <w:pPr>
        <w:widowControl/>
        <w:wordWrap w:val="0"/>
        <w:jc w:val="both"/>
        <w:rPr>
          <w:rFonts w:ascii="宋体" w:hAnsi="宋体" w:cs="宋体"/>
          <w:bCs/>
          <w:color w:val="000000" w:themeColor="text1"/>
          <w:kern w:val="0"/>
          <w:sz w:val="32"/>
          <w:szCs w:val="24"/>
          <w14:textFill>
            <w14:solidFill>
              <w14:schemeClr w14:val="tx1"/>
            </w14:solidFill>
          </w14:textFill>
        </w:rPr>
      </w:pPr>
    </w:p>
    <w:p w14:paraId="3416C28B">
      <w:pPr>
        <w:widowControl/>
        <w:wordWrap w:val="0"/>
        <w:jc w:val="both"/>
        <w:rPr>
          <w:rFonts w:ascii="宋体" w:hAnsi="宋体" w:cs="宋体"/>
          <w:bCs/>
          <w:color w:val="000000" w:themeColor="text1"/>
          <w:kern w:val="0"/>
          <w:sz w:val="32"/>
          <w:szCs w:val="24"/>
          <w14:textFill>
            <w14:solidFill>
              <w14:schemeClr w14:val="tx1"/>
            </w14:solidFill>
          </w14:textFill>
        </w:rPr>
      </w:pPr>
    </w:p>
    <w:p w14:paraId="624C2CA2">
      <w:pPr>
        <w:widowControl/>
        <w:wordWrap w:val="0"/>
        <w:jc w:val="center"/>
        <w:rPr>
          <w:rFonts w:ascii="宋体" w:hAnsi="宋体" w:cs="宋体"/>
          <w:bCs/>
          <w:color w:val="000000" w:themeColor="text1"/>
          <w:kern w:val="0"/>
          <w:sz w:val="32"/>
          <w:szCs w:val="24"/>
          <w14:textFill>
            <w14:solidFill>
              <w14:schemeClr w14:val="tx1"/>
            </w14:solidFill>
          </w14:textFill>
        </w:rPr>
      </w:pPr>
    </w:p>
    <w:p w14:paraId="0E63F180">
      <w:pPr>
        <w:widowControl/>
        <w:wordWrap w:val="0"/>
        <w:jc w:val="center"/>
        <w:rPr>
          <w:rFonts w:ascii="宋体" w:hAnsi="宋体" w:cs="宋体"/>
          <w:bCs/>
          <w:color w:val="000000" w:themeColor="text1"/>
          <w:kern w:val="0"/>
          <w:sz w:val="32"/>
          <w:szCs w:val="24"/>
          <w14:textFill>
            <w14:solidFill>
              <w14:schemeClr w14:val="tx1"/>
            </w14:solidFill>
          </w14:textFill>
        </w:rPr>
      </w:pPr>
      <w:r>
        <w:rPr>
          <w:rFonts w:hint="eastAsia" w:ascii="宋体" w:hAnsi="宋体" w:cs="宋体"/>
          <w:bCs/>
          <w:color w:val="000000" w:themeColor="text1"/>
          <w:kern w:val="0"/>
          <w:sz w:val="32"/>
          <w:szCs w:val="24"/>
          <w14:textFill>
            <w14:solidFill>
              <w14:schemeClr w14:val="tx1"/>
            </w14:solidFill>
          </w14:textFill>
        </w:rPr>
        <w:t xml:space="preserve">第六章 </w:t>
      </w:r>
      <w:r>
        <w:rPr>
          <w:rFonts w:hint="eastAsia" w:ascii="宋体" w:hAnsi="宋体" w:eastAsia="宋体" w:cs="宋体"/>
          <w:b w:val="0"/>
          <w:bCs/>
          <w:color w:val="000000" w:themeColor="text1"/>
          <w:kern w:val="0"/>
          <w:sz w:val="32"/>
          <w:szCs w:val="24"/>
          <w:lang w:val="en-US" w:eastAsia="zh-CN" w:bidi="ar-SA"/>
          <w14:textFill>
            <w14:solidFill>
              <w14:schemeClr w14:val="tx1"/>
            </w14:solidFill>
          </w14:textFill>
        </w:rPr>
        <w:t>竞争性磋商响应文件格式</w:t>
      </w:r>
      <w:bookmarkEnd w:id="126"/>
      <w:bookmarkEnd w:id="127"/>
      <w:bookmarkEnd w:id="128"/>
      <w:bookmarkEnd w:id="129"/>
      <w:bookmarkEnd w:id="130"/>
    </w:p>
    <w:p w14:paraId="3BFEA85B">
      <w:pPr>
        <w:wordWrap w:val="0"/>
        <w:rPr>
          <w:rFonts w:ascii="宋体" w:hAnsi="宋体" w:cs="宋体"/>
          <w:color w:val="000000" w:themeColor="text1"/>
          <w:highlight w:val="red"/>
          <w14:textFill>
            <w14:solidFill>
              <w14:schemeClr w14:val="tx1"/>
            </w14:solidFill>
          </w14:textFill>
        </w:rPr>
      </w:pPr>
      <w:bookmarkStart w:id="131" w:name="EBb5dd68fd2a304dbeb6aeee6f34002852"/>
    </w:p>
    <w:p w14:paraId="657AF33D">
      <w:pPr>
        <w:pStyle w:val="161"/>
        <w:wordWrap w:val="0"/>
        <w:spacing w:line="500"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7BA779C7">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一、磋商响应文件封面</w:t>
      </w:r>
    </w:p>
    <w:p w14:paraId="7B980803">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二、营业执照、资质证书</w:t>
      </w:r>
    </w:p>
    <w:p w14:paraId="055B33B3">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三、投标保证金</w:t>
      </w:r>
    </w:p>
    <w:p w14:paraId="44D35DB4">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四、供应商的资格声明</w:t>
      </w:r>
    </w:p>
    <w:p w14:paraId="340EE2A5">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五、不参与围标串标承诺书</w:t>
      </w:r>
    </w:p>
    <w:p w14:paraId="1E054649">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六、竞争性磋商函</w:t>
      </w:r>
    </w:p>
    <w:p w14:paraId="6BEC0222">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七、开标一览表</w:t>
      </w:r>
    </w:p>
    <w:p w14:paraId="265B0B18">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八、竞争性磋商报价明细表</w:t>
      </w:r>
    </w:p>
    <w:p w14:paraId="3CBE2EBD">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九、商务响应、偏离说明表</w:t>
      </w:r>
    </w:p>
    <w:p w14:paraId="391799C1">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十、供应商类似项目业绩表</w:t>
      </w:r>
    </w:p>
    <w:p w14:paraId="5C2CFEC1">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十一、法定授权人委托书</w:t>
      </w:r>
    </w:p>
    <w:p w14:paraId="4B61563D">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十二、技术响应、偏离说明表</w:t>
      </w:r>
    </w:p>
    <w:p w14:paraId="60B2C32F">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十三、投标人自行编写的商务文件</w:t>
      </w:r>
    </w:p>
    <w:p w14:paraId="45F252CE">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十四、投标人自行编写的技术文件</w:t>
      </w:r>
    </w:p>
    <w:p w14:paraId="71471A91">
      <w:pPr>
        <w:pStyle w:val="161"/>
        <w:wordWrap w:val="0"/>
        <w:spacing w:line="500" w:lineRule="atLeast"/>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14:textFill>
            <w14:solidFill>
              <w14:schemeClr w14:val="tx1"/>
            </w14:solidFill>
          </w14:textFill>
        </w:rPr>
        <w:t>十五、其他材料</w:t>
      </w:r>
    </w:p>
    <w:p w14:paraId="71CC80C4">
      <w:pPr>
        <w:wordWrap w:val="0"/>
        <w:spacing w:line="500" w:lineRule="atLeast"/>
        <w:rPr>
          <w:rFonts w:ascii="宋体" w:hAnsi="宋体" w:cs="宋体"/>
          <w:color w:val="000000" w:themeColor="text1"/>
          <w:highlight w:val="red"/>
          <w14:textFill>
            <w14:solidFill>
              <w14:schemeClr w14:val="tx1"/>
            </w14:solidFill>
          </w14:textFill>
        </w:rPr>
      </w:pPr>
    </w:p>
    <w:p w14:paraId="5D2686FE">
      <w:pPr>
        <w:pStyle w:val="152"/>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F929184">
      <w:pPr>
        <w:pStyle w:val="155"/>
        <w:wordWrap w:val="0"/>
        <w:spacing w:line="500" w:lineRule="atLeast"/>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一、磋商响应文件封面</w:t>
      </w:r>
    </w:p>
    <w:p w14:paraId="57A192AC">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3ABD1157">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43316C79">
      <w:pPr>
        <w:pStyle w:val="15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p>
    <w:p w14:paraId="50F090C8">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p>
    <w:p w14:paraId="2E21ADCB">
      <w:pPr>
        <w:pStyle w:val="15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（项目编号）</w:t>
      </w:r>
    </w:p>
    <w:p w14:paraId="7A4F8316">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p>
    <w:p w14:paraId="3B32F693">
      <w:pPr>
        <w:pStyle w:val="155"/>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79DC46ED">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77BDDF9A">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0469164D">
      <w:pPr>
        <w:pStyle w:val="155"/>
        <w:wordWrap w:val="0"/>
        <w:spacing w:line="500" w:lineRule="atLeast"/>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响应文件</w:t>
      </w:r>
    </w:p>
    <w:p w14:paraId="64178585">
      <w:pPr>
        <w:pStyle w:val="155"/>
        <w:wordWrap w:val="0"/>
        <w:spacing w:line="500" w:lineRule="atLeast"/>
        <w:jc w:val="center"/>
        <w:rPr>
          <w:rFonts w:ascii="宋体" w:hAnsi="宋体" w:cs="宋体"/>
          <w:color w:val="000000" w:themeColor="text1"/>
          <w:sz w:val="28"/>
          <w14:textFill>
            <w14:solidFill>
              <w14:schemeClr w14:val="tx1"/>
            </w14:solidFill>
          </w14:textFill>
        </w:rPr>
      </w:pPr>
    </w:p>
    <w:p w14:paraId="60FA931A">
      <w:pPr>
        <w:pStyle w:val="155"/>
        <w:wordWrap w:val="0"/>
        <w:spacing w:line="500" w:lineRule="atLeast"/>
        <w:rPr>
          <w:rFonts w:ascii="宋体" w:hAnsi="宋体" w:cs="宋体"/>
          <w:b/>
          <w:color w:val="000000" w:themeColor="text1"/>
          <w:sz w:val="28"/>
          <w14:textFill>
            <w14:solidFill>
              <w14:schemeClr w14:val="tx1"/>
            </w14:solidFill>
          </w14:textFill>
        </w:rPr>
      </w:pPr>
    </w:p>
    <w:p w14:paraId="1EE92804">
      <w:pPr>
        <w:pStyle w:val="155"/>
        <w:wordWrap w:val="0"/>
        <w:spacing w:line="500" w:lineRule="atLeast"/>
        <w:jc w:val="center"/>
        <w:rPr>
          <w:rFonts w:ascii="宋体" w:hAnsi="宋体" w:cs="宋体"/>
          <w:b/>
          <w:color w:val="000000" w:themeColor="text1"/>
          <w:sz w:val="28"/>
          <w14:textFill>
            <w14:solidFill>
              <w14:schemeClr w14:val="tx1"/>
            </w14:solidFill>
          </w14:textFill>
        </w:rPr>
      </w:pPr>
    </w:p>
    <w:p w14:paraId="74EE9D30">
      <w:pPr>
        <w:pStyle w:val="155"/>
        <w:wordWrap w:val="0"/>
        <w:spacing w:line="500" w:lineRule="atLeast"/>
        <w:jc w:val="center"/>
        <w:rPr>
          <w:rFonts w:ascii="宋体" w:hAnsi="宋体" w:cs="宋体"/>
          <w:b/>
          <w:color w:val="000000" w:themeColor="text1"/>
          <w:sz w:val="28"/>
          <w14:textFill>
            <w14:solidFill>
              <w14:schemeClr w14:val="tx1"/>
            </w14:solidFill>
          </w14:textFill>
        </w:rPr>
      </w:pPr>
    </w:p>
    <w:p w14:paraId="4EB57D2E">
      <w:pPr>
        <w:pStyle w:val="155"/>
        <w:wordWrap w:val="0"/>
        <w:spacing w:line="500" w:lineRule="atLeast"/>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（盖章）</w:t>
      </w:r>
    </w:p>
    <w:p w14:paraId="3C85D716">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（签字或盖章）</w:t>
      </w:r>
    </w:p>
    <w:p w14:paraId="21654A14">
      <w:pPr>
        <w:pStyle w:val="155"/>
        <w:wordWrap w:val="0"/>
        <w:spacing w:line="500" w:lineRule="atLeas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（年/月/日）</w:t>
      </w:r>
    </w:p>
    <w:p w14:paraId="1055722E">
      <w:pPr>
        <w:pStyle w:val="160"/>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二、营业执照、资质证书</w:t>
      </w:r>
    </w:p>
    <w:p w14:paraId="159C21CC">
      <w:pPr>
        <w:pStyle w:val="118"/>
        <w:wordWrap w:val="0"/>
        <w:spacing w:line="500" w:lineRule="atLeast"/>
        <w:ind w:firstLine="560" w:firstLineChars="200"/>
        <w:rPr>
          <w:rFonts w:ascii="宋体" w:hAnsi="宋体" w:cs="宋体"/>
          <w:color w:val="000000" w:themeColor="text1"/>
          <w14:textFill>
            <w14:solidFill>
              <w14:schemeClr w14:val="tx1"/>
            </w14:solidFill>
          </w14:textFill>
        </w:rPr>
      </w:pPr>
    </w:p>
    <w:p w14:paraId="55390D4D">
      <w:pPr>
        <w:pStyle w:val="118"/>
        <w:wordWrap w:val="0"/>
        <w:spacing w:line="500" w:lineRule="atLeas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说明：此处上传营业执照或事业单位法人证书、资质证书。</w:t>
      </w:r>
    </w:p>
    <w:p w14:paraId="02317F0E">
      <w:pPr>
        <w:pStyle w:val="133"/>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三、投标保证金</w:t>
      </w:r>
    </w:p>
    <w:p w14:paraId="3880169A">
      <w:pPr>
        <w:pStyle w:val="136"/>
        <w:wordWrap w:val="0"/>
        <w:spacing w:line="500" w:lineRule="atLeast"/>
        <w:rPr>
          <w:rFonts w:ascii="宋体" w:hAnsi="宋体" w:cs="宋体"/>
          <w:color w:val="000000" w:themeColor="text1"/>
          <w14:textFill>
            <w14:solidFill>
              <w14:schemeClr w14:val="tx1"/>
            </w14:solidFill>
          </w14:textFill>
        </w:rPr>
      </w:pPr>
    </w:p>
    <w:p w14:paraId="4D1C913A">
      <w:pPr>
        <w:pStyle w:val="78"/>
        <w:tabs>
          <w:tab w:val="left" w:pos="8786"/>
        </w:tabs>
        <w:wordWrap w:val="0"/>
        <w:spacing w:after="0" w:line="500" w:lineRule="atLeast"/>
        <w:rPr>
          <w:rFonts w:ascii="宋体" w:hAnsi="宋体" w:cs="宋体"/>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说明</w:t>
      </w:r>
      <w:r>
        <w:rPr>
          <w:rFonts w:hint="eastAsia" w:ascii="宋体" w:hAnsi="宋体" w:eastAsia="宋体" w:cs="宋体"/>
          <w:b/>
          <w:color w:val="000000" w:themeColor="text1"/>
          <w:sz w:val="28"/>
          <w14:textFill>
            <w14:solidFill>
              <w14:schemeClr w14:val="tx1"/>
            </w14:solidFill>
          </w14:textFill>
        </w:rPr>
        <w:t>：</w:t>
      </w:r>
      <w:r>
        <w:rPr>
          <w:rFonts w:hint="eastAsia" w:ascii="宋体" w:hAnsi="宋体" w:eastAsia="宋体" w:cs="宋体"/>
          <w:color w:val="000000" w:themeColor="text1"/>
          <w:sz w:val="28"/>
          <w14:textFill>
            <w14:solidFill>
              <w14:schemeClr w14:val="tx1"/>
            </w14:solidFill>
          </w14:textFill>
        </w:rPr>
        <w:t>保证金交纳凭证或银行转账成功的截图</w:t>
      </w:r>
      <w:r>
        <w:rPr>
          <w:rFonts w:hint="eastAsia" w:ascii="宋体" w:hAnsi="宋体" w:eastAsia="宋体" w:cs="宋体"/>
          <w:color w:val="000000" w:themeColor="text1"/>
          <w:sz w:val="28"/>
          <w:lang w:eastAsia="zh-CN"/>
          <w14:textFill>
            <w14:solidFill>
              <w14:schemeClr w14:val="tx1"/>
            </w14:solidFill>
          </w14:textFill>
        </w:rPr>
        <w:t>及基本户信息</w:t>
      </w:r>
      <w:r>
        <w:rPr>
          <w:rFonts w:hint="eastAsia" w:ascii="宋体" w:hAnsi="宋体" w:eastAsia="宋体" w:cs="宋体"/>
          <w:color w:val="000000" w:themeColor="text1"/>
          <w:sz w:val="28"/>
          <w14:textFill>
            <w14:solidFill>
              <w14:schemeClr w14:val="tx1"/>
            </w14:solidFill>
          </w14:textFill>
        </w:rPr>
        <w:t>；</w:t>
      </w:r>
    </w:p>
    <w:p w14:paraId="20DF05E0">
      <w:pPr>
        <w:pStyle w:val="132"/>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四、供应商的资格声明</w:t>
      </w:r>
    </w:p>
    <w:p w14:paraId="71002AE5">
      <w:pPr>
        <w:pStyle w:val="159"/>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供应商认为需要声明的其它情况</w:t>
      </w:r>
      <w:r>
        <w:rPr>
          <w:rFonts w:hint="eastAsia" w:ascii="宋体" w:hAnsi="宋体" w:cs="宋体"/>
          <w:b/>
          <w:bCs/>
          <w:color w:val="000000" w:themeColor="text1"/>
          <w:sz w:val="28"/>
          <w:szCs w:val="28"/>
          <w14:textFill>
            <w14:solidFill>
              <w14:schemeClr w14:val="tx1"/>
            </w14:solidFill>
          </w14:textFill>
        </w:rPr>
        <w:t>（以下需提供证明材料）</w:t>
      </w:r>
      <w:r>
        <w:rPr>
          <w:rFonts w:hint="eastAsia" w:ascii="宋体" w:hAnsi="宋体" w:cs="宋体"/>
          <w:color w:val="000000" w:themeColor="text1"/>
          <w:sz w:val="28"/>
          <w:szCs w:val="28"/>
          <w14:textFill>
            <w14:solidFill>
              <w14:schemeClr w14:val="tx1"/>
            </w14:solidFill>
          </w14:textFill>
        </w:rPr>
        <w:t>：</w:t>
      </w:r>
    </w:p>
    <w:p w14:paraId="13C5E5DF">
      <w:pPr>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一、供应商应具备《中华人民共和国政府采购法》第二十二条和《中华人民共和国政府采购法实施条列》第十七条中规定的条件；</w:t>
      </w:r>
    </w:p>
    <w:p w14:paraId="45C6E034">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（1）具有独立承担民事责任的能力，提供有效的三证合一的营业执照；</w:t>
      </w:r>
    </w:p>
    <w:p w14:paraId="009230FA">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（2）具有良好的商业信誉和健全的财务会计制度，提供2024年的财务审计报告或财务报表（如供应商新成立的，则提供成立至今的财务报表）。</w:t>
      </w:r>
    </w:p>
    <w:p w14:paraId="3074A10A">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（3）投标人具有履行合同所必需的设备和专业技术能力（详见格式）</w:t>
      </w:r>
    </w:p>
    <w:p w14:paraId="1741CD13">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（4）具有依法缴纳税收和社会保障资金的良好记录，提供近半年任意1个月依法缴纳税收和缴纳社会保障资金的证明；</w:t>
      </w:r>
    </w:p>
    <w:p w14:paraId="3051965F">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（5）参加政府采购活动前三年内，在经营活动中没有重大违法记录（详见格式）；</w:t>
      </w:r>
    </w:p>
    <w:p w14:paraId="6AC0CF35">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（6）法律、行政法规规定的其他条件；</w:t>
      </w:r>
    </w:p>
    <w:p w14:paraId="4524DFA3">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w:t>
      </w:r>
      <w:r>
        <w:rPr>
          <w:rFonts w:hint="eastAsia" w:ascii="宋体" w:hAnsi="宋体" w:cs="宋体"/>
          <w:color w:val="000000" w:themeColor="text1"/>
          <w:sz w:val="28"/>
          <w:szCs w:val="28"/>
          <w:lang w:val="en-US" w:eastAsia="zh-CN"/>
          <w14:textFill>
            <w14:solidFill>
              <w14:schemeClr w14:val="tx1"/>
            </w14:solidFill>
          </w14:textFill>
        </w:rPr>
        <w:t>、本项目的特定资格要求：</w:t>
      </w:r>
    </w:p>
    <w:p w14:paraId="18F5B0C3">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3.本项目的特定资格要求：</w:t>
      </w:r>
    </w:p>
    <w:p w14:paraId="4A4324F3">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（1）企业资质要求：市政公用工程监理乙级（含）以上或工程监理综合资质；</w:t>
      </w:r>
    </w:p>
    <w:p w14:paraId="7D633F3C">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（2）项目负责人资质要求：总监理工程师为市政公用工程注册监理工程师；</w:t>
      </w:r>
    </w:p>
    <w:p w14:paraId="11692D69">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4、投标其他条件：</w:t>
      </w:r>
    </w:p>
    <w:p w14:paraId="07C21858">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（1）在投标单位注册；总监理工程师已在其他 2 个及以下尚未竣工验收的建设工程项目中担任总监理工程师，拟担任本招标项目的总监理工程师时，有原建设单位同意的书面资料。  </w:t>
      </w:r>
      <w:r>
        <w:rPr>
          <w:rFonts w:hint="eastAsia" w:ascii="宋体" w:hAnsi="宋体" w:cs="宋体"/>
          <w:color w:val="000000" w:themeColor="text1"/>
          <w:sz w:val="28"/>
          <w:szCs w:val="28"/>
          <w:lang w:val="en-US" w:eastAsia="zh-CN"/>
          <w14:textFill>
            <w14:solidFill>
              <w14:schemeClr w14:val="tx1"/>
            </w14:solidFill>
          </w14:textFill>
        </w:rPr>
        <w:br w:type="textWrapping"/>
      </w:r>
      <w:r>
        <w:rPr>
          <w:rFonts w:hint="eastAsia" w:ascii="宋体" w:hAnsi="宋体" w:cs="宋体"/>
          <w:color w:val="000000" w:themeColor="text1"/>
          <w:sz w:val="28"/>
          <w:szCs w:val="28"/>
          <w:lang w:val="en-US" w:eastAsia="zh-CN"/>
          <w14:textFill>
            <w14:solidFill>
              <w14:schemeClr w14:val="tx1"/>
            </w14:solidFill>
          </w14:textFill>
        </w:rPr>
        <w:t xml:space="preserve">  （2）根据《财政部关于在政府采购活动中查询及使用信用记录有关问题的通知》（财库﹝2016﹞125号）的要求，凡拟参加本次招标项目的投标人，如在“信用中国”网站（ www.creditchina.gov.cn） 被列入失信被执行人（或中国执行公开网）、重大税收违法失信主体、中国政府采购网（http://www.ccgp.gov.cn/search/cr/）严重违法失信行为记录名单的（尚在处罚期内的），将拒绝其参加本次招标活动(如投标单位提供信用截图在评标过程中有争议，以招标代理机构或评标委员会成员现场查询截图为准)；</w:t>
      </w:r>
    </w:p>
    <w:p w14:paraId="33626349">
      <w:pPr>
        <w:wordWrap w:val="0"/>
        <w:spacing w:line="500" w:lineRule="atLeas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（3）我公司不是联合体投标。</w:t>
      </w:r>
    </w:p>
    <w:p w14:paraId="122A70C6">
      <w:pPr>
        <w:wordWrap w:val="0"/>
        <w:spacing w:line="500" w:lineRule="atLeast"/>
        <w:ind w:firstLine="560" w:firstLineChars="20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（4）我公司为中小微企业</w:t>
      </w:r>
    </w:p>
    <w:p w14:paraId="2562EEB5">
      <w:pPr>
        <w:pStyle w:val="159"/>
        <w:wordWrap w:val="0"/>
        <w:spacing w:line="500" w:lineRule="atLeast"/>
        <w:ind w:firstLine="560" w:firstLineChars="200"/>
        <w:rPr>
          <w:rFonts w:hint="eastAsia" w:ascii="宋体" w:hAnsi="宋体" w:cs="宋体"/>
          <w:color w:val="000000" w:themeColor="text1"/>
          <w:sz w:val="28"/>
          <w:szCs w:val="28"/>
          <w14:textFill>
            <w14:solidFill>
              <w14:schemeClr w14:val="tx1"/>
            </w14:solidFill>
          </w14:textFill>
        </w:rPr>
      </w:pPr>
    </w:p>
    <w:p w14:paraId="37C9ADA1">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兹证明上述声明是真实的、正确的，并提供了全部能提供的资料和数据，我们同意遵照招标采购单位要求出示有关证明文件。</w:t>
      </w:r>
    </w:p>
    <w:p w14:paraId="0862FEA3">
      <w:pPr>
        <w:pStyle w:val="159"/>
        <w:wordWrap w:val="0"/>
        <w:spacing w:line="500" w:lineRule="atLeast"/>
        <w:rPr>
          <w:rFonts w:ascii="宋体" w:hAnsi="宋体" w:cs="宋体"/>
          <w:color w:val="000000" w:themeColor="text1"/>
          <w:sz w:val="28"/>
          <w:szCs w:val="28"/>
          <w14:textFill>
            <w14:solidFill>
              <w14:schemeClr w14:val="tx1"/>
            </w14:solidFill>
          </w14:textFill>
        </w:rPr>
      </w:pPr>
    </w:p>
    <w:p w14:paraId="7D122372">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5143B6CA">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0E5CA780">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w:t>
      </w:r>
    </w:p>
    <w:p w14:paraId="6AE48628">
      <w:pPr>
        <w:pStyle w:val="159"/>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传      真：</w:t>
      </w:r>
    </w:p>
    <w:p w14:paraId="4B55A2F8">
      <w:pPr>
        <w:pStyle w:val="159"/>
        <w:wordWrap w:val="0"/>
        <w:autoSpaceDE w:val="0"/>
        <w:autoSpaceDN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   年   月    日</w:t>
      </w:r>
    </w:p>
    <w:p w14:paraId="20695A62">
      <w:pPr>
        <w:pStyle w:val="146"/>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五、不参与围标串标承诺书</w:t>
      </w:r>
    </w:p>
    <w:p w14:paraId="1B5B025D">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本人作为</w:t>
      </w:r>
      <w:r>
        <w:rPr>
          <w:rFonts w:hint="eastAsia" w:ascii="宋体" w:hAnsi="宋体" w:eastAsia="宋体" w:cs="宋体"/>
          <w:b w:val="0"/>
          <w:bCs/>
          <w:color w:val="000000" w:themeColor="text1"/>
          <w:sz w:val="28"/>
          <w:szCs w:val="28"/>
          <w:u w:val="single"/>
          <w14:textFill>
            <w14:solidFill>
              <w14:schemeClr w14:val="tx1"/>
            </w14:solidFill>
          </w14:textFill>
        </w:rPr>
        <w:t xml:space="preserve">（单位名称）                    </w:t>
      </w:r>
      <w:r>
        <w:rPr>
          <w:rFonts w:hint="eastAsia" w:ascii="宋体" w:hAnsi="宋体" w:eastAsia="宋体" w:cs="宋体"/>
          <w:b w:val="0"/>
          <w:bCs/>
          <w:color w:val="000000" w:themeColor="text1"/>
          <w:sz w:val="28"/>
          <w:szCs w:val="28"/>
          <w14:textFill>
            <w14:solidFill>
              <w14:schemeClr w14:val="tx1"/>
            </w14:solidFill>
          </w14:textFill>
        </w:rPr>
        <w:t>的法定代表人，清楚知晓我公司本项目投标活动，对以下事项作出承诺：</w:t>
      </w:r>
    </w:p>
    <w:p w14:paraId="7E168139">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一、我单位遵循公开、公平、公正、诚实守信的原则，依法依规参与本项目竞标。</w:t>
      </w:r>
    </w:p>
    <w:p w14:paraId="7615962D">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二、我单位在本项目招标投标活动中，未参与围标串标。</w:t>
      </w:r>
    </w:p>
    <w:p w14:paraId="173D1E28">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三、我单位如被查实在本项目招标投标活动中存在围标串标的，递交投标文件行为作为实施串通投标违法行为的关键环节，本人承担直接责任人员法律责任，接受相应行政处罚和失信惩戒。</w:t>
      </w:r>
    </w:p>
    <w:p w14:paraId="2FF1E268">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项目编号：    </w:t>
      </w:r>
    </w:p>
    <w:p w14:paraId="73DC2AC7">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供应商单位名称：</w:t>
      </w:r>
    </w:p>
    <w:p w14:paraId="21270854">
      <w:pPr>
        <w:pStyle w:val="150"/>
        <w:wordWrap w:val="0"/>
        <w:spacing w:line="500" w:lineRule="atLeast"/>
        <w:ind w:firstLine="560" w:firstLineChars="2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供应商法定代表人签字（或盖章）：</w:t>
      </w:r>
    </w:p>
    <w:p w14:paraId="27A075CF">
      <w:pPr>
        <w:pStyle w:val="150"/>
        <w:wordWrap w:val="0"/>
        <w:spacing w:line="500" w:lineRule="atLeast"/>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w:t>
      </w:r>
    </w:p>
    <w:p w14:paraId="30111906">
      <w:pPr>
        <w:pStyle w:val="150"/>
        <w:wordWrap w:val="0"/>
        <w:spacing w:line="500" w:lineRule="atLeast"/>
        <w:rPr>
          <w:rFonts w:ascii="宋体" w:hAnsi="宋体" w:eastAsia="宋体" w:cs="宋体"/>
          <w:b w:val="0"/>
          <w:bCs/>
          <w:color w:val="000000" w:themeColor="text1"/>
          <w:sz w:val="28"/>
          <w:szCs w:val="28"/>
          <w14:textFill>
            <w14:solidFill>
              <w14:schemeClr w14:val="tx1"/>
            </w14:solidFill>
          </w14:textFill>
        </w:rPr>
      </w:pPr>
    </w:p>
    <w:p w14:paraId="283A959B">
      <w:pPr>
        <w:pStyle w:val="150"/>
        <w:wordWrap w:val="0"/>
        <w:spacing w:line="500" w:lineRule="atLeast"/>
        <w:ind w:firstLine="4760" w:firstLineChars="17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盖  章</w:t>
      </w:r>
    </w:p>
    <w:p w14:paraId="2023174D">
      <w:pPr>
        <w:pStyle w:val="150"/>
        <w:wordWrap w:val="0"/>
        <w:spacing w:line="500" w:lineRule="atLeast"/>
        <w:ind w:firstLine="5040" w:firstLineChars="1800"/>
        <w:rPr>
          <w:rFonts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年   月   日</w:t>
      </w:r>
    </w:p>
    <w:p w14:paraId="3597FD29">
      <w:pPr>
        <w:pStyle w:val="137"/>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六、竞争性磋商函</w:t>
      </w:r>
    </w:p>
    <w:p w14:paraId="0DE26305">
      <w:pPr>
        <w:pStyle w:val="124"/>
        <w:wordWrap w:val="0"/>
        <w:adjustRightInd w:val="0"/>
        <w:snapToGrid w:val="0"/>
        <w:spacing w:line="500" w:lineRule="atLeast"/>
        <w:jc w:val="left"/>
        <w:rPr>
          <w:rFonts w:ascii="宋体" w:hAnsi="宋体" w:cs="宋体"/>
          <w:color w:val="000000" w:themeColor="text1"/>
          <w:sz w:val="28"/>
          <w:szCs w:val="28"/>
          <w:u w:val="single"/>
          <w14:textFill>
            <w14:solidFill>
              <w14:schemeClr w14:val="tx1"/>
            </w14:solidFill>
          </w14:textFill>
        </w:rPr>
      </w:pPr>
    </w:p>
    <w:p w14:paraId="039F89C6">
      <w:pPr>
        <w:pStyle w:val="124"/>
        <w:wordWrap w:val="0"/>
        <w:adjustRightInd w:val="0"/>
        <w:snapToGrid w:val="0"/>
        <w:spacing w:line="500" w:lineRule="atLeast"/>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（代理机构名称）</w:t>
      </w:r>
      <w:r>
        <w:rPr>
          <w:rFonts w:hint="eastAsia" w:ascii="宋体" w:hAnsi="宋体" w:cs="宋体"/>
          <w:color w:val="000000" w:themeColor="text1"/>
          <w:sz w:val="28"/>
          <w:szCs w:val="28"/>
          <w14:textFill>
            <w14:solidFill>
              <w14:schemeClr w14:val="tx1"/>
            </w14:solidFill>
          </w14:textFill>
        </w:rPr>
        <w:t>：</w:t>
      </w:r>
    </w:p>
    <w:p w14:paraId="0C480DDE">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依据贵方</w:t>
      </w:r>
      <w:r>
        <w:rPr>
          <w:rFonts w:hint="eastAsia" w:ascii="宋体" w:hAnsi="宋体" w:cs="宋体"/>
          <w:color w:val="000000" w:themeColor="text1"/>
          <w:sz w:val="28"/>
          <w:szCs w:val="28"/>
          <w:u w:val="single"/>
          <w14:textFill>
            <w14:solidFill>
              <w14:schemeClr w14:val="tx1"/>
            </w14:solidFill>
          </w14:textFill>
        </w:rPr>
        <w:t xml:space="preserve"> (采购项目名称/采购项目编号) </w:t>
      </w:r>
      <w:r>
        <w:rPr>
          <w:rFonts w:hint="eastAsia" w:ascii="宋体" w:hAnsi="宋体" w:cs="宋体"/>
          <w:color w:val="000000" w:themeColor="text1"/>
          <w:kern w:val="0"/>
          <w:sz w:val="28"/>
          <w:szCs w:val="28"/>
          <w14:textFill>
            <w14:solidFill>
              <w14:schemeClr w14:val="tx1"/>
            </w14:solidFill>
          </w14:textFill>
        </w:rPr>
        <w:t>项目招标采购货物、服务的磋商公告，我方代表</w:t>
      </w:r>
      <w:r>
        <w:rPr>
          <w:rFonts w:hint="eastAsia" w:ascii="宋体" w:hAnsi="宋体" w:cs="宋体"/>
          <w:color w:val="000000" w:themeColor="text1"/>
          <w:sz w:val="28"/>
          <w:szCs w:val="28"/>
          <w:u w:val="single"/>
          <w14:textFill>
            <w14:solidFill>
              <w14:schemeClr w14:val="tx1"/>
            </w14:solidFill>
          </w14:textFill>
        </w:rPr>
        <w:t>（姓名、职务）</w:t>
      </w:r>
      <w:r>
        <w:rPr>
          <w:rFonts w:hint="eastAsia" w:ascii="宋体" w:hAnsi="宋体" w:cs="宋体"/>
          <w:color w:val="000000" w:themeColor="text1"/>
          <w:kern w:val="0"/>
          <w:sz w:val="28"/>
          <w:szCs w:val="28"/>
          <w14:textFill>
            <w14:solidFill>
              <w14:schemeClr w14:val="tx1"/>
            </w14:solidFill>
          </w14:textFill>
        </w:rPr>
        <w:t>经正式授权并代表供应商</w:t>
      </w:r>
      <w:r>
        <w:rPr>
          <w:rFonts w:hint="eastAsia" w:ascii="宋体" w:hAnsi="宋体" w:cs="宋体"/>
          <w:color w:val="000000" w:themeColor="text1"/>
          <w:sz w:val="28"/>
          <w:szCs w:val="28"/>
          <w:u w:val="single"/>
          <w14:textFill>
            <w14:solidFill>
              <w14:schemeClr w14:val="tx1"/>
            </w14:solidFill>
          </w14:textFill>
        </w:rPr>
        <w:t>（供应商名称、地址）</w:t>
      </w:r>
      <w:r>
        <w:rPr>
          <w:rFonts w:hint="eastAsia" w:ascii="宋体" w:hAnsi="宋体" w:cs="宋体"/>
          <w:color w:val="000000" w:themeColor="text1"/>
          <w:kern w:val="0"/>
          <w:sz w:val="28"/>
          <w:szCs w:val="28"/>
          <w14:textFill>
            <w14:solidFill>
              <w14:schemeClr w14:val="tx1"/>
            </w14:solidFill>
          </w14:textFill>
        </w:rPr>
        <w:t>提交响应文件。</w:t>
      </w:r>
    </w:p>
    <w:p w14:paraId="4C341192">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1．磋商报价表；</w:t>
      </w:r>
    </w:p>
    <w:p w14:paraId="170FBAC1">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2．磋商报价明细表；</w:t>
      </w:r>
    </w:p>
    <w:p w14:paraId="5B79A89F">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3．所投货物、服务清单；</w:t>
      </w:r>
    </w:p>
    <w:p w14:paraId="52CF11DD">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4．按磋商文件供应商须知和技术规格要求提供的有关文件；</w:t>
      </w:r>
    </w:p>
    <w:p w14:paraId="6D45D600">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5．资格证明文件；</w:t>
      </w:r>
    </w:p>
    <w:p w14:paraId="5C2D1EE0">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6．按磋商文件的规定递交的磋商保证金。</w:t>
      </w:r>
    </w:p>
    <w:p w14:paraId="0DBE1CA4">
      <w:pPr>
        <w:pStyle w:val="124"/>
        <w:wordWrap w:val="0"/>
        <w:autoSpaceDE w:val="0"/>
        <w:autoSpaceDN w:val="0"/>
        <w:adjustRightInd w:val="0"/>
        <w:spacing w:line="500" w:lineRule="atLeas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在此，我方宣布同意如下：</w:t>
      </w:r>
    </w:p>
    <w:p w14:paraId="05CDF1F5">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1．所附《磋商报价表》中规定的应提交和交付的</w:t>
      </w:r>
      <w:r>
        <w:rPr>
          <w:rFonts w:hint="eastAsia" w:ascii="宋体" w:hAnsi="宋体" w:cs="宋体"/>
          <w:color w:val="000000" w:themeColor="text1"/>
          <w:kern w:val="0"/>
          <w:sz w:val="28"/>
          <w:szCs w:val="28"/>
          <w:u w:val="single"/>
          <w14:textFill>
            <w14:solidFill>
              <w14:schemeClr w14:val="tx1"/>
            </w14:solidFill>
          </w14:textFill>
        </w:rPr>
        <w:t xml:space="preserve">  （项目编号） </w:t>
      </w:r>
      <w:r>
        <w:rPr>
          <w:rFonts w:hint="eastAsia" w:ascii="宋体" w:hAnsi="宋体" w:cs="宋体"/>
          <w:color w:val="000000" w:themeColor="text1"/>
          <w:kern w:val="0"/>
          <w:sz w:val="28"/>
          <w:szCs w:val="28"/>
          <w14:textFill>
            <w14:solidFill>
              <w14:schemeClr w14:val="tx1"/>
            </w14:solidFill>
          </w14:textFill>
        </w:rPr>
        <w:t>货物投标总价为</w:t>
      </w:r>
      <w:r>
        <w:rPr>
          <w:rFonts w:hint="eastAsia" w:ascii="宋体" w:hAnsi="宋体" w:cs="宋体"/>
          <w:color w:val="000000" w:themeColor="text1"/>
          <w:kern w:val="0"/>
          <w:sz w:val="28"/>
          <w:szCs w:val="28"/>
          <w:u w:val="single"/>
          <w14:textFill>
            <w14:solidFill>
              <w14:schemeClr w14:val="tx1"/>
            </w14:solidFill>
          </w14:textFill>
        </w:rPr>
        <w:t>（注明币种，并用文字和数字表示的投标总价）</w:t>
      </w:r>
      <w:r>
        <w:rPr>
          <w:rFonts w:hint="eastAsia" w:ascii="宋体" w:hAnsi="宋体" w:cs="宋体"/>
          <w:color w:val="000000" w:themeColor="text1"/>
          <w:kern w:val="0"/>
          <w:sz w:val="28"/>
          <w:szCs w:val="28"/>
          <w14:textFill>
            <w14:solidFill>
              <w14:schemeClr w14:val="tx1"/>
            </w14:solidFill>
          </w14:textFill>
        </w:rPr>
        <w:t>。</w:t>
      </w:r>
    </w:p>
    <w:p w14:paraId="57FA1004">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2．将按磋商文件的约定履行合同责任和义务。</w:t>
      </w:r>
    </w:p>
    <w:p w14:paraId="4AA3C74D">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3．已详细审查全部磋商文件，包括</w:t>
      </w:r>
      <w:r>
        <w:rPr>
          <w:rFonts w:hint="eastAsia" w:ascii="宋体" w:hAnsi="宋体" w:cs="宋体"/>
          <w:color w:val="000000" w:themeColor="text1"/>
          <w:kern w:val="0"/>
          <w:sz w:val="28"/>
          <w:szCs w:val="28"/>
          <w:u w:val="single"/>
          <w14:textFill>
            <w14:solidFill>
              <w14:schemeClr w14:val="tx1"/>
            </w14:solidFill>
          </w14:textFill>
        </w:rPr>
        <w:t>（修正或补充文件）</w:t>
      </w:r>
      <w:r>
        <w:rPr>
          <w:rFonts w:hint="eastAsia" w:ascii="宋体" w:hAnsi="宋体" w:cs="宋体"/>
          <w:color w:val="000000" w:themeColor="text1"/>
          <w:kern w:val="0"/>
          <w:sz w:val="28"/>
          <w:szCs w:val="28"/>
          <w14:textFill>
            <w14:solidFill>
              <w14:schemeClr w14:val="tx1"/>
            </w14:solidFill>
          </w14:textFill>
        </w:rPr>
        <w:t>（如有），对此无异议。</w:t>
      </w:r>
    </w:p>
    <w:p w14:paraId="388F9F9E">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4．本投标有效期为自开标日起，共</w:t>
      </w:r>
      <w:r>
        <w:rPr>
          <w:rFonts w:hint="eastAsia" w:ascii="宋体" w:hAnsi="宋体" w:cs="宋体"/>
          <w:b/>
          <w:bCs/>
          <w:color w:val="000000" w:themeColor="text1"/>
          <w:kern w:val="0"/>
          <w:sz w:val="28"/>
          <w:szCs w:val="28"/>
          <w:u w:val="single"/>
          <w14:textFill>
            <w14:solidFill>
              <w14:schemeClr w14:val="tx1"/>
            </w14:solidFill>
          </w14:textFill>
        </w:rPr>
        <w:t>90</w:t>
      </w:r>
      <w:r>
        <w:rPr>
          <w:rFonts w:hint="eastAsia" w:ascii="宋体" w:hAnsi="宋体" w:cs="宋体"/>
          <w:color w:val="000000" w:themeColor="text1"/>
          <w:kern w:val="0"/>
          <w:sz w:val="28"/>
          <w:szCs w:val="28"/>
          <w14:textFill>
            <w14:solidFill>
              <w14:schemeClr w14:val="tx1"/>
            </w14:solidFill>
          </w14:textFill>
        </w:rPr>
        <w:t>个日历日。</w:t>
      </w:r>
    </w:p>
    <w:p w14:paraId="1F0C3AA0">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5．接受磋商文件所列关于没收投标保证金的约定。</w:t>
      </w:r>
    </w:p>
    <w:p w14:paraId="79C937A1">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6．同意提供按照贵方可能要求的与其投标有关的一切数据或资料。</w:t>
      </w:r>
    </w:p>
    <w:p w14:paraId="5116FFD7">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7.与本投标有关的一切正式往来信函请寄：。</w:t>
      </w:r>
    </w:p>
    <w:p w14:paraId="2C1ADABA">
      <w:pPr>
        <w:pStyle w:val="124"/>
        <w:wordWrap w:val="0"/>
        <w:adjustRightInd w:val="0"/>
        <w:snapToGrid w:val="0"/>
        <w:spacing w:line="500" w:lineRule="atLeas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8.其他：</w:t>
      </w:r>
    </w:p>
    <w:p w14:paraId="3E56F925">
      <w:pPr>
        <w:pStyle w:val="124"/>
        <w:wordWrap w:val="0"/>
        <w:adjustRightInd w:val="0"/>
        <w:snapToGrid w:val="0"/>
        <w:spacing w:line="500" w:lineRule="atLeas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0FC41CCF">
      <w:pPr>
        <w:pStyle w:val="124"/>
        <w:wordWrap w:val="0"/>
        <w:adjustRightInd w:val="0"/>
        <w:snapToGrid w:val="0"/>
        <w:spacing w:line="500" w:lineRule="atLeast"/>
        <w:ind w:firstLine="560" w:firstLineChars="200"/>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5CF56E14">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地    址：</w:t>
      </w:r>
    </w:p>
    <w:p w14:paraId="5D0E73AB">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    话：</w:t>
      </w:r>
    </w:p>
    <w:p w14:paraId="23F6BC3D">
      <w:pPr>
        <w:pStyle w:val="124"/>
        <w:wordWrap w:val="0"/>
        <w:autoSpaceDE w:val="0"/>
        <w:autoSpaceDN w:val="0"/>
        <w:adjustRightInd w:val="0"/>
        <w:spacing w:line="500" w:lineRule="atLeas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电子函件：</w:t>
      </w:r>
    </w:p>
    <w:p w14:paraId="62CCAC06">
      <w:pPr>
        <w:pStyle w:val="124"/>
        <w:wordWrap w:val="0"/>
        <w:adjustRightInd w:val="0"/>
        <w:snapToGrid w:val="0"/>
        <w:spacing w:line="500" w:lineRule="atLeast"/>
        <w:ind w:firstLine="560" w:firstLineChars="200"/>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    期：</w:t>
      </w:r>
    </w:p>
    <w:p w14:paraId="25ED27FD">
      <w:pPr>
        <w:pStyle w:val="108"/>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七、开标一览表</w:t>
      </w:r>
    </w:p>
    <w:p w14:paraId="76A27589">
      <w:pPr>
        <w:pStyle w:val="138"/>
        <w:wordWrap w:val="0"/>
        <w:spacing w:line="500" w:lineRule="atLeast"/>
        <w:rPr>
          <w:rFonts w:ascii="宋体" w:hAnsi="宋体" w:cs="宋体"/>
          <w:b/>
          <w:color w:val="000000" w:themeColor="text1"/>
          <w:sz w:val="32"/>
          <w:szCs w:val="32"/>
          <w14:textFill>
            <w14:solidFill>
              <w14:schemeClr w14:val="tx1"/>
            </w14:solidFill>
          </w14:textFill>
        </w:rPr>
      </w:pPr>
    </w:p>
    <w:p w14:paraId="5CE5243B">
      <w:pPr>
        <w:pStyle w:val="138"/>
        <w:wordWrap w:val="0"/>
        <w:spacing w:line="500" w:lineRule="atLeast"/>
        <w:rPr>
          <w:rFonts w:ascii="宋体" w:hAnsi="宋体" w:cs="宋体"/>
          <w:color w:val="000000" w:themeColor="text1"/>
          <w:sz w:val="32"/>
          <w:szCs w:val="20"/>
          <w14:textFill>
            <w14:solidFill>
              <w14:schemeClr w14:val="tx1"/>
            </w14:solidFill>
          </w14:textFill>
        </w:rPr>
      </w:pPr>
      <w:r>
        <w:rPr>
          <w:rFonts w:hint="eastAsia" w:ascii="宋体" w:hAnsi="宋体" w:cs="宋体"/>
          <w:color w:val="000000" w:themeColor="text1"/>
          <w:sz w:val="32"/>
          <w:szCs w:val="20"/>
          <w14:textFill>
            <w14:solidFill>
              <w14:schemeClr w14:val="tx1"/>
            </w14:solidFill>
          </w14:textFill>
        </w:rPr>
        <w:t>项目编号：</w:t>
      </w:r>
      <w:r>
        <w:rPr>
          <w:rFonts w:hint="eastAsia" w:ascii="宋体" w:hAnsi="宋体" w:cs="宋体"/>
          <w:color w:val="000000" w:themeColor="text1"/>
          <w:sz w:val="32"/>
          <w:szCs w:val="20"/>
          <w:u w:val="single"/>
          <w14:textFill>
            <w14:solidFill>
              <w14:schemeClr w14:val="tx1"/>
            </w14:solidFill>
          </w14:textFill>
        </w:rPr>
        <w:t xml:space="preserve">                     </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66C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10" w:type="dxa"/>
            <w:tcBorders>
              <w:bottom w:val="single" w:color="auto" w:sz="4" w:space="0"/>
            </w:tcBorders>
            <w:vAlign w:val="center"/>
          </w:tcPr>
          <w:p w14:paraId="0AAC085A">
            <w:pPr>
              <w:pStyle w:val="138"/>
              <w:keepNext w:val="0"/>
              <w:keepLines w:val="0"/>
              <w:suppressLineNumbers w:val="0"/>
              <w:tabs>
                <w:tab w:val="left" w:pos="1337"/>
              </w:tabs>
              <w:wordWrap w:val="0"/>
              <w:spacing w:before="0" w:beforeAutospacing="0" w:after="0" w:afterAutospacing="0" w:line="500" w:lineRule="atLeas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项目名称</w:t>
            </w:r>
          </w:p>
        </w:tc>
        <w:tc>
          <w:tcPr>
            <w:tcW w:w="6770" w:type="dxa"/>
            <w:tcBorders>
              <w:bottom w:val="single" w:color="auto" w:sz="4" w:space="0"/>
            </w:tcBorders>
            <w:vAlign w:val="center"/>
          </w:tcPr>
          <w:p w14:paraId="3AC7D4FE">
            <w:pPr>
              <w:pStyle w:val="138"/>
              <w:keepNext w:val="0"/>
              <w:keepLines w:val="0"/>
              <w:suppressLineNumbers w:val="0"/>
              <w:tabs>
                <w:tab w:val="left" w:pos="1337"/>
              </w:tabs>
              <w:wordWrap w:val="0"/>
              <w:spacing w:before="0" w:beforeAutospacing="0" w:after="0" w:afterAutospacing="0" w:line="500" w:lineRule="atLeast"/>
              <w:ind w:left="0" w:right="0"/>
              <w:jc w:val="center"/>
              <w:rPr>
                <w:rFonts w:hint="default" w:ascii="宋体" w:hAnsi="宋体" w:cs="宋体"/>
                <w:bCs/>
                <w:color w:val="000000" w:themeColor="text1"/>
                <w:sz w:val="24"/>
                <w14:textFill>
                  <w14:solidFill>
                    <w14:schemeClr w14:val="tx1"/>
                  </w14:solidFill>
                </w14:textFill>
              </w:rPr>
            </w:pPr>
          </w:p>
        </w:tc>
      </w:tr>
      <w:tr w14:paraId="2D9B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10" w:type="dxa"/>
            <w:vAlign w:val="center"/>
          </w:tcPr>
          <w:p w14:paraId="4EEF793E">
            <w:pPr>
              <w:pStyle w:val="138"/>
              <w:keepNext w:val="0"/>
              <w:keepLines w:val="0"/>
              <w:suppressLineNumbers w:val="0"/>
              <w:tabs>
                <w:tab w:val="left" w:pos="1337"/>
              </w:tabs>
              <w:wordWrap w:val="0"/>
              <w:spacing w:before="0" w:beforeAutospacing="0" w:after="0" w:afterAutospacing="0" w:line="500" w:lineRule="atLeas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投标报价</w:t>
            </w:r>
          </w:p>
        </w:tc>
        <w:tc>
          <w:tcPr>
            <w:tcW w:w="6770" w:type="dxa"/>
            <w:vAlign w:val="center"/>
          </w:tcPr>
          <w:p w14:paraId="1C5A341E">
            <w:pPr>
              <w:pStyle w:val="138"/>
              <w:keepNext w:val="0"/>
              <w:keepLines w:val="0"/>
              <w:suppressLineNumbers w:val="0"/>
              <w:tabs>
                <w:tab w:val="left" w:pos="1337"/>
              </w:tabs>
              <w:wordWrap w:val="0"/>
              <w:spacing w:before="0" w:beforeAutospacing="0" w:after="0" w:afterAutospacing="0" w:line="500" w:lineRule="atLeast"/>
              <w:ind w:left="0" w:right="0"/>
              <w:rPr>
                <w:rFonts w:hint="default"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小写：</w:t>
            </w:r>
            <w:r>
              <w:rPr>
                <w:rFonts w:hint="eastAsia" w:ascii="宋体" w:hAnsi="宋体" w:cs="宋体"/>
                <w:bCs/>
                <w:color w:val="000000" w:themeColor="text1"/>
                <w:sz w:val="28"/>
                <w:u w:val="single"/>
                <w14:textFill>
                  <w14:solidFill>
                    <w14:schemeClr w14:val="tx1"/>
                  </w14:solidFill>
                </w14:textFill>
              </w:rPr>
              <w:t xml:space="preserve">                               </w:t>
            </w:r>
          </w:p>
          <w:p w14:paraId="48D91CD5">
            <w:pPr>
              <w:pStyle w:val="138"/>
              <w:keepNext w:val="0"/>
              <w:keepLines w:val="0"/>
              <w:suppressLineNumbers w:val="0"/>
              <w:tabs>
                <w:tab w:val="left" w:pos="1337"/>
              </w:tabs>
              <w:wordWrap w:val="0"/>
              <w:spacing w:before="0" w:beforeAutospacing="0" w:after="0" w:afterAutospacing="0" w:line="500" w:lineRule="atLeast"/>
              <w:ind w:left="0" w:right="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大写：</w:t>
            </w:r>
            <w:r>
              <w:rPr>
                <w:rFonts w:hint="eastAsia" w:ascii="宋体" w:hAnsi="宋体" w:cs="宋体"/>
                <w:bCs/>
                <w:color w:val="000000" w:themeColor="text1"/>
                <w:sz w:val="28"/>
                <w:u w:val="single"/>
                <w14:textFill>
                  <w14:solidFill>
                    <w14:schemeClr w14:val="tx1"/>
                  </w14:solidFill>
                </w14:textFill>
              </w:rPr>
              <w:t xml:space="preserve">                               </w:t>
            </w:r>
          </w:p>
        </w:tc>
      </w:tr>
      <w:tr w14:paraId="122C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410" w:type="dxa"/>
            <w:vAlign w:val="center"/>
          </w:tcPr>
          <w:p w14:paraId="494AE1F9">
            <w:pPr>
              <w:pStyle w:val="138"/>
              <w:keepNext w:val="0"/>
              <w:keepLines w:val="0"/>
              <w:suppressLineNumbers w:val="0"/>
              <w:tabs>
                <w:tab w:val="left" w:pos="1337"/>
              </w:tabs>
              <w:wordWrap w:val="0"/>
              <w:spacing w:before="0" w:beforeAutospacing="0" w:after="0" w:afterAutospacing="0" w:line="500" w:lineRule="atLeast"/>
              <w:ind w:left="0" w:right="0"/>
              <w:jc w:val="center"/>
              <w:rPr>
                <w:rFonts w:hint="eastAsia"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服务期限</w:t>
            </w:r>
          </w:p>
        </w:tc>
        <w:tc>
          <w:tcPr>
            <w:tcW w:w="6770" w:type="dxa"/>
            <w:vAlign w:val="center"/>
          </w:tcPr>
          <w:p w14:paraId="097F7F65">
            <w:pPr>
              <w:pStyle w:val="138"/>
              <w:keepNext w:val="0"/>
              <w:keepLines w:val="0"/>
              <w:suppressLineNumbers w:val="0"/>
              <w:tabs>
                <w:tab w:val="left" w:pos="1337"/>
              </w:tabs>
              <w:wordWrap w:val="0"/>
              <w:spacing w:before="0" w:beforeAutospacing="0" w:after="0" w:afterAutospacing="0" w:line="500" w:lineRule="atLeast"/>
              <w:ind w:left="0" w:right="0"/>
              <w:jc w:val="center"/>
              <w:rPr>
                <w:rFonts w:hint="eastAsia"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同施工工期</w:t>
            </w:r>
          </w:p>
        </w:tc>
      </w:tr>
      <w:tr w14:paraId="2004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180" w:type="dxa"/>
            <w:gridSpan w:val="2"/>
          </w:tcPr>
          <w:p w14:paraId="7E2ED405">
            <w:pPr>
              <w:pStyle w:val="138"/>
              <w:keepNext w:val="0"/>
              <w:keepLines w:val="0"/>
              <w:suppressLineNumbers w:val="0"/>
              <w:tabs>
                <w:tab w:val="left" w:pos="1337"/>
              </w:tabs>
              <w:wordWrap w:val="0"/>
              <w:spacing w:before="0" w:beforeAutospacing="0" w:after="0" w:afterAutospacing="0" w:line="500" w:lineRule="atLeast"/>
              <w:ind w:left="0" w:right="0"/>
              <w:rPr>
                <w:rFonts w:hint="default"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备注：</w:t>
            </w:r>
          </w:p>
        </w:tc>
      </w:tr>
    </w:tbl>
    <w:p w14:paraId="0D0BFC8C">
      <w:pPr>
        <w:pStyle w:val="138"/>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说明：1、投标人严格按照规定的格式填写。投标报价为优惠后报价，并作为评审及定标的依据。</w:t>
      </w:r>
    </w:p>
    <w:p w14:paraId="5ECD554C">
      <w:pPr>
        <w:pStyle w:val="138"/>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2、任何有选择或有条件的投标报价或表中某一包填写多个报价，均将导致投标被拒绝。</w:t>
      </w:r>
    </w:p>
    <w:p w14:paraId="217ADC73">
      <w:pPr>
        <w:pStyle w:val="138"/>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6B06C9EF">
      <w:pPr>
        <w:pStyle w:val="138"/>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p>
    <w:p w14:paraId="6BCB3E8B">
      <w:pPr>
        <w:pStyle w:val="138"/>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28"/>
          <w14:textFill>
            <w14:solidFill>
              <w14:schemeClr w14:val="tx1"/>
            </w14:solidFill>
          </w14:textFill>
        </w:rPr>
        <w:t>供应商(盖章)：</w:t>
      </w:r>
    </w:p>
    <w:p w14:paraId="1FCC008D">
      <w:pPr>
        <w:pStyle w:val="138"/>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36E33AB1">
      <w:pPr>
        <w:pStyle w:val="138"/>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日   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618915EE">
      <w:pPr>
        <w:pStyle w:val="138"/>
        <w:wordWrap w:val="0"/>
        <w:spacing w:line="500" w:lineRule="atLeast"/>
        <w:rPr>
          <w:rFonts w:ascii="宋体" w:hAnsi="宋体" w:cs="宋体"/>
          <w:color w:val="000000" w:themeColor="text1"/>
          <w14:textFill>
            <w14:solidFill>
              <w14:schemeClr w14:val="tx1"/>
            </w14:solidFill>
          </w14:textFill>
        </w:rPr>
      </w:pPr>
    </w:p>
    <w:p w14:paraId="14C98DF2">
      <w:pPr>
        <w:pStyle w:val="131"/>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八、竞争性磋商报价明细表</w:t>
      </w:r>
    </w:p>
    <w:p w14:paraId="411CA335">
      <w:pPr>
        <w:pStyle w:val="128"/>
        <w:wordWrap w:val="0"/>
        <w:adjustRightInd w:val="0"/>
        <w:snapToGrid w:val="0"/>
        <w:spacing w:line="500" w:lineRule="atLeast"/>
        <w:rPr>
          <w:rFonts w:ascii="宋体" w:hAnsi="宋体" w:cs="宋体"/>
          <w:b/>
          <w:color w:val="000000" w:themeColor="text1"/>
          <w:sz w:val="32"/>
          <w:szCs w:val="32"/>
          <w14:textFill>
            <w14:solidFill>
              <w14:schemeClr w14:val="tx1"/>
            </w14:solidFill>
          </w14:textFill>
        </w:rPr>
      </w:pPr>
    </w:p>
    <w:p w14:paraId="32E01ACE">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5959C121">
      <w:pPr>
        <w:pStyle w:val="128"/>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tbl>
      <w:tblPr>
        <w:tblStyle w:val="33"/>
        <w:tblW w:w="86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5103"/>
        <w:gridCol w:w="2669"/>
      </w:tblGrid>
      <w:tr w14:paraId="3D664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4" w:space="0"/>
              <w:left w:val="single" w:color="auto" w:sz="4" w:space="0"/>
              <w:bottom w:val="single" w:color="auto" w:sz="6" w:space="0"/>
              <w:right w:val="single" w:color="auto" w:sz="6" w:space="0"/>
            </w:tcBorders>
            <w:vAlign w:val="center"/>
          </w:tcPr>
          <w:p w14:paraId="4ABF9A96">
            <w:pPr>
              <w:pStyle w:val="128"/>
              <w:keepNext w:val="0"/>
              <w:keepLines w:val="0"/>
              <w:suppressLineNumbers w:val="0"/>
              <w:wordWrap w:val="0"/>
              <w:adjustRightInd w:val="0"/>
              <w:snapToGrid w:val="0"/>
              <w:spacing w:before="0" w:beforeAutospacing="0" w:after="0" w:afterAutospacing="0" w:line="500" w:lineRule="atLeast"/>
              <w:ind w:left="-88" w:leftChars="-42"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5103" w:type="dxa"/>
            <w:tcBorders>
              <w:top w:val="single" w:color="auto" w:sz="4" w:space="0"/>
              <w:left w:val="single" w:color="auto" w:sz="6" w:space="0"/>
              <w:bottom w:val="single" w:color="auto" w:sz="6" w:space="0"/>
              <w:right w:val="single" w:color="auto" w:sz="6" w:space="0"/>
            </w:tcBorders>
            <w:vAlign w:val="center"/>
          </w:tcPr>
          <w:p w14:paraId="60B74574">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服务内容</w:t>
            </w:r>
          </w:p>
        </w:tc>
        <w:tc>
          <w:tcPr>
            <w:tcW w:w="2669" w:type="dxa"/>
            <w:tcBorders>
              <w:top w:val="single" w:color="auto" w:sz="4" w:space="0"/>
              <w:left w:val="single" w:color="auto" w:sz="6" w:space="0"/>
              <w:bottom w:val="single" w:color="auto" w:sz="6" w:space="0"/>
              <w:right w:val="single" w:color="auto" w:sz="4" w:space="0"/>
            </w:tcBorders>
            <w:vAlign w:val="center"/>
          </w:tcPr>
          <w:p w14:paraId="085CF071">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单项价格（元）</w:t>
            </w:r>
          </w:p>
        </w:tc>
      </w:tr>
      <w:tr w14:paraId="07437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CE2AF58">
            <w:pPr>
              <w:pStyle w:val="128"/>
              <w:keepNext w:val="0"/>
              <w:keepLines w:val="0"/>
              <w:suppressLineNumbers w:val="0"/>
              <w:wordWrap w:val="0"/>
              <w:adjustRightInd w:val="0"/>
              <w:snapToGrid w:val="0"/>
              <w:spacing w:before="0" w:beforeAutospacing="0" w:after="0" w:afterAutospacing="0" w:line="500" w:lineRule="atLeast"/>
              <w:ind w:left="-88" w:leftChars="-42"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5103" w:type="dxa"/>
            <w:tcBorders>
              <w:top w:val="single" w:color="auto" w:sz="6" w:space="0"/>
              <w:left w:val="single" w:color="auto" w:sz="6" w:space="0"/>
              <w:bottom w:val="single" w:color="auto" w:sz="6" w:space="0"/>
              <w:right w:val="single" w:color="auto" w:sz="6" w:space="0"/>
            </w:tcBorders>
            <w:vAlign w:val="center"/>
          </w:tcPr>
          <w:p w14:paraId="7FF4E8D3">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eastAsia="宋体" w:cs="宋体"/>
                <w:color w:val="000000" w:themeColor="text1"/>
                <w:sz w:val="28"/>
                <w:szCs w:val="28"/>
                <w:lang w:val="en-US" w:eastAsia="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7AE554F7">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78C9CF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38B938B9">
            <w:pPr>
              <w:pStyle w:val="128"/>
              <w:keepNext w:val="0"/>
              <w:keepLines w:val="0"/>
              <w:suppressLineNumbers w:val="0"/>
              <w:wordWrap w:val="0"/>
              <w:adjustRightInd w:val="0"/>
              <w:snapToGrid w:val="0"/>
              <w:spacing w:before="0" w:beforeAutospacing="0" w:after="0" w:afterAutospacing="0" w:line="500" w:lineRule="atLeast"/>
              <w:ind w:left="-88" w:leftChars="-42"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tc>
        <w:tc>
          <w:tcPr>
            <w:tcW w:w="5103" w:type="dxa"/>
            <w:tcBorders>
              <w:top w:val="single" w:color="auto" w:sz="6" w:space="0"/>
              <w:left w:val="single" w:color="auto" w:sz="6" w:space="0"/>
              <w:bottom w:val="single" w:color="auto" w:sz="6" w:space="0"/>
              <w:right w:val="single" w:color="auto" w:sz="6" w:space="0"/>
            </w:tcBorders>
            <w:vAlign w:val="center"/>
          </w:tcPr>
          <w:p w14:paraId="4327C143">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eastAsia="宋体" w:cs="宋体"/>
                <w:color w:val="000000" w:themeColor="text1"/>
                <w:sz w:val="28"/>
                <w:szCs w:val="28"/>
                <w:lang w:val="en-US" w:eastAsia="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72638E36">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5ABD18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C7130FC">
            <w:pPr>
              <w:pStyle w:val="128"/>
              <w:keepNext w:val="0"/>
              <w:keepLines w:val="0"/>
              <w:suppressLineNumbers w:val="0"/>
              <w:wordWrap w:val="0"/>
              <w:adjustRightInd w:val="0"/>
              <w:snapToGrid w:val="0"/>
              <w:spacing w:before="0" w:beforeAutospacing="0" w:after="0" w:afterAutospacing="0" w:line="500" w:lineRule="atLeast"/>
              <w:ind w:left="-88" w:leftChars="-42"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p>
        </w:tc>
        <w:tc>
          <w:tcPr>
            <w:tcW w:w="5103" w:type="dxa"/>
            <w:tcBorders>
              <w:top w:val="single" w:color="auto" w:sz="6" w:space="0"/>
              <w:left w:val="single" w:color="auto" w:sz="6" w:space="0"/>
              <w:bottom w:val="single" w:color="auto" w:sz="6" w:space="0"/>
              <w:right w:val="single" w:color="auto" w:sz="6" w:space="0"/>
            </w:tcBorders>
            <w:vAlign w:val="center"/>
          </w:tcPr>
          <w:p w14:paraId="26A2923B">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181E3CF9">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3D35E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644FC64F">
            <w:pPr>
              <w:pStyle w:val="128"/>
              <w:keepNext w:val="0"/>
              <w:keepLines w:val="0"/>
              <w:suppressLineNumbers w:val="0"/>
              <w:wordWrap w:val="0"/>
              <w:adjustRightInd w:val="0"/>
              <w:snapToGrid w:val="0"/>
              <w:spacing w:before="0" w:beforeAutospacing="0" w:after="0" w:afterAutospacing="0" w:line="500" w:lineRule="atLeast"/>
              <w:ind w:left="-88" w:leftChars="-42"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5103" w:type="dxa"/>
            <w:tcBorders>
              <w:top w:val="single" w:color="auto" w:sz="6" w:space="0"/>
              <w:left w:val="single" w:color="auto" w:sz="6" w:space="0"/>
              <w:bottom w:val="single" w:color="auto" w:sz="6" w:space="0"/>
              <w:right w:val="single" w:color="auto" w:sz="6" w:space="0"/>
            </w:tcBorders>
            <w:vAlign w:val="center"/>
          </w:tcPr>
          <w:p w14:paraId="5678CD50">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4FDD5667">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4D76C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79" w:type="dxa"/>
            <w:tcBorders>
              <w:top w:val="single" w:color="auto" w:sz="6" w:space="0"/>
              <w:left w:val="single" w:color="auto" w:sz="4" w:space="0"/>
              <w:bottom w:val="single" w:color="auto" w:sz="6" w:space="0"/>
              <w:right w:val="single" w:color="auto" w:sz="6" w:space="0"/>
            </w:tcBorders>
            <w:vAlign w:val="center"/>
          </w:tcPr>
          <w:p w14:paraId="371B00D6">
            <w:pPr>
              <w:pStyle w:val="128"/>
              <w:keepNext w:val="0"/>
              <w:keepLines w:val="0"/>
              <w:suppressLineNumbers w:val="0"/>
              <w:wordWrap w:val="0"/>
              <w:adjustRightInd w:val="0"/>
              <w:snapToGrid w:val="0"/>
              <w:spacing w:before="0" w:beforeAutospacing="0" w:after="0" w:afterAutospacing="0" w:line="500" w:lineRule="atLeast"/>
              <w:ind w:left="-88" w:leftChars="-42" w:right="0"/>
              <w:jc w:val="center"/>
              <w:rPr>
                <w:rFonts w:hint="default" w:ascii="宋体" w:hAnsi="宋体" w:cs="宋体"/>
                <w:color w:val="000000" w:themeColor="text1"/>
                <w:sz w:val="28"/>
                <w:szCs w:val="28"/>
                <w14:textFill>
                  <w14:solidFill>
                    <w14:schemeClr w14:val="tx1"/>
                  </w14:solidFill>
                </w14:textFill>
              </w:rPr>
            </w:pPr>
          </w:p>
        </w:tc>
        <w:tc>
          <w:tcPr>
            <w:tcW w:w="5103" w:type="dxa"/>
            <w:tcBorders>
              <w:top w:val="single" w:color="auto" w:sz="6" w:space="0"/>
              <w:left w:val="single" w:color="auto" w:sz="6" w:space="0"/>
              <w:bottom w:val="single" w:color="auto" w:sz="6" w:space="0"/>
              <w:right w:val="single" w:color="auto" w:sz="6" w:space="0"/>
            </w:tcBorders>
            <w:vAlign w:val="center"/>
          </w:tcPr>
          <w:p w14:paraId="64909F0A">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4" w:space="0"/>
            </w:tcBorders>
            <w:vAlign w:val="center"/>
          </w:tcPr>
          <w:p w14:paraId="7B8E1317">
            <w:pPr>
              <w:pStyle w:val="128"/>
              <w:keepNext w:val="0"/>
              <w:keepLines w:val="0"/>
              <w:suppressLineNumbers w:val="0"/>
              <w:wordWrap w:val="0"/>
              <w:adjustRightInd w:val="0"/>
              <w:snapToGrid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55662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5982" w:type="dxa"/>
            <w:gridSpan w:val="2"/>
            <w:tcBorders>
              <w:top w:val="single" w:color="auto" w:sz="6" w:space="0"/>
              <w:left w:val="single" w:color="auto" w:sz="4" w:space="0"/>
              <w:bottom w:val="single" w:color="auto" w:sz="4" w:space="0"/>
              <w:right w:val="single" w:color="auto" w:sz="6" w:space="0"/>
            </w:tcBorders>
            <w:vAlign w:val="center"/>
          </w:tcPr>
          <w:p w14:paraId="7E04B31C">
            <w:pPr>
              <w:pStyle w:val="128"/>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总 计：                                   </w:t>
            </w:r>
          </w:p>
        </w:tc>
        <w:tc>
          <w:tcPr>
            <w:tcW w:w="2669" w:type="dxa"/>
            <w:tcBorders>
              <w:top w:val="single" w:color="auto" w:sz="6" w:space="0"/>
              <w:left w:val="single" w:color="auto" w:sz="6" w:space="0"/>
              <w:bottom w:val="single" w:color="auto" w:sz="4" w:space="0"/>
              <w:right w:val="single" w:color="auto" w:sz="4" w:space="0"/>
            </w:tcBorders>
            <w:vAlign w:val="center"/>
          </w:tcPr>
          <w:p w14:paraId="65979401">
            <w:pPr>
              <w:pStyle w:val="128"/>
              <w:keepNext w:val="0"/>
              <w:keepLines w:val="0"/>
              <w:suppressLineNumbers w:val="0"/>
              <w:wordWrap w:val="0"/>
              <w:adjustRightInd w:val="0"/>
              <w:snapToGrid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r>
    </w:tbl>
    <w:p w14:paraId="00030ED8">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w:t>
      </w:r>
    </w:p>
    <w:p w14:paraId="4C973629">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1．所有价格均用人民币表示，单位为元。</w:t>
      </w:r>
    </w:p>
    <w:p w14:paraId="483D12EB">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 分项报价总计价格必须与《开标一览表》报价一致。</w:t>
      </w:r>
    </w:p>
    <w:p w14:paraId="0A2852E0">
      <w:pPr>
        <w:pStyle w:val="128"/>
        <w:wordWrap w:val="0"/>
        <w:adjustRightInd w:val="0"/>
        <w:snapToGrid w:val="0"/>
        <w:spacing w:line="500" w:lineRule="atLeast"/>
        <w:ind w:left="361" w:hanging="361" w:hangingChars="129"/>
        <w:rPr>
          <w:rFonts w:ascii="宋体" w:hAnsi="宋体" w:cs="宋体"/>
          <w:color w:val="000000" w:themeColor="text1"/>
          <w:sz w:val="28"/>
          <w:szCs w:val="28"/>
          <w14:textFill>
            <w14:solidFill>
              <w14:schemeClr w14:val="tx1"/>
            </w14:solidFill>
          </w14:textFill>
        </w:rPr>
      </w:pPr>
    </w:p>
    <w:p w14:paraId="71B82569">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p>
    <w:p w14:paraId="26350C48">
      <w:pPr>
        <w:pStyle w:val="128"/>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p>
    <w:p w14:paraId="54FB8477">
      <w:pPr>
        <w:pStyle w:val="159"/>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52018614">
      <w:pPr>
        <w:pStyle w:val="128"/>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4E986188">
      <w:pPr>
        <w:pStyle w:val="128"/>
        <w:wordWrap w:val="0"/>
        <w:adjustRightInd w:val="0"/>
        <w:snapToGrid w:val="0"/>
        <w:spacing w:line="50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日期：年 月 日</w:t>
      </w:r>
    </w:p>
    <w:p w14:paraId="25470DA9">
      <w:pPr>
        <w:pStyle w:val="134"/>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九、商务响应、偏离说明表</w:t>
      </w:r>
    </w:p>
    <w:p w14:paraId="407BDBE7">
      <w:pPr>
        <w:pStyle w:val="135"/>
        <w:wordWrap w:val="0"/>
        <w:adjustRightInd w:val="0"/>
        <w:snapToGrid w:val="0"/>
        <w:spacing w:line="500" w:lineRule="atLeast"/>
        <w:rPr>
          <w:rFonts w:ascii="宋体" w:hAnsi="宋体" w:cs="宋体"/>
          <w:b/>
          <w:color w:val="000000" w:themeColor="text1"/>
          <w:sz w:val="32"/>
          <w:szCs w:val="32"/>
          <w14:textFill>
            <w14:solidFill>
              <w14:schemeClr w14:val="tx1"/>
            </w14:solidFill>
          </w14:textFill>
        </w:rPr>
      </w:pPr>
    </w:p>
    <w:p w14:paraId="0B717893">
      <w:pPr>
        <w:pStyle w:val="135"/>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1FC48FD7">
      <w:pPr>
        <w:pStyle w:val="135"/>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44E2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42B0AA31">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78BA18CF">
            <w:pPr>
              <w:pStyle w:val="135"/>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4F679A90">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68F248A0">
            <w:pPr>
              <w:pStyle w:val="135"/>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偏离说明</w:t>
            </w:r>
          </w:p>
        </w:tc>
      </w:tr>
      <w:tr w14:paraId="4419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0ACA0F4">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4DEF79A6">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69DABD3A">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149712E5">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2143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557DA4F">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14:paraId="794F0EAC">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FD7774D">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0B1D298A">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62D2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3603586">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p>
        </w:tc>
        <w:tc>
          <w:tcPr>
            <w:tcW w:w="2712" w:type="dxa"/>
            <w:tcBorders>
              <w:top w:val="single" w:color="auto" w:sz="4" w:space="0"/>
              <w:left w:val="single" w:color="auto" w:sz="4" w:space="0"/>
              <w:bottom w:val="single" w:color="auto" w:sz="4" w:space="0"/>
              <w:right w:val="single" w:color="auto" w:sz="4" w:space="0"/>
            </w:tcBorders>
            <w:vAlign w:val="center"/>
          </w:tcPr>
          <w:p w14:paraId="448BC0D0">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5CEA8105">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7FBE1004">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51DE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2B50315">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p>
        </w:tc>
        <w:tc>
          <w:tcPr>
            <w:tcW w:w="2712" w:type="dxa"/>
            <w:tcBorders>
              <w:top w:val="single" w:color="auto" w:sz="4" w:space="0"/>
              <w:left w:val="single" w:color="auto" w:sz="4" w:space="0"/>
              <w:bottom w:val="single" w:color="auto" w:sz="4" w:space="0"/>
              <w:right w:val="single" w:color="auto" w:sz="4" w:space="0"/>
            </w:tcBorders>
            <w:vAlign w:val="center"/>
          </w:tcPr>
          <w:p w14:paraId="79577F95">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6307C0A">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E170EDC">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01E8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42044E4">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p>
        </w:tc>
        <w:tc>
          <w:tcPr>
            <w:tcW w:w="2712" w:type="dxa"/>
            <w:tcBorders>
              <w:top w:val="single" w:color="auto" w:sz="4" w:space="0"/>
              <w:left w:val="single" w:color="auto" w:sz="4" w:space="0"/>
              <w:bottom w:val="single" w:color="auto" w:sz="4" w:space="0"/>
              <w:right w:val="single" w:color="auto" w:sz="4" w:space="0"/>
            </w:tcBorders>
            <w:vAlign w:val="center"/>
          </w:tcPr>
          <w:p w14:paraId="4D963673">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FE82326">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19271FB1">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4071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40B3E6E">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w:t>
            </w:r>
          </w:p>
        </w:tc>
        <w:tc>
          <w:tcPr>
            <w:tcW w:w="2712" w:type="dxa"/>
            <w:tcBorders>
              <w:top w:val="single" w:color="auto" w:sz="4" w:space="0"/>
              <w:left w:val="single" w:color="auto" w:sz="4" w:space="0"/>
              <w:bottom w:val="single" w:color="auto" w:sz="4" w:space="0"/>
              <w:right w:val="single" w:color="auto" w:sz="4" w:space="0"/>
            </w:tcBorders>
            <w:vAlign w:val="center"/>
          </w:tcPr>
          <w:p w14:paraId="701462FD">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5578EF41">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53026D3B">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1943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B91B5DA">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w:t>
            </w:r>
          </w:p>
        </w:tc>
        <w:tc>
          <w:tcPr>
            <w:tcW w:w="2712" w:type="dxa"/>
            <w:tcBorders>
              <w:top w:val="single" w:color="auto" w:sz="4" w:space="0"/>
              <w:left w:val="single" w:color="auto" w:sz="4" w:space="0"/>
              <w:bottom w:val="single" w:color="auto" w:sz="4" w:space="0"/>
              <w:right w:val="single" w:color="auto" w:sz="4" w:space="0"/>
            </w:tcBorders>
            <w:vAlign w:val="center"/>
          </w:tcPr>
          <w:p w14:paraId="41579FF1">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A5FFC6E">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52D4D326">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774E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6DA8F1C">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w:t>
            </w:r>
          </w:p>
        </w:tc>
        <w:tc>
          <w:tcPr>
            <w:tcW w:w="2712" w:type="dxa"/>
            <w:tcBorders>
              <w:top w:val="single" w:color="auto" w:sz="4" w:space="0"/>
              <w:left w:val="single" w:color="auto" w:sz="4" w:space="0"/>
              <w:bottom w:val="single" w:color="auto" w:sz="4" w:space="0"/>
              <w:right w:val="single" w:color="auto" w:sz="4" w:space="0"/>
            </w:tcBorders>
            <w:vAlign w:val="center"/>
          </w:tcPr>
          <w:p w14:paraId="245673BF">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4E8B982">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26DCDB9">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6885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09DF775">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w:t>
            </w:r>
          </w:p>
        </w:tc>
        <w:tc>
          <w:tcPr>
            <w:tcW w:w="2712" w:type="dxa"/>
            <w:tcBorders>
              <w:top w:val="single" w:color="auto" w:sz="4" w:space="0"/>
              <w:left w:val="single" w:color="auto" w:sz="4" w:space="0"/>
              <w:bottom w:val="single" w:color="auto" w:sz="4" w:space="0"/>
              <w:right w:val="single" w:color="auto" w:sz="4" w:space="0"/>
            </w:tcBorders>
            <w:vAlign w:val="center"/>
          </w:tcPr>
          <w:p w14:paraId="2B9D0DE8">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7ED8C435">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7CB46A45">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r w14:paraId="55BD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597A886">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14:paraId="7B688DF8">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679D0CBC">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487D3833">
            <w:pPr>
              <w:pStyle w:val="135"/>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p>
        </w:tc>
      </w:tr>
    </w:tbl>
    <w:p w14:paraId="541965A4">
      <w:pPr>
        <w:pStyle w:val="99"/>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注：若“无偏离”，只需在“偏离说明”中填写“无偏离”即可，则表示供应商完全响应磋商文件中所有商务条款。</w:t>
      </w: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十、供应商类似项目业绩表</w:t>
      </w:r>
    </w:p>
    <w:p w14:paraId="0B81FF48">
      <w:pPr>
        <w:pStyle w:val="76"/>
        <w:wordWrap w:val="0"/>
        <w:adjustRightInd w:val="0"/>
        <w:snapToGrid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6BD13C76">
      <w:pPr>
        <w:pStyle w:val="76"/>
        <w:wordWrap w:val="0"/>
        <w:adjustRightInd w:val="0"/>
        <w:snapToGrid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p w14:paraId="7A014285">
      <w:pPr>
        <w:pStyle w:val="76"/>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p>
    <w:tbl>
      <w:tblPr>
        <w:tblStyle w:val="3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351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74ADD104">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p>
        </w:tc>
        <w:tc>
          <w:tcPr>
            <w:tcW w:w="7200" w:type="dxa"/>
          </w:tcPr>
          <w:p w14:paraId="6071B6A3">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42EB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3ADA3004">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项目单位名称</w:t>
            </w:r>
          </w:p>
        </w:tc>
        <w:tc>
          <w:tcPr>
            <w:tcW w:w="7200" w:type="dxa"/>
          </w:tcPr>
          <w:p w14:paraId="2BE2D230">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483D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D4CBE93">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项目单位联系人姓名及联系方式</w:t>
            </w:r>
          </w:p>
        </w:tc>
        <w:tc>
          <w:tcPr>
            <w:tcW w:w="7200" w:type="dxa"/>
          </w:tcPr>
          <w:p w14:paraId="76062F04">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2706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1BAB17D9">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合同金额</w:t>
            </w:r>
          </w:p>
        </w:tc>
        <w:tc>
          <w:tcPr>
            <w:tcW w:w="7200" w:type="dxa"/>
          </w:tcPr>
          <w:p w14:paraId="022AD12B">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132B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98DFCF2">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项目负责人</w:t>
            </w:r>
          </w:p>
          <w:p w14:paraId="7EEBEA9D">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7200" w:type="dxa"/>
          </w:tcPr>
          <w:p w14:paraId="472E3811">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0700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0188509B">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项目实施时间</w:t>
            </w:r>
          </w:p>
        </w:tc>
        <w:tc>
          <w:tcPr>
            <w:tcW w:w="7200" w:type="dxa"/>
          </w:tcPr>
          <w:p w14:paraId="2E61C261">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669A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46B2050B">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项目内容说明</w:t>
            </w:r>
          </w:p>
        </w:tc>
        <w:tc>
          <w:tcPr>
            <w:tcW w:w="7200" w:type="dxa"/>
          </w:tcPr>
          <w:p w14:paraId="1C0F0913">
            <w:pPr>
              <w:pStyle w:val="76"/>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bl>
    <w:p w14:paraId="3130E578">
      <w:pPr>
        <w:pStyle w:val="76"/>
        <w:wordWrap w:val="0"/>
        <w:autoSpaceDE w:val="0"/>
        <w:autoSpaceDN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说明：1．每个合同须单独附表，并附上相关证明材料，否则专家在评审时将不予采信；</w:t>
      </w:r>
    </w:p>
    <w:p w14:paraId="7ABE4712">
      <w:pPr>
        <w:pStyle w:val="76"/>
        <w:wordWrap w:val="0"/>
        <w:spacing w:line="50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2．项目内容请详细说明所承担的具体工作内容。</w:t>
      </w:r>
    </w:p>
    <w:p w14:paraId="7AA12FD3">
      <w:pPr>
        <w:pStyle w:val="164"/>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十一、法定授权人委托书</w:t>
      </w:r>
    </w:p>
    <w:p w14:paraId="5FBBB3B0">
      <w:pPr>
        <w:pStyle w:val="83"/>
        <w:wordWrap w:val="0"/>
        <w:adjustRightInd w:val="0"/>
        <w:snapToGrid w:val="0"/>
        <w:spacing w:line="500" w:lineRule="atLeast"/>
        <w:ind w:left="560" w:hanging="560" w:hangingChars="200"/>
        <w:rPr>
          <w:rFonts w:ascii="宋体" w:hAnsi="宋体" w:cs="宋体"/>
          <w:color w:val="000000" w:themeColor="text1"/>
          <w:sz w:val="28"/>
          <w:szCs w:val="28"/>
          <w14:textFill>
            <w14:solidFill>
              <w14:schemeClr w14:val="tx1"/>
            </w14:solidFill>
          </w14:textFill>
        </w:rPr>
      </w:pPr>
    </w:p>
    <w:p w14:paraId="74F63CC0">
      <w:pPr>
        <w:pStyle w:val="83"/>
        <w:tabs>
          <w:tab w:val="left" w:pos="5580"/>
        </w:tabs>
        <w:wordWrap w:val="0"/>
        <w:spacing w:line="500" w:lineRule="atLeas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4"/>
          <w14:textFill>
            <w14:solidFill>
              <w14:schemeClr w14:val="tx1"/>
            </w14:solidFill>
          </w14:textFill>
        </w:rPr>
        <w:t xml:space="preserve">本授权书声明：注册于 </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（投标人住址）的</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（投标人名称）的在下面电子签章的</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（法定代表人姓名、职务）代表本公司授权</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（授权代理人的姓名、职务）为本公司的合法代理人，就贵方组织</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（项目名称）项目（项目编号：</w:t>
      </w:r>
      <w:r>
        <w:rPr>
          <w:rFonts w:hint="eastAsia" w:ascii="宋体" w:hAnsi="宋体" w:cs="宋体"/>
          <w:color w:val="000000" w:themeColor="text1"/>
          <w:sz w:val="28"/>
          <w:szCs w:val="24"/>
          <w:u w:val="single"/>
          <w14:textFill>
            <w14:solidFill>
              <w14:schemeClr w14:val="tx1"/>
            </w14:solidFill>
          </w14:textFill>
        </w:rPr>
        <w:t xml:space="preserve">           </w:t>
      </w:r>
      <w:r>
        <w:rPr>
          <w:rFonts w:hint="eastAsia" w:ascii="宋体" w:hAnsi="宋体" w:cs="宋体"/>
          <w:color w:val="000000" w:themeColor="text1"/>
          <w:sz w:val="28"/>
          <w:szCs w:val="24"/>
          <w14:textFill>
            <w14:solidFill>
              <w14:schemeClr w14:val="tx1"/>
            </w14:solidFill>
          </w14:textFill>
        </w:rPr>
        <w:t>），以本公司名义处理一切与之有关的事宜。</w:t>
      </w:r>
      <w:r>
        <w:rPr>
          <w:rFonts w:hint="eastAsia" w:ascii="宋体" w:hAnsi="宋体" w:cs="宋体"/>
          <w:color w:val="000000" w:themeColor="text1"/>
          <w:sz w:val="28"/>
          <w:szCs w:val="28"/>
          <w14:textFill>
            <w14:solidFill>
              <w14:schemeClr w14:val="tx1"/>
            </w14:solidFill>
          </w14:textFill>
        </w:rPr>
        <w:t>投标人授权代理人在投标过程中所签署的一切文件和处理与之有关的一切事务，本公司均予以认可并对此承担责任。</w:t>
      </w:r>
    </w:p>
    <w:p w14:paraId="71ACF6AA">
      <w:pPr>
        <w:pStyle w:val="83"/>
        <w:tabs>
          <w:tab w:val="left" w:pos="5580"/>
        </w:tabs>
        <w:wordWrap w:val="0"/>
        <w:spacing w:line="500" w:lineRule="atLeast"/>
        <w:ind w:firstLine="480"/>
        <w:rPr>
          <w:rFonts w:ascii="宋体" w:hAnsi="宋体" w:cs="宋体"/>
          <w:color w:val="000000" w:themeColor="text1"/>
          <w:sz w:val="28"/>
          <w:szCs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投标人授权代理人无转委托权。特此授权。</w:t>
      </w:r>
      <w:r>
        <w:rPr>
          <w:rFonts w:hint="eastAsia" w:ascii="宋体" w:hAnsi="宋体" w:cs="宋体"/>
          <w:color w:val="000000" w:themeColor="text1"/>
          <w:sz w:val="28"/>
          <w:szCs w:val="24"/>
          <w14:textFill>
            <w14:solidFill>
              <w14:schemeClr w14:val="tx1"/>
            </w14:solidFill>
          </w14:textFill>
        </w:rPr>
        <w:cr/>
      </w:r>
      <w:r>
        <w:rPr>
          <w:rFonts w:hint="eastAsia" w:ascii="宋体" w:hAnsi="宋体" w:cs="宋体"/>
          <w:color w:val="000000" w:themeColor="text1"/>
          <w:sz w:val="28"/>
          <w:szCs w:val="24"/>
          <w14:textFill>
            <w14:solidFill>
              <w14:schemeClr w14:val="tx1"/>
            </w14:solidFill>
          </w14:textFill>
        </w:rPr>
        <w:t>　　</w:t>
      </w:r>
    </w:p>
    <w:p w14:paraId="132E2A64">
      <w:pPr>
        <w:pStyle w:val="83"/>
        <w:tabs>
          <w:tab w:val="left" w:pos="5580"/>
        </w:tabs>
        <w:wordWrap w:val="0"/>
        <w:spacing w:line="500" w:lineRule="atLeast"/>
        <w:rPr>
          <w:rFonts w:ascii="宋体" w:hAnsi="宋体" w:cs="宋体"/>
          <w:color w:val="000000" w:themeColor="text1"/>
          <w:sz w:val="28"/>
          <w:szCs w:val="24"/>
          <w14:textFill>
            <w14:solidFill>
              <w14:schemeClr w14:val="tx1"/>
            </w14:solidFill>
          </w14:textFill>
        </w:rPr>
      </w:pPr>
      <w:r>
        <w:rPr>
          <w:rFonts w:hint="eastAsia" w:ascii="宋体" w:hAnsi="宋体" w:cs="宋体"/>
          <w:color w:val="000000" w:themeColor="text1"/>
          <w:sz w:val="28"/>
          <w:szCs w:val="24"/>
          <w14:textFill>
            <w14:solidFill>
              <w14:schemeClr w14:val="tx1"/>
            </w14:solidFill>
          </w14:textFill>
        </w:rPr>
        <w:t>本授权书于__________年_____月______日生效，特此声明。</w:t>
      </w:r>
      <w:r>
        <w:rPr>
          <w:rFonts w:hint="eastAsia" w:ascii="宋体" w:hAnsi="宋体" w:cs="宋体"/>
          <w:color w:val="000000" w:themeColor="text1"/>
          <w:sz w:val="28"/>
          <w:szCs w:val="24"/>
          <w14:textFill>
            <w14:solidFill>
              <w14:schemeClr w14:val="tx1"/>
            </w14:solidFill>
          </w14:textFill>
        </w:rPr>
        <w:cr/>
      </w:r>
    </w:p>
    <w:p w14:paraId="36D0EB16">
      <w:pPr>
        <w:pStyle w:val="83"/>
        <w:tabs>
          <w:tab w:val="left" w:pos="5580"/>
        </w:tabs>
        <w:wordWrap w:val="0"/>
        <w:spacing w:line="500" w:lineRule="atLeast"/>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（附授权代理人身份证正反两面扫描件）</w:t>
      </w:r>
    </w:p>
    <w:p w14:paraId="5027DDFE">
      <w:pPr>
        <w:pStyle w:val="83"/>
        <w:tabs>
          <w:tab w:val="left" w:pos="5580"/>
        </w:tabs>
        <w:wordWrap w:val="0"/>
        <w:spacing w:line="500" w:lineRule="atLeast"/>
        <w:rPr>
          <w:rFonts w:ascii="宋体" w:hAnsi="宋体" w:cs="宋体"/>
          <w:color w:val="000000" w:themeColor="text1"/>
          <w:sz w:val="28"/>
          <w:szCs w:val="24"/>
          <w14:textFill>
            <w14:solidFill>
              <w14:schemeClr w14:val="tx1"/>
            </w14:solidFill>
          </w14:textFill>
        </w:rPr>
      </w:pPr>
    </w:p>
    <w:p w14:paraId="28525FD8">
      <w:pPr>
        <w:pStyle w:val="83"/>
        <w:tabs>
          <w:tab w:val="left" w:pos="5580"/>
        </w:tabs>
        <w:wordWrap w:val="0"/>
        <w:spacing w:line="500" w:lineRule="atLeast"/>
        <w:rPr>
          <w:rFonts w:ascii="宋体" w:hAnsi="宋体" w:cs="宋体"/>
          <w:color w:val="000000" w:themeColor="text1"/>
          <w:sz w:val="28"/>
          <w:szCs w:val="24"/>
          <w14:textFill>
            <w14:solidFill>
              <w14:schemeClr w14:val="tx1"/>
            </w14:solidFill>
          </w14:textFill>
        </w:rPr>
      </w:pPr>
    </w:p>
    <w:p w14:paraId="5D5F5E9A">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46F582CA">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0F0E198D">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187DBA68">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w:t>
      </w:r>
      <w:r>
        <w:rPr>
          <w:rFonts w:hint="eastAsia" w:ascii="宋体" w:hAnsi="宋体" w:cs="宋体"/>
          <w:color w:val="000000" w:themeColor="text1"/>
          <w:sz w:val="28"/>
          <w:szCs w:val="28"/>
          <w:u w:val="single"/>
          <w14:textFill>
            <w14:solidFill>
              <w14:schemeClr w14:val="tx1"/>
            </w14:solidFill>
          </w14:textFill>
        </w:rPr>
        <w:t xml:space="preserve">       （签字或盖章）   </w:t>
      </w:r>
    </w:p>
    <w:p w14:paraId="1A3631DD">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p>
    <w:p w14:paraId="0244492E">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日   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4D2C6937">
      <w:pPr>
        <w:pStyle w:val="83"/>
        <w:wordWrap w:val="0"/>
        <w:snapToGrid w:val="0"/>
        <w:spacing w:line="500" w:lineRule="atLeast"/>
        <w:jc w:val="left"/>
        <w:rPr>
          <w:rFonts w:ascii="宋体" w:hAnsi="宋体" w:cs="宋体"/>
          <w:b/>
          <w:color w:val="000000" w:themeColor="text1"/>
          <w:sz w:val="28"/>
          <w:szCs w:val="24"/>
          <w14:textFill>
            <w14:solidFill>
              <w14:schemeClr w14:val="tx1"/>
            </w14:solidFill>
          </w14:textFill>
        </w:rPr>
      </w:pPr>
    </w:p>
    <w:p w14:paraId="21258FC2">
      <w:pPr>
        <w:pStyle w:val="83"/>
        <w:widowControl/>
        <w:wordWrap w:val="0"/>
        <w:spacing w:line="500" w:lineRule="atLeast"/>
        <w:rPr>
          <w:rFonts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br w:type="page"/>
      </w:r>
      <w:r>
        <w:rPr>
          <w:rFonts w:hint="eastAsia" w:ascii="宋体" w:hAnsi="宋体" w:cs="宋体"/>
          <w:b/>
          <w:color w:val="000000" w:themeColor="text1"/>
          <w:sz w:val="28"/>
          <w:szCs w:val="21"/>
          <w14:textFill>
            <w14:solidFill>
              <w14:schemeClr w14:val="tx1"/>
            </w14:solidFill>
          </w14:textFill>
        </w:rPr>
        <w:t>附：法定代表人身份证明书</w:t>
      </w:r>
    </w:p>
    <w:p w14:paraId="4BA16641">
      <w:pPr>
        <w:pStyle w:val="83"/>
        <w:wordWrap w:val="0"/>
        <w:spacing w:line="500" w:lineRule="atLeast"/>
        <w:rPr>
          <w:rFonts w:ascii="宋体" w:hAnsi="宋体" w:cs="宋体"/>
          <w:color w:val="000000" w:themeColor="text1"/>
          <w:sz w:val="24"/>
          <w14:textFill>
            <w14:solidFill>
              <w14:schemeClr w14:val="tx1"/>
            </w14:solidFill>
          </w14:textFill>
        </w:rPr>
      </w:pPr>
    </w:p>
    <w:p w14:paraId="4C6738D4">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单位名称：</w:t>
      </w:r>
      <w:r>
        <w:rPr>
          <w:rFonts w:hint="eastAsia" w:ascii="宋体" w:hAnsi="宋体" w:cs="宋体"/>
          <w:color w:val="000000" w:themeColor="text1"/>
          <w:sz w:val="28"/>
          <w:u w:val="single"/>
          <w14:textFill>
            <w14:solidFill>
              <w14:schemeClr w14:val="tx1"/>
            </w14:solidFill>
          </w14:textFill>
        </w:rPr>
        <w:t xml:space="preserve">                                  </w:t>
      </w:r>
    </w:p>
    <w:p w14:paraId="0192915E">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单位类型：</w:t>
      </w:r>
      <w:r>
        <w:rPr>
          <w:rFonts w:hint="eastAsia" w:ascii="宋体" w:hAnsi="宋体" w:cs="宋体"/>
          <w:color w:val="000000" w:themeColor="text1"/>
          <w:sz w:val="28"/>
          <w:u w:val="single"/>
          <w14:textFill>
            <w14:solidFill>
              <w14:schemeClr w14:val="tx1"/>
            </w14:solidFill>
          </w14:textFill>
        </w:rPr>
        <w:t xml:space="preserve">                                  </w:t>
      </w:r>
    </w:p>
    <w:p w14:paraId="7B965684">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住    所：</w:t>
      </w:r>
      <w:r>
        <w:rPr>
          <w:rFonts w:hint="eastAsia" w:ascii="宋体" w:hAnsi="宋体" w:cs="宋体"/>
          <w:color w:val="000000" w:themeColor="text1"/>
          <w:sz w:val="28"/>
          <w:u w:val="single"/>
          <w14:textFill>
            <w14:solidFill>
              <w14:schemeClr w14:val="tx1"/>
            </w14:solidFill>
          </w14:textFill>
        </w:rPr>
        <w:t xml:space="preserve">                                  </w:t>
      </w:r>
    </w:p>
    <w:p w14:paraId="4C775179">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 xml:space="preserve">    成立日期：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5BA8B8D0">
      <w:pPr>
        <w:pStyle w:val="83"/>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28"/>
          <w14:textFill>
            <w14:solidFill>
              <w14:schemeClr w14:val="tx1"/>
            </w14:solidFill>
          </w14:textFill>
        </w:rPr>
        <w:t>营业期限：</w:t>
      </w:r>
      <w:r>
        <w:rPr>
          <w:rFonts w:hint="eastAsia" w:ascii="宋体" w:hAnsi="宋体" w:cs="宋体"/>
          <w:color w:val="000000" w:themeColor="text1"/>
          <w:sz w:val="28"/>
          <w:u w:val="single"/>
          <w14:textFill>
            <w14:solidFill>
              <w14:schemeClr w14:val="tx1"/>
            </w14:solidFill>
          </w14:textFill>
        </w:rPr>
        <w:t xml:space="preserve">                                  </w:t>
      </w:r>
    </w:p>
    <w:p w14:paraId="2308005F">
      <w:pPr>
        <w:pStyle w:val="83"/>
        <w:wordWrap w:val="0"/>
        <w:spacing w:line="500" w:lineRule="atLeast"/>
        <w:ind w:firstLine="465"/>
        <w:rPr>
          <w:rFonts w:ascii="宋体" w:hAnsi="宋体" w:cs="宋体"/>
          <w:color w:val="000000" w:themeColor="text1"/>
          <w:sz w:val="28"/>
          <w14:textFill>
            <w14:solidFill>
              <w14:schemeClr w14:val="tx1"/>
            </w14:solidFill>
          </w14:textFill>
        </w:rPr>
      </w:pPr>
    </w:p>
    <w:p w14:paraId="7CF4ECBE">
      <w:pPr>
        <w:pStyle w:val="83"/>
        <w:wordWrap w:val="0"/>
        <w:spacing w:line="500" w:lineRule="atLeast"/>
        <w:ind w:firstLine="560" w:firstLineChars="200"/>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28"/>
          <w14:textFill>
            <w14:solidFill>
              <w14:schemeClr w14:val="tx1"/>
            </w14:solidFill>
          </w14:textFill>
        </w:rPr>
        <w:t>姓    名：</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性别：</w:t>
      </w:r>
      <w:r>
        <w:rPr>
          <w:rFonts w:hint="eastAsia" w:ascii="宋体" w:hAnsi="宋体" w:cs="宋体"/>
          <w:color w:val="000000" w:themeColor="text1"/>
          <w:sz w:val="28"/>
          <w:u w:val="single"/>
          <w14:textFill>
            <w14:solidFill>
              <w14:schemeClr w14:val="tx1"/>
            </w14:solidFill>
          </w14:textFill>
        </w:rPr>
        <w:t xml:space="preserve">           </w:t>
      </w:r>
    </w:p>
    <w:p w14:paraId="7B992876">
      <w:pPr>
        <w:pStyle w:val="83"/>
        <w:wordWrap w:val="0"/>
        <w:spacing w:line="500" w:lineRule="atLeast"/>
        <w:ind w:firstLine="48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系</w:t>
      </w:r>
      <w:r>
        <w:rPr>
          <w:rFonts w:hint="eastAsia" w:ascii="宋体" w:hAnsi="宋体" w:cs="宋体"/>
          <w:color w:val="000000" w:themeColor="text1"/>
          <w:sz w:val="28"/>
          <w:u w:val="single"/>
          <w14:textFill>
            <w14:solidFill>
              <w14:schemeClr w14:val="tx1"/>
            </w14:solidFill>
          </w14:textFill>
        </w:rPr>
        <w:t xml:space="preserve">    （投标人名称）   </w:t>
      </w:r>
      <w:r>
        <w:rPr>
          <w:rFonts w:hint="eastAsia" w:ascii="宋体" w:hAnsi="宋体" w:cs="宋体"/>
          <w:color w:val="000000" w:themeColor="text1"/>
          <w:sz w:val="28"/>
          <w14:textFill>
            <w14:solidFill>
              <w14:schemeClr w14:val="tx1"/>
            </w14:solidFill>
          </w14:textFill>
        </w:rPr>
        <w:t>的法定代表人。</w:t>
      </w:r>
    </w:p>
    <w:p w14:paraId="48FC2B1C">
      <w:pPr>
        <w:pStyle w:val="83"/>
        <w:wordWrap w:val="0"/>
        <w:spacing w:line="500" w:lineRule="atLeast"/>
        <w:ind w:firstLine="480"/>
        <w:rPr>
          <w:rFonts w:ascii="宋体" w:hAnsi="宋体" w:cs="宋体"/>
          <w:color w:val="000000" w:themeColor="text1"/>
          <w:sz w:val="28"/>
          <w14:textFill>
            <w14:solidFill>
              <w14:schemeClr w14:val="tx1"/>
            </w14:solidFill>
          </w14:textFill>
        </w:rPr>
      </w:pPr>
    </w:p>
    <w:p w14:paraId="6829C493">
      <w:pPr>
        <w:pStyle w:val="83"/>
        <w:wordWrap w:val="0"/>
        <w:spacing w:line="500" w:lineRule="atLeast"/>
        <w:ind w:firstLine="48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特此证明。</w:t>
      </w:r>
    </w:p>
    <w:p w14:paraId="272619FA">
      <w:pPr>
        <w:pStyle w:val="83"/>
        <w:wordWrap w:val="0"/>
        <w:spacing w:line="500" w:lineRule="atLeast"/>
        <w:ind w:firstLine="480"/>
        <w:rPr>
          <w:rFonts w:ascii="宋体" w:hAnsi="宋体" w:cs="宋体"/>
          <w:b/>
          <w:bCs/>
          <w:color w:val="000000" w:themeColor="text1"/>
          <w:sz w:val="28"/>
          <w14:textFill>
            <w14:solidFill>
              <w14:schemeClr w14:val="tx1"/>
            </w14:solidFill>
          </w14:textFill>
        </w:rPr>
      </w:pPr>
    </w:p>
    <w:p w14:paraId="5CB0459D">
      <w:pPr>
        <w:pStyle w:val="83"/>
        <w:tabs>
          <w:tab w:val="left" w:pos="5580"/>
        </w:tabs>
        <w:wordWrap w:val="0"/>
        <w:spacing w:line="500" w:lineRule="atLeast"/>
        <w:jc w:val="center"/>
        <w:rPr>
          <w:rFonts w:ascii="宋体" w:hAnsi="宋体" w:cs="宋体"/>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（附法定代表人身份证正反两面扫描件）</w:t>
      </w:r>
    </w:p>
    <w:p w14:paraId="41B42950">
      <w:pPr>
        <w:pStyle w:val="83"/>
        <w:wordWrap w:val="0"/>
        <w:spacing w:line="500" w:lineRule="atLeast"/>
        <w:ind w:firstLine="480"/>
        <w:rPr>
          <w:rFonts w:ascii="宋体" w:hAnsi="宋体" w:cs="宋体"/>
          <w:color w:val="000000" w:themeColor="text1"/>
          <w:sz w:val="28"/>
          <w14:textFill>
            <w14:solidFill>
              <w14:schemeClr w14:val="tx1"/>
            </w14:solidFill>
          </w14:textFill>
        </w:rPr>
      </w:pPr>
    </w:p>
    <w:p w14:paraId="74047ECA">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p>
    <w:p w14:paraId="714B87E5">
      <w:pPr>
        <w:pStyle w:val="159"/>
        <w:wordWrap w:val="0"/>
        <w:spacing w:line="500" w:lineRule="atLeas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供应商名称：</w:t>
      </w:r>
      <w:r>
        <w:rPr>
          <w:rFonts w:hint="eastAsia" w:ascii="宋体" w:hAnsi="宋体" w:cs="宋体"/>
          <w:color w:val="000000" w:themeColor="text1"/>
          <w:sz w:val="28"/>
          <w:szCs w:val="28"/>
          <w:u w:val="single"/>
          <w14:textFill>
            <w14:solidFill>
              <w14:schemeClr w14:val="tx1"/>
            </w14:solidFill>
          </w14:textFill>
        </w:rPr>
        <w:t xml:space="preserve">       （盖章）       </w:t>
      </w:r>
    </w:p>
    <w:p w14:paraId="2854359F">
      <w:pPr>
        <w:pStyle w:val="83"/>
        <w:wordWrap w:val="0"/>
        <w:spacing w:line="500" w:lineRule="atLeast"/>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日   期：</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14:paraId="40AB9D86">
      <w:pPr>
        <w:pStyle w:val="83"/>
        <w:wordWrap w:val="0"/>
        <w:spacing w:line="500" w:lineRule="atLeast"/>
        <w:rPr>
          <w:rFonts w:ascii="宋体" w:hAnsi="宋体" w:cs="宋体"/>
          <w:color w:val="000000" w:themeColor="text1"/>
          <w:sz w:val="24"/>
          <w14:textFill>
            <w14:solidFill>
              <w14:schemeClr w14:val="tx1"/>
            </w14:solidFill>
          </w14:textFill>
        </w:rPr>
      </w:pPr>
    </w:p>
    <w:p w14:paraId="71C73FE9">
      <w:pPr>
        <w:pStyle w:val="83"/>
        <w:wordWrap w:val="0"/>
        <w:spacing w:line="500" w:lineRule="atLeast"/>
        <w:rPr>
          <w:rFonts w:ascii="宋体" w:hAnsi="宋体" w:cs="宋体"/>
          <w:color w:val="000000" w:themeColor="text1"/>
          <w:sz w:val="24"/>
          <w14:textFill>
            <w14:solidFill>
              <w14:schemeClr w14:val="tx1"/>
            </w14:solidFill>
          </w14:textFill>
        </w:rPr>
      </w:pPr>
    </w:p>
    <w:p w14:paraId="0834E855">
      <w:pPr>
        <w:pStyle w:val="83"/>
        <w:wordWrap w:val="0"/>
        <w:spacing w:line="500" w:lineRule="atLeast"/>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注：1、本项目只允许有唯一的投标人授权代理人，且必须为投标人在职员工。</w:t>
      </w:r>
    </w:p>
    <w:p w14:paraId="40772F8C">
      <w:pPr>
        <w:pStyle w:val="83"/>
        <w:wordWrap w:val="0"/>
        <w:spacing w:line="50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2、投标人法定代表人参加投标的，可以不提供法定代表人授权委托书，但必须提供上述法定代表人身份证明书，否则将按无效投标处理。</w:t>
      </w:r>
    </w:p>
    <w:p w14:paraId="1D20848E">
      <w:pPr>
        <w:pStyle w:val="122"/>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十二、技术响应、偏离说明表</w:t>
      </w:r>
    </w:p>
    <w:p w14:paraId="6756D724">
      <w:pPr>
        <w:pStyle w:val="73"/>
        <w:wordWrap w:val="0"/>
        <w:spacing w:line="500" w:lineRule="atLeast"/>
        <w:rPr>
          <w:rFonts w:ascii="宋体" w:hAnsi="宋体" w:cs="宋体"/>
          <w:color w:val="000000" w:themeColor="text1"/>
          <w14:textFill>
            <w14:solidFill>
              <w14:schemeClr w14:val="tx1"/>
            </w14:solidFill>
          </w14:textFill>
        </w:rPr>
      </w:pPr>
    </w:p>
    <w:p w14:paraId="528D908E">
      <w:pPr>
        <w:pStyle w:val="73"/>
        <w:wordWrap w:val="0"/>
        <w:spacing w:line="500" w:lineRule="atLeas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采购项目编号：</w:t>
      </w:r>
    </w:p>
    <w:p w14:paraId="764A03F1">
      <w:pPr>
        <w:pStyle w:val="73"/>
        <w:wordWrap w:val="0"/>
        <w:spacing w:line="500" w:lineRule="atLeas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采购项目名称：</w:t>
      </w: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191D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0FBC7DDB">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243982A">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7B11AAFD">
            <w:pPr>
              <w:pStyle w:val="73"/>
              <w:keepNext w:val="0"/>
              <w:keepLines w:val="0"/>
              <w:suppressLineNumbers w:val="0"/>
              <w:wordWrap w:val="0"/>
              <w:spacing w:before="0" w:beforeAutospacing="0" w:after="0" w:afterAutospacing="0" w:line="500" w:lineRule="atLeast"/>
              <w:ind w:left="0" w:right="0"/>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4D4A4909">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偏离说明</w:t>
            </w:r>
          </w:p>
        </w:tc>
      </w:tr>
      <w:tr w14:paraId="08E8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70FB1B1">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493CE927">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5801BD0B">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D66FC48">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5039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2DE8404">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14:paraId="7C30C716">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115A0193">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EECD41D">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0D11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133EACC">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p>
        </w:tc>
        <w:tc>
          <w:tcPr>
            <w:tcW w:w="2712" w:type="dxa"/>
            <w:tcBorders>
              <w:top w:val="single" w:color="auto" w:sz="4" w:space="0"/>
              <w:left w:val="single" w:color="auto" w:sz="4" w:space="0"/>
              <w:bottom w:val="single" w:color="auto" w:sz="4" w:space="0"/>
              <w:right w:val="single" w:color="auto" w:sz="4" w:space="0"/>
            </w:tcBorders>
            <w:vAlign w:val="center"/>
          </w:tcPr>
          <w:p w14:paraId="5AF6F6C0">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3CAB38C2">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5A116337">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20E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1175206">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p>
        </w:tc>
        <w:tc>
          <w:tcPr>
            <w:tcW w:w="2712" w:type="dxa"/>
            <w:tcBorders>
              <w:top w:val="single" w:color="auto" w:sz="4" w:space="0"/>
              <w:left w:val="single" w:color="auto" w:sz="4" w:space="0"/>
              <w:bottom w:val="single" w:color="auto" w:sz="4" w:space="0"/>
              <w:right w:val="single" w:color="auto" w:sz="4" w:space="0"/>
            </w:tcBorders>
            <w:vAlign w:val="center"/>
          </w:tcPr>
          <w:p w14:paraId="12BD2DA4">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3B4FDB30">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E4815C3">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5A1C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0D0738C">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p>
        </w:tc>
        <w:tc>
          <w:tcPr>
            <w:tcW w:w="2712" w:type="dxa"/>
            <w:tcBorders>
              <w:top w:val="single" w:color="auto" w:sz="4" w:space="0"/>
              <w:left w:val="single" w:color="auto" w:sz="4" w:space="0"/>
              <w:bottom w:val="single" w:color="auto" w:sz="4" w:space="0"/>
              <w:right w:val="single" w:color="auto" w:sz="4" w:space="0"/>
            </w:tcBorders>
            <w:vAlign w:val="center"/>
          </w:tcPr>
          <w:p w14:paraId="08B2CB17">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8108EDB">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5F381F1">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270C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F066B99">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w:t>
            </w:r>
          </w:p>
        </w:tc>
        <w:tc>
          <w:tcPr>
            <w:tcW w:w="2712" w:type="dxa"/>
            <w:tcBorders>
              <w:top w:val="single" w:color="auto" w:sz="4" w:space="0"/>
              <w:left w:val="single" w:color="auto" w:sz="4" w:space="0"/>
              <w:bottom w:val="single" w:color="auto" w:sz="4" w:space="0"/>
              <w:right w:val="single" w:color="auto" w:sz="4" w:space="0"/>
            </w:tcBorders>
            <w:vAlign w:val="center"/>
          </w:tcPr>
          <w:p w14:paraId="1747AF54">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266A091D">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1E09C88">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r w14:paraId="0F93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6FF8C28">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14:paraId="012DA029">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EF4F2C4">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06E90BA6">
            <w:pPr>
              <w:pStyle w:val="73"/>
              <w:keepNext w:val="0"/>
              <w:keepLines w:val="0"/>
              <w:suppressLineNumbers w:val="0"/>
              <w:wordWrap w:val="0"/>
              <w:spacing w:before="0" w:beforeAutospacing="0" w:after="0" w:afterAutospacing="0" w:line="500" w:lineRule="atLeast"/>
              <w:ind w:left="0" w:right="0"/>
              <w:jc w:val="center"/>
              <w:rPr>
                <w:rFonts w:hint="default" w:ascii="宋体" w:hAnsi="宋体" w:cs="宋体"/>
                <w:color w:val="000000" w:themeColor="text1"/>
                <w:sz w:val="28"/>
                <w:szCs w:val="28"/>
                <w14:textFill>
                  <w14:solidFill>
                    <w14:schemeClr w14:val="tx1"/>
                  </w14:solidFill>
                </w14:textFill>
              </w:rPr>
            </w:pPr>
          </w:p>
        </w:tc>
      </w:tr>
    </w:tbl>
    <w:p w14:paraId="58C38E7F">
      <w:pPr>
        <w:pStyle w:val="140"/>
        <w:wordWrap w:val="0"/>
        <w:spacing w:line="500" w:lineRule="atLeast"/>
        <w:outlineLvl w:val="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注：若“无偏离”，只需在“偏离说明”中填写“无偏离”即可，则表示供应商完全响应磋商文件中所有技术条款。</w:t>
      </w:r>
    </w:p>
    <w:p w14:paraId="755459C7">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195CE512">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24EBC512">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1530EEDB">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58D02272">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6B4D730C">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271D2EB0">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1519CBE3">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2D32AD6A">
      <w:pPr>
        <w:pStyle w:val="140"/>
        <w:wordWrap w:val="0"/>
        <w:spacing w:line="500" w:lineRule="atLeast"/>
        <w:outlineLvl w:val="2"/>
        <w:rPr>
          <w:rFonts w:ascii="宋体" w:hAnsi="宋体" w:eastAsia="宋体" w:cs="宋体"/>
          <w:b w:val="0"/>
          <w:color w:val="000000" w:themeColor="text1"/>
          <w:kern w:val="2"/>
          <w:sz w:val="28"/>
          <w:szCs w:val="28"/>
          <w14:textFill>
            <w14:solidFill>
              <w14:schemeClr w14:val="tx1"/>
            </w14:solidFill>
          </w14:textFill>
        </w:rPr>
      </w:pPr>
    </w:p>
    <w:p w14:paraId="69F01AD8">
      <w:pPr>
        <w:pStyle w:val="140"/>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十三、投标人自行编写的商务文件</w:t>
      </w:r>
    </w:p>
    <w:p w14:paraId="4CF49F53">
      <w:pPr>
        <w:pStyle w:val="143"/>
        <w:wordWrap w:val="0"/>
        <w:spacing w:line="500" w:lineRule="atLeast"/>
        <w:ind w:firstLine="280" w:firstLineChars="100"/>
        <w:outlineLvl w:val="2"/>
        <w:rPr>
          <w:rFonts w:hint="default" w:ascii="宋体" w:hAnsi="宋体" w:eastAsia="宋体" w:cs="宋体"/>
          <w:b w:val="0"/>
          <w:bCs/>
          <w:color w:val="000000" w:themeColor="text1"/>
          <w:sz w:val="28"/>
          <w:szCs w:val="28"/>
          <w:lang w:val="en-US" w:eastAsia="zh-CN"/>
          <w14:textFill>
            <w14:solidFill>
              <w14:schemeClr w14:val="tx1"/>
            </w14:solidFill>
          </w14:textFill>
        </w:rPr>
      </w:pPr>
      <w:bookmarkStart w:id="132" w:name="_Toc256000038"/>
      <w:r>
        <w:rPr>
          <w:rFonts w:hint="eastAsia" w:ascii="宋体" w:hAnsi="宋体" w:eastAsia="宋体" w:cs="宋体"/>
          <w:b w:val="0"/>
          <w:bCs/>
          <w:color w:val="000000" w:themeColor="text1"/>
          <w:sz w:val="28"/>
          <w:szCs w:val="28"/>
          <w:lang w:val="en-US" w:eastAsia="zh-CN"/>
          <w14:textFill>
            <w14:solidFill>
              <w14:schemeClr w14:val="tx1"/>
            </w14:solidFill>
          </w14:textFill>
        </w:rPr>
        <w:t>投标人须按评审办法中商务部分评审内容来编写。</w:t>
      </w:r>
    </w:p>
    <w:p w14:paraId="71E5A9D8">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3C1BB52">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CD4FBD4">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7F599B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7B3D83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46179C96">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D91F6B1">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13FAC6C3">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6F25D4A1">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FC870CD">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42BAC7BC">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45248B63">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72836DB3">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3303BA4E">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7BBED65B">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CAFF1F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51941A9B">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D71F250">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7F16519E">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2C7AB0CC">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104FDFF3">
      <w:pPr>
        <w:pStyle w:val="143"/>
        <w:wordWrap w:val="0"/>
        <w:spacing w:line="500" w:lineRule="atLeast"/>
        <w:outlineLvl w:val="2"/>
        <w:rPr>
          <w:rFonts w:ascii="宋体" w:hAnsi="宋体" w:eastAsia="宋体" w:cs="宋体"/>
          <w:color w:val="000000" w:themeColor="text1"/>
          <w14:textFill>
            <w14:solidFill>
              <w14:schemeClr w14:val="tx1"/>
            </w14:solidFill>
          </w14:textFill>
        </w:rPr>
      </w:pPr>
    </w:p>
    <w:bookmarkEnd w:id="132"/>
    <w:p w14:paraId="3D00C252">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9EABA1D">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34DF7E8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68BE3A75">
      <w:pPr>
        <w:pStyle w:val="143"/>
        <w:wordWrap w:val="0"/>
        <w:spacing w:line="500" w:lineRule="atLeast"/>
        <w:outlineLvl w:val="2"/>
        <w:rPr>
          <w:rFonts w:ascii="宋体" w:hAnsi="宋体" w:eastAsia="宋体" w:cs="宋体"/>
          <w:color w:val="000000" w:themeColor="text1"/>
          <w14:textFill>
            <w14:solidFill>
              <w14:schemeClr w14:val="tx1"/>
            </w14:solidFill>
          </w14:textFill>
        </w:rPr>
      </w:pPr>
    </w:p>
    <w:p w14:paraId="0D9F7FF1">
      <w:pPr>
        <w:pStyle w:val="143"/>
        <w:wordWrap w:val="0"/>
        <w:spacing w:line="500" w:lineRule="atLeast"/>
        <w:outlineLvl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十四、投标人自行编写的技术文件</w:t>
      </w:r>
    </w:p>
    <w:bookmarkEnd w:id="131"/>
    <w:p w14:paraId="3315D045">
      <w:pPr>
        <w:pStyle w:val="143"/>
        <w:wordWrap w:val="0"/>
        <w:spacing w:line="500" w:lineRule="atLeast"/>
        <w:ind w:firstLine="280" w:firstLineChars="100"/>
        <w:outlineLvl w:val="2"/>
        <w:rPr>
          <w:rFonts w:hint="default"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投标人须按评审办法中技术部分评审内容来编写。</w:t>
      </w:r>
    </w:p>
    <w:p w14:paraId="587DF397">
      <w:pPr>
        <w:wordWrap w:val="0"/>
        <w:spacing w:line="500" w:lineRule="atLeast"/>
        <w:rPr>
          <w:rFonts w:ascii="宋体" w:hAnsi="宋体" w:cs="宋体"/>
          <w:color w:val="000000" w:themeColor="text1"/>
          <w:sz w:val="20"/>
          <w:highlight w:val="red"/>
          <w14:textFill>
            <w14:solidFill>
              <w14:schemeClr w14:val="tx1"/>
            </w14:solidFill>
          </w14:textFill>
        </w:rPr>
      </w:pPr>
    </w:p>
    <w:p w14:paraId="03977C9F">
      <w:pPr>
        <w:wordWrap w:val="0"/>
        <w:spacing w:line="500" w:lineRule="atLeast"/>
        <w:rPr>
          <w:rFonts w:ascii="宋体" w:hAnsi="宋体" w:cs="宋体"/>
          <w:color w:val="000000" w:themeColor="text1"/>
          <w:sz w:val="20"/>
          <w:highlight w:val="red"/>
          <w14:textFill>
            <w14:solidFill>
              <w14:schemeClr w14:val="tx1"/>
            </w14:solidFill>
          </w14:textFill>
        </w:rPr>
      </w:pPr>
    </w:p>
    <w:p w14:paraId="7BBEBD70">
      <w:pPr>
        <w:wordWrap w:val="0"/>
        <w:spacing w:line="500" w:lineRule="atLeast"/>
        <w:rPr>
          <w:rFonts w:ascii="宋体" w:hAnsi="宋体" w:cs="宋体"/>
          <w:color w:val="000000" w:themeColor="text1"/>
          <w:sz w:val="20"/>
          <w:highlight w:val="red"/>
          <w14:textFill>
            <w14:solidFill>
              <w14:schemeClr w14:val="tx1"/>
            </w14:solidFill>
          </w14:textFill>
        </w:rPr>
      </w:pPr>
    </w:p>
    <w:p w14:paraId="0D4A97C9">
      <w:pPr>
        <w:wordWrap w:val="0"/>
        <w:spacing w:line="500" w:lineRule="atLeast"/>
        <w:rPr>
          <w:rFonts w:ascii="宋体" w:hAnsi="宋体" w:cs="宋体"/>
          <w:color w:val="000000" w:themeColor="text1"/>
          <w:sz w:val="20"/>
          <w:highlight w:val="red"/>
          <w14:textFill>
            <w14:solidFill>
              <w14:schemeClr w14:val="tx1"/>
            </w14:solidFill>
          </w14:textFill>
        </w:rPr>
      </w:pPr>
    </w:p>
    <w:p w14:paraId="7108326F">
      <w:pPr>
        <w:wordWrap w:val="0"/>
        <w:spacing w:line="500" w:lineRule="atLeast"/>
        <w:rPr>
          <w:rFonts w:ascii="宋体" w:hAnsi="宋体" w:cs="宋体"/>
          <w:color w:val="000000" w:themeColor="text1"/>
          <w:sz w:val="20"/>
          <w:highlight w:val="red"/>
          <w14:textFill>
            <w14:solidFill>
              <w14:schemeClr w14:val="tx1"/>
            </w14:solidFill>
          </w14:textFill>
        </w:rPr>
      </w:pPr>
    </w:p>
    <w:p w14:paraId="73D84D9E">
      <w:pPr>
        <w:wordWrap w:val="0"/>
        <w:spacing w:line="500" w:lineRule="atLeast"/>
        <w:rPr>
          <w:rFonts w:ascii="宋体" w:hAnsi="宋体" w:cs="宋体"/>
          <w:color w:val="000000" w:themeColor="text1"/>
          <w:sz w:val="20"/>
          <w:highlight w:val="red"/>
          <w14:textFill>
            <w14:solidFill>
              <w14:schemeClr w14:val="tx1"/>
            </w14:solidFill>
          </w14:textFill>
        </w:rPr>
      </w:pPr>
    </w:p>
    <w:p w14:paraId="6288C565">
      <w:pPr>
        <w:wordWrap w:val="0"/>
        <w:spacing w:line="500" w:lineRule="atLeast"/>
        <w:rPr>
          <w:rFonts w:ascii="宋体" w:hAnsi="宋体" w:cs="宋体"/>
          <w:color w:val="000000" w:themeColor="text1"/>
          <w:sz w:val="20"/>
          <w:highlight w:val="red"/>
          <w14:textFill>
            <w14:solidFill>
              <w14:schemeClr w14:val="tx1"/>
            </w14:solidFill>
          </w14:textFill>
        </w:rPr>
      </w:pPr>
    </w:p>
    <w:p w14:paraId="7DC2259F">
      <w:pPr>
        <w:wordWrap w:val="0"/>
        <w:spacing w:line="500" w:lineRule="atLeast"/>
        <w:rPr>
          <w:rFonts w:ascii="宋体" w:hAnsi="宋体" w:cs="宋体"/>
          <w:color w:val="000000" w:themeColor="text1"/>
          <w:sz w:val="20"/>
          <w:highlight w:val="red"/>
          <w14:textFill>
            <w14:solidFill>
              <w14:schemeClr w14:val="tx1"/>
            </w14:solidFill>
          </w14:textFill>
        </w:rPr>
      </w:pPr>
    </w:p>
    <w:p w14:paraId="0D07B67C">
      <w:pPr>
        <w:wordWrap w:val="0"/>
        <w:spacing w:line="500" w:lineRule="atLeast"/>
        <w:rPr>
          <w:rFonts w:ascii="宋体" w:hAnsi="宋体" w:cs="宋体"/>
          <w:color w:val="000000" w:themeColor="text1"/>
          <w:sz w:val="20"/>
          <w:highlight w:val="red"/>
          <w14:textFill>
            <w14:solidFill>
              <w14:schemeClr w14:val="tx1"/>
            </w14:solidFill>
          </w14:textFill>
        </w:rPr>
      </w:pPr>
    </w:p>
    <w:p w14:paraId="3F366DF8">
      <w:pPr>
        <w:wordWrap w:val="0"/>
        <w:spacing w:line="500" w:lineRule="atLeast"/>
        <w:rPr>
          <w:rFonts w:ascii="宋体" w:hAnsi="宋体" w:cs="宋体"/>
          <w:color w:val="000000" w:themeColor="text1"/>
          <w:sz w:val="20"/>
          <w:highlight w:val="red"/>
          <w14:textFill>
            <w14:solidFill>
              <w14:schemeClr w14:val="tx1"/>
            </w14:solidFill>
          </w14:textFill>
        </w:rPr>
      </w:pPr>
    </w:p>
    <w:p w14:paraId="695C8AD4">
      <w:pPr>
        <w:wordWrap w:val="0"/>
        <w:spacing w:line="500" w:lineRule="atLeast"/>
        <w:rPr>
          <w:rFonts w:ascii="宋体" w:hAnsi="宋体" w:cs="宋体"/>
          <w:color w:val="000000" w:themeColor="text1"/>
          <w:sz w:val="20"/>
          <w:highlight w:val="red"/>
          <w14:textFill>
            <w14:solidFill>
              <w14:schemeClr w14:val="tx1"/>
            </w14:solidFill>
          </w14:textFill>
        </w:rPr>
      </w:pPr>
    </w:p>
    <w:p w14:paraId="5AD4ED27">
      <w:pPr>
        <w:wordWrap w:val="0"/>
        <w:spacing w:line="500" w:lineRule="atLeast"/>
        <w:rPr>
          <w:rFonts w:ascii="宋体" w:hAnsi="宋体" w:cs="宋体"/>
          <w:color w:val="000000" w:themeColor="text1"/>
          <w:sz w:val="20"/>
          <w:highlight w:val="red"/>
          <w14:textFill>
            <w14:solidFill>
              <w14:schemeClr w14:val="tx1"/>
            </w14:solidFill>
          </w14:textFill>
        </w:rPr>
      </w:pPr>
    </w:p>
    <w:p w14:paraId="7C73DEC8">
      <w:pPr>
        <w:wordWrap w:val="0"/>
        <w:spacing w:line="500" w:lineRule="atLeast"/>
        <w:rPr>
          <w:rFonts w:ascii="宋体" w:hAnsi="宋体" w:cs="宋体"/>
          <w:color w:val="000000" w:themeColor="text1"/>
          <w:sz w:val="20"/>
          <w:highlight w:val="red"/>
          <w14:textFill>
            <w14:solidFill>
              <w14:schemeClr w14:val="tx1"/>
            </w14:solidFill>
          </w14:textFill>
        </w:rPr>
      </w:pPr>
    </w:p>
    <w:p w14:paraId="7A15BD37">
      <w:pPr>
        <w:wordWrap w:val="0"/>
        <w:spacing w:line="500" w:lineRule="atLeast"/>
        <w:rPr>
          <w:rFonts w:ascii="宋体" w:hAnsi="宋体" w:cs="宋体"/>
          <w:color w:val="000000" w:themeColor="text1"/>
          <w:sz w:val="20"/>
          <w:highlight w:val="red"/>
          <w14:textFill>
            <w14:solidFill>
              <w14:schemeClr w14:val="tx1"/>
            </w14:solidFill>
          </w14:textFill>
        </w:rPr>
      </w:pPr>
    </w:p>
    <w:p w14:paraId="41E4F8B3">
      <w:pPr>
        <w:wordWrap w:val="0"/>
        <w:spacing w:line="500" w:lineRule="atLeast"/>
        <w:rPr>
          <w:rFonts w:ascii="宋体" w:hAnsi="宋体" w:cs="宋体"/>
          <w:color w:val="000000" w:themeColor="text1"/>
          <w:sz w:val="20"/>
          <w:highlight w:val="red"/>
          <w14:textFill>
            <w14:solidFill>
              <w14:schemeClr w14:val="tx1"/>
            </w14:solidFill>
          </w14:textFill>
        </w:rPr>
      </w:pPr>
    </w:p>
    <w:p w14:paraId="146FF6D3">
      <w:pPr>
        <w:wordWrap w:val="0"/>
        <w:spacing w:line="500" w:lineRule="atLeast"/>
        <w:rPr>
          <w:rFonts w:ascii="宋体" w:hAnsi="宋体" w:cs="宋体"/>
          <w:color w:val="000000" w:themeColor="text1"/>
          <w:sz w:val="20"/>
          <w:highlight w:val="red"/>
          <w14:textFill>
            <w14:solidFill>
              <w14:schemeClr w14:val="tx1"/>
            </w14:solidFill>
          </w14:textFill>
        </w:rPr>
      </w:pPr>
    </w:p>
    <w:p w14:paraId="2D17FCF4">
      <w:pPr>
        <w:wordWrap w:val="0"/>
        <w:spacing w:line="500" w:lineRule="atLeast"/>
        <w:rPr>
          <w:rFonts w:ascii="宋体" w:hAnsi="宋体" w:cs="宋体"/>
          <w:color w:val="000000" w:themeColor="text1"/>
          <w:sz w:val="20"/>
          <w:highlight w:val="red"/>
          <w14:textFill>
            <w14:solidFill>
              <w14:schemeClr w14:val="tx1"/>
            </w14:solidFill>
          </w14:textFill>
        </w:rPr>
      </w:pPr>
    </w:p>
    <w:p w14:paraId="21588C46">
      <w:pPr>
        <w:wordWrap w:val="0"/>
        <w:spacing w:line="500" w:lineRule="atLeast"/>
        <w:rPr>
          <w:rFonts w:ascii="宋体" w:hAnsi="宋体" w:cs="宋体"/>
          <w:color w:val="000000" w:themeColor="text1"/>
          <w:sz w:val="20"/>
          <w:highlight w:val="red"/>
          <w14:textFill>
            <w14:solidFill>
              <w14:schemeClr w14:val="tx1"/>
            </w14:solidFill>
          </w14:textFill>
        </w:rPr>
      </w:pPr>
    </w:p>
    <w:p w14:paraId="76517E2B">
      <w:pPr>
        <w:wordWrap w:val="0"/>
        <w:spacing w:line="500" w:lineRule="atLeast"/>
        <w:rPr>
          <w:rFonts w:ascii="宋体" w:hAnsi="宋体" w:cs="宋体"/>
          <w:color w:val="000000" w:themeColor="text1"/>
          <w:sz w:val="20"/>
          <w:highlight w:val="red"/>
          <w14:textFill>
            <w14:solidFill>
              <w14:schemeClr w14:val="tx1"/>
            </w14:solidFill>
          </w14:textFill>
        </w:rPr>
      </w:pPr>
    </w:p>
    <w:p w14:paraId="41ED00FB">
      <w:pPr>
        <w:wordWrap w:val="0"/>
        <w:spacing w:line="500" w:lineRule="atLeast"/>
        <w:rPr>
          <w:rFonts w:ascii="宋体" w:hAnsi="宋体" w:cs="宋体"/>
          <w:color w:val="000000" w:themeColor="text1"/>
          <w:sz w:val="20"/>
          <w:highlight w:val="red"/>
          <w14:textFill>
            <w14:solidFill>
              <w14:schemeClr w14:val="tx1"/>
            </w14:solidFill>
          </w14:textFill>
        </w:rPr>
      </w:pPr>
    </w:p>
    <w:p w14:paraId="7EAED44F">
      <w:pPr>
        <w:wordWrap w:val="0"/>
        <w:spacing w:line="500" w:lineRule="atLeast"/>
        <w:rPr>
          <w:rFonts w:ascii="宋体" w:hAnsi="宋体" w:cs="宋体"/>
          <w:color w:val="000000" w:themeColor="text1"/>
          <w:sz w:val="20"/>
          <w:highlight w:val="red"/>
          <w14:textFill>
            <w14:solidFill>
              <w14:schemeClr w14:val="tx1"/>
            </w14:solidFill>
          </w14:textFill>
        </w:rPr>
      </w:pPr>
    </w:p>
    <w:p w14:paraId="1A481FA1">
      <w:pPr>
        <w:wordWrap w:val="0"/>
        <w:spacing w:line="500" w:lineRule="atLeast"/>
        <w:rPr>
          <w:rFonts w:ascii="宋体" w:hAnsi="宋体" w:cs="宋体"/>
          <w:color w:val="000000" w:themeColor="text1"/>
          <w:sz w:val="20"/>
          <w:highlight w:val="red"/>
          <w14:textFill>
            <w14:solidFill>
              <w14:schemeClr w14:val="tx1"/>
            </w14:solidFill>
          </w14:textFill>
        </w:rPr>
      </w:pPr>
    </w:p>
    <w:p w14:paraId="43C0C87A">
      <w:pPr>
        <w:wordWrap w:val="0"/>
        <w:spacing w:line="500" w:lineRule="atLeast"/>
        <w:rPr>
          <w:rFonts w:ascii="宋体" w:hAnsi="宋体" w:cs="宋体"/>
          <w:color w:val="000000" w:themeColor="text1"/>
          <w:sz w:val="20"/>
          <w:highlight w:val="red"/>
          <w14:textFill>
            <w14:solidFill>
              <w14:schemeClr w14:val="tx1"/>
            </w14:solidFill>
          </w14:textFill>
        </w:rPr>
      </w:pPr>
    </w:p>
    <w:p w14:paraId="29F8F4B2">
      <w:pPr>
        <w:wordWrap w:val="0"/>
        <w:spacing w:line="500" w:lineRule="atLeast"/>
        <w:rPr>
          <w:rFonts w:ascii="宋体" w:hAnsi="宋体" w:cs="宋体"/>
          <w:color w:val="000000" w:themeColor="text1"/>
          <w:sz w:val="20"/>
          <w:highlight w:val="red"/>
          <w14:textFill>
            <w14:solidFill>
              <w14:schemeClr w14:val="tx1"/>
            </w14:solidFill>
          </w14:textFill>
        </w:rPr>
      </w:pPr>
    </w:p>
    <w:p w14:paraId="5947E861">
      <w:pPr>
        <w:wordWrap w:val="0"/>
        <w:spacing w:line="500" w:lineRule="atLeast"/>
        <w:rPr>
          <w:rFonts w:ascii="宋体" w:hAnsi="宋体" w:cs="宋体"/>
          <w:color w:val="000000" w:themeColor="text1"/>
          <w:sz w:val="20"/>
          <w:highlight w:val="red"/>
          <w14:textFill>
            <w14:solidFill>
              <w14:schemeClr w14:val="tx1"/>
            </w14:solidFill>
          </w14:textFill>
        </w:rPr>
      </w:pPr>
    </w:p>
    <w:p w14:paraId="3AB88DDE">
      <w:pPr>
        <w:wordWrap w:val="0"/>
        <w:spacing w:line="500" w:lineRule="atLeast"/>
        <w:rPr>
          <w:rFonts w:ascii="宋体" w:hAnsi="宋体" w:cs="宋体"/>
          <w:b/>
          <w:color w:val="000000" w:themeColor="text1"/>
          <w:kern w:val="0"/>
          <w:sz w:val="32"/>
          <w:szCs w:val="24"/>
          <w14:textFill>
            <w14:solidFill>
              <w14:schemeClr w14:val="tx1"/>
            </w14:solidFill>
          </w14:textFill>
        </w:rPr>
      </w:pPr>
      <w:r>
        <w:rPr>
          <w:rFonts w:hint="eastAsia" w:ascii="宋体" w:hAnsi="宋体" w:cs="宋体"/>
          <w:b/>
          <w:color w:val="000000" w:themeColor="text1"/>
          <w:kern w:val="0"/>
          <w:sz w:val="32"/>
          <w:szCs w:val="24"/>
          <w14:textFill>
            <w14:solidFill>
              <w14:schemeClr w14:val="tx1"/>
            </w14:solidFill>
          </w14:textFill>
        </w:rPr>
        <w:t>十五、其他材料（供应商认为有必要提供的其他资料）</w:t>
      </w:r>
    </w:p>
    <w:p w14:paraId="04E27E0A">
      <w:pPr>
        <w:pStyle w:val="138"/>
        <w:spacing w:line="440" w:lineRule="exact"/>
        <w:ind w:right="-97"/>
        <w:rPr>
          <w:rFonts w:ascii="宋体" w:hAnsi="宋体" w:cs="宋体"/>
          <w:b/>
          <w:color w:val="000000" w:themeColor="text1"/>
          <w:sz w:val="28"/>
          <w:szCs w:val="28"/>
          <w14:textFill>
            <w14:solidFill>
              <w14:schemeClr w14:val="tx1"/>
            </w14:solidFill>
          </w14:textFill>
        </w:rPr>
      </w:pPr>
    </w:p>
    <w:p w14:paraId="0083D4BB">
      <w:pPr>
        <w:pStyle w:val="138"/>
        <w:spacing w:line="440" w:lineRule="exact"/>
        <w:ind w:right="-9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（1）中、小微企业声明函（中、小、微型企业产品价格需扣除的须提供）</w:t>
      </w:r>
    </w:p>
    <w:p w14:paraId="191B90DF">
      <w:pPr>
        <w:pStyle w:val="138"/>
        <w:spacing w:line="440" w:lineRule="exact"/>
        <w:ind w:right="-97"/>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中小企业声明函（服务）</w:t>
      </w:r>
    </w:p>
    <w:p w14:paraId="0C53A72A">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sz w:val="24"/>
          <w:u w:val="single"/>
          <w14:textFill>
            <w14:solidFill>
              <w14:schemeClr w14:val="tx1"/>
            </w14:solidFill>
          </w14:textFill>
        </w:rPr>
        <w:t>（单位名称）</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pacing w:val="-2"/>
          <w:sz w:val="24"/>
          <w:u w:val="single"/>
          <w14:textFill>
            <w14:solidFill>
              <w14:schemeClr w14:val="tx1"/>
            </w14:solidFill>
          </w14:textFill>
        </w:rPr>
        <w:t>（项目名称）</w:t>
      </w:r>
      <w:r>
        <w:rPr>
          <w:rFonts w:hint="eastAsia" w:ascii="宋体" w:hAnsi="宋体" w:cs="宋体"/>
          <w:color w:val="000000" w:themeColor="text1"/>
          <w:spacing w:val="-2"/>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4F731D16">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1.</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 xml:space="preserve">人，营业收入为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14:paraId="09B2CEA1">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2.</w:t>
      </w:r>
      <w:r>
        <w:rPr>
          <w:rFonts w:hint="eastAsia" w:ascii="宋体" w:hAnsi="宋体" w:cs="宋体"/>
          <w:color w:val="000000" w:themeColor="text1"/>
          <w:spacing w:val="-2"/>
          <w:sz w:val="24"/>
          <w:u w:val="single"/>
          <w14:textFill>
            <w14:solidFill>
              <w14:schemeClr w14:val="tx1"/>
            </w14:solidFill>
          </w14:textFill>
        </w:rPr>
        <w:t>（标的名称）</w:t>
      </w:r>
      <w:r>
        <w:rPr>
          <w:rFonts w:hint="eastAsia" w:ascii="宋体" w:hAnsi="宋体" w:cs="宋体"/>
          <w:color w:val="000000" w:themeColor="text1"/>
          <w:spacing w:val="-2"/>
          <w:sz w:val="24"/>
          <w14:textFill>
            <w14:solidFill>
              <w14:schemeClr w14:val="tx1"/>
            </w14:solidFill>
          </w14:textFill>
        </w:rPr>
        <w:t>，属于</w:t>
      </w:r>
      <w:r>
        <w:rPr>
          <w:rFonts w:hint="eastAsia" w:ascii="宋体" w:hAnsi="宋体" w:cs="宋体"/>
          <w:color w:val="000000" w:themeColor="text1"/>
          <w:spacing w:val="-2"/>
          <w:sz w:val="24"/>
          <w:u w:val="single"/>
          <w14:textFill>
            <w14:solidFill>
              <w14:schemeClr w14:val="tx1"/>
            </w14:solidFill>
          </w14:textFill>
        </w:rPr>
        <w:t>（采购文件中明确的所属行业）</w:t>
      </w:r>
      <w:r>
        <w:rPr>
          <w:rFonts w:hint="eastAsia" w:ascii="宋体" w:hAnsi="宋体" w:cs="宋体"/>
          <w:color w:val="000000" w:themeColor="text1"/>
          <w:spacing w:val="-2"/>
          <w:sz w:val="24"/>
          <w14:textFill>
            <w14:solidFill>
              <w14:schemeClr w14:val="tx1"/>
            </w14:solidFill>
          </w14:textFill>
        </w:rPr>
        <w:t>；承接企业为</w:t>
      </w:r>
      <w:r>
        <w:rPr>
          <w:rFonts w:hint="eastAsia" w:ascii="宋体" w:hAnsi="宋体" w:cs="宋体"/>
          <w:color w:val="000000" w:themeColor="text1"/>
          <w:spacing w:val="-2"/>
          <w:sz w:val="24"/>
          <w:u w:val="single"/>
          <w14:textFill>
            <w14:solidFill>
              <w14:schemeClr w14:val="tx1"/>
            </w14:solidFill>
          </w14:textFill>
        </w:rPr>
        <w:t>（企业名称）</w:t>
      </w:r>
      <w:r>
        <w:rPr>
          <w:rFonts w:hint="eastAsia" w:ascii="宋体" w:hAnsi="宋体" w:cs="宋体"/>
          <w:color w:val="000000" w:themeColor="text1"/>
          <w:spacing w:val="-2"/>
          <w:sz w:val="24"/>
          <w14:textFill>
            <w14:solidFill>
              <w14:schemeClr w14:val="tx1"/>
            </w14:solidFill>
          </w14:textFill>
        </w:rPr>
        <w:t>，从业人员</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人，营业收入为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万元，资产总额为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14:textFill>
            <w14:solidFill>
              <w14:schemeClr w14:val="tx1"/>
            </w14:solidFill>
          </w14:textFill>
        </w:rPr>
        <w:tab/>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万元，属于</w:t>
      </w:r>
      <w:r>
        <w:rPr>
          <w:rFonts w:hint="eastAsia" w:ascii="宋体" w:hAnsi="宋体" w:cs="宋体"/>
          <w:color w:val="000000" w:themeColor="text1"/>
          <w:spacing w:val="-2"/>
          <w:sz w:val="24"/>
          <w:u w:val="single"/>
          <w14:textFill>
            <w14:solidFill>
              <w14:schemeClr w14:val="tx1"/>
            </w14:solidFill>
          </w14:textFill>
        </w:rPr>
        <w:t>（中型企业、小型企业、微型企业）</w:t>
      </w:r>
      <w:r>
        <w:rPr>
          <w:rFonts w:hint="eastAsia" w:ascii="宋体" w:hAnsi="宋体" w:cs="宋体"/>
          <w:color w:val="000000" w:themeColor="text1"/>
          <w:spacing w:val="-2"/>
          <w:sz w:val="24"/>
          <w14:textFill>
            <w14:solidFill>
              <w14:schemeClr w14:val="tx1"/>
            </w14:solidFill>
          </w14:textFill>
        </w:rPr>
        <w:t>；</w:t>
      </w:r>
    </w:p>
    <w:p w14:paraId="7A36B451">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w:t>
      </w:r>
    </w:p>
    <w:p w14:paraId="6C84EC53">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以上企业，不属于大企业的分支机构，不存在控股股东为大企业的情形，也不存在与大企业的负责人为同一人的情形。</w:t>
      </w:r>
    </w:p>
    <w:p w14:paraId="547FD807">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本企业对上述声明内容的真实性负责。如有虚假，将依 法承担相应责任。</w:t>
      </w:r>
    </w:p>
    <w:p w14:paraId="0CC669AC">
      <w:pPr>
        <w:spacing w:line="520" w:lineRule="exact"/>
        <w:ind w:firstLine="472" w:firstLineChars="200"/>
        <w:rPr>
          <w:rFonts w:ascii="宋体" w:hAnsi="宋体" w:cs="宋体"/>
          <w:color w:val="000000" w:themeColor="text1"/>
          <w:spacing w:val="-2"/>
          <w:sz w:val="24"/>
          <w14:textFill>
            <w14:solidFill>
              <w14:schemeClr w14:val="tx1"/>
            </w14:solidFill>
          </w14:textFill>
        </w:rPr>
      </w:pPr>
    </w:p>
    <w:p w14:paraId="7B6FDC15">
      <w:pPr>
        <w:pStyle w:val="14"/>
        <w:spacing w:before="35" w:line="316" w:lineRule="auto"/>
        <w:ind w:right="112" w:firstLine="5664" w:firstLineChars="24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企业名称（盖章）：</w:t>
      </w:r>
    </w:p>
    <w:p w14:paraId="425036DE">
      <w:pPr>
        <w:spacing w:line="520" w:lineRule="exact"/>
        <w:ind w:firstLine="472" w:firstLineChars="200"/>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 xml:space="preserve">                                             日期：</w:t>
      </w:r>
    </w:p>
    <w:p w14:paraId="637DF3B9">
      <w:pPr>
        <w:pStyle w:val="41"/>
        <w:rPr>
          <w:color w:val="000000" w:themeColor="text1"/>
          <w14:textFill>
            <w14:solidFill>
              <w14:schemeClr w14:val="tx1"/>
            </w14:solidFill>
          </w14:textFill>
        </w:rPr>
      </w:pPr>
    </w:p>
    <w:p w14:paraId="104F9339">
      <w:pPr>
        <w:pStyle w:val="41"/>
        <w:ind w:left="0" w:leftChars="0" w:firstLine="0"/>
        <w:rPr>
          <w:rFonts w:ascii="宋体" w:hAnsi="宋体" w:cs="宋体"/>
          <w:color w:val="000000" w:themeColor="text1"/>
          <w:spacing w:val="-2"/>
          <w:sz w:val="24"/>
          <w14:textFill>
            <w14:solidFill>
              <w14:schemeClr w14:val="tx1"/>
            </w14:solidFill>
          </w14:textFill>
        </w:rPr>
      </w:pPr>
    </w:p>
    <w:p w14:paraId="1A699D46">
      <w:pPr>
        <w:pStyle w:val="138"/>
        <w:spacing w:line="440" w:lineRule="exact"/>
        <w:ind w:right="-97"/>
        <w:rPr>
          <w:rFonts w:ascii="宋体" w:hAnsi="宋体" w:cs="宋体"/>
          <w:b/>
          <w:color w:val="000000" w:themeColor="text1"/>
          <w:sz w:val="28"/>
          <w:szCs w:val="28"/>
          <w14:textFill>
            <w14:solidFill>
              <w14:schemeClr w14:val="tx1"/>
            </w14:solidFill>
          </w14:textFill>
        </w:rPr>
      </w:pPr>
    </w:p>
    <w:p w14:paraId="5C697726">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bookmarkStart w:id="133" w:name="_Toc103875563"/>
      <w:bookmarkStart w:id="134" w:name="_Toc104309479"/>
    </w:p>
    <w:p w14:paraId="28474E21">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p>
    <w:p w14:paraId="7B4DF7B1">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p>
    <w:p w14:paraId="76302588">
      <w:pPr>
        <w:spacing w:line="276" w:lineRule="auto"/>
        <w:ind w:left="255"/>
        <w:jc w:val="center"/>
        <w:outlineLvl w:val="0"/>
        <w:rPr>
          <w:rFonts w:hint="eastAsia" w:ascii="仿宋" w:hAnsi="仿宋" w:eastAsia="仿宋" w:cs="仿宋"/>
          <w:b/>
          <w:bCs/>
          <w:color w:val="000000" w:themeColor="text1"/>
          <w:kern w:val="0"/>
          <w:sz w:val="24"/>
          <w:szCs w:val="18"/>
          <w14:textFill>
            <w14:solidFill>
              <w14:schemeClr w14:val="tx1"/>
            </w14:solidFill>
          </w14:textFill>
        </w:rPr>
      </w:pPr>
    </w:p>
    <w:p w14:paraId="5F0B9754">
      <w:pPr>
        <w:spacing w:line="276" w:lineRule="auto"/>
        <w:ind w:left="255"/>
        <w:jc w:val="center"/>
        <w:outlineLvl w:val="0"/>
        <w:rPr>
          <w:rFonts w:hint="eastAsia" w:ascii="仿宋" w:hAnsi="仿宋" w:eastAsia="仿宋" w:cs="仿宋"/>
          <w:b/>
          <w:bCs/>
          <w:color w:val="000000" w:themeColor="text1"/>
          <w:kern w:val="0"/>
          <w:sz w:val="32"/>
          <w:szCs w:val="32"/>
          <w14:textFill>
            <w14:solidFill>
              <w14:schemeClr w14:val="tx1"/>
            </w14:solidFill>
          </w14:textFill>
        </w:rPr>
      </w:pPr>
    </w:p>
    <w:p w14:paraId="3729223E">
      <w:pPr>
        <w:spacing w:line="276" w:lineRule="auto"/>
        <w:ind w:left="255"/>
        <w:jc w:val="center"/>
        <w:outlineLvl w:val="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参与政府采购活动前三年内在经营活动中没有</w:t>
      </w:r>
      <w:bookmarkEnd w:id="133"/>
      <w:bookmarkEnd w:id="134"/>
    </w:p>
    <w:p w14:paraId="7C0E322D">
      <w:pPr>
        <w:spacing w:line="276" w:lineRule="auto"/>
        <w:ind w:left="255"/>
        <w:jc w:val="center"/>
        <w:outlineLvl w:val="0"/>
        <w:rPr>
          <w:rFonts w:hint="eastAsia" w:ascii="仿宋" w:hAnsi="仿宋" w:eastAsia="仿宋" w:cs="仿宋"/>
          <w:b/>
          <w:bCs/>
          <w:color w:val="000000" w:themeColor="text1"/>
          <w:kern w:val="0"/>
          <w:sz w:val="32"/>
          <w:szCs w:val="32"/>
          <w14:textFill>
            <w14:solidFill>
              <w14:schemeClr w14:val="tx1"/>
            </w14:solidFill>
          </w14:textFill>
        </w:rPr>
      </w:pPr>
      <w:bookmarkStart w:id="135" w:name="_Toc103875564"/>
      <w:bookmarkStart w:id="136" w:name="_Toc104309480"/>
      <w:r>
        <w:rPr>
          <w:rFonts w:hint="eastAsia" w:ascii="仿宋" w:hAnsi="仿宋" w:eastAsia="仿宋" w:cs="仿宋"/>
          <w:b/>
          <w:bCs/>
          <w:color w:val="000000" w:themeColor="text1"/>
          <w:kern w:val="0"/>
          <w:sz w:val="32"/>
          <w:szCs w:val="32"/>
          <w14:textFill>
            <w14:solidFill>
              <w14:schemeClr w14:val="tx1"/>
            </w14:solidFill>
          </w14:textFill>
        </w:rPr>
        <w:t>重大违法记录的书面声明函</w:t>
      </w:r>
      <w:bookmarkEnd w:id="135"/>
      <w:bookmarkEnd w:id="136"/>
    </w:p>
    <w:p w14:paraId="4240F8D5">
      <w:pPr>
        <w:spacing w:line="480" w:lineRule="auto"/>
        <w:ind w:firstLine="255"/>
        <w:jc w:val="center"/>
        <w:rPr>
          <w:rFonts w:hint="eastAsia" w:ascii="仿宋" w:hAnsi="仿宋" w:eastAsia="仿宋" w:cs="仿宋"/>
          <w:b/>
          <w:color w:val="000000" w:themeColor="text1"/>
          <w:kern w:val="0"/>
          <w:sz w:val="28"/>
          <w:szCs w:val="28"/>
          <w14:textFill>
            <w14:solidFill>
              <w14:schemeClr w14:val="tx1"/>
            </w14:solidFill>
          </w14:textFill>
        </w:rPr>
      </w:pPr>
    </w:p>
    <w:p w14:paraId="731BC0C3">
      <w:pPr>
        <w:spacing w:line="520" w:lineRule="exact"/>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（采购人）:</w:t>
      </w:r>
    </w:p>
    <w:p w14:paraId="620F7066">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我公司承诺，参与政府采购活动前三年内在经营活动中没有重大违法记录现象。如有重大违法记录，由我公司全权负责，如造成严重不良影响的，我公司愿意接受法律法规的处罚。</w:t>
      </w:r>
    </w:p>
    <w:p w14:paraId="0E9940FA">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5EA8018C">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703757AB">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5D5780FC">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0BF06B98">
      <w:pPr>
        <w:spacing w:line="520" w:lineRule="exact"/>
        <w:ind w:firstLine="472" w:firstLineChars="200"/>
        <w:rPr>
          <w:rFonts w:hint="eastAsia" w:ascii="宋体" w:hAnsi="宋体" w:cs="宋体"/>
          <w:color w:val="000000" w:themeColor="text1"/>
          <w:spacing w:val="-2"/>
          <w:sz w:val="24"/>
          <w14:textFill>
            <w14:solidFill>
              <w14:schemeClr w14:val="tx1"/>
            </w14:solidFill>
          </w14:textFill>
        </w:rPr>
      </w:pPr>
    </w:p>
    <w:p w14:paraId="5414C4C0">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781264F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49541092">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6EEB1B07">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46B74C0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39BCB96F">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5B7C2F9E">
      <w:pPr>
        <w:spacing w:line="360" w:lineRule="auto"/>
        <w:ind w:firstLine="3469" w:firstLineChars="1470"/>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投标单位名称(公章)</w:t>
      </w:r>
      <w:r>
        <w:rPr>
          <w:rFonts w:hint="eastAsia" w:ascii="仿宋" w:hAnsi="仿宋" w:eastAsia="仿宋" w:cs="仿宋"/>
          <w:color w:val="000000" w:themeColor="text1"/>
          <w:sz w:val="24"/>
          <w14:textFill>
            <w14:solidFill>
              <w14:schemeClr w14:val="tx1"/>
            </w14:solidFill>
          </w14:textFill>
        </w:rPr>
        <w:t>:__________</w:t>
      </w:r>
    </w:p>
    <w:p w14:paraId="5F775435">
      <w:pPr>
        <w:spacing w:line="360" w:lineRule="auto"/>
        <w:ind w:firstLine="1347" w:firstLineChars="571"/>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法定代表人或授权委托人（签字或盖章）</w:t>
      </w:r>
      <w:r>
        <w:rPr>
          <w:rFonts w:hint="eastAsia" w:ascii="仿宋" w:hAnsi="仿宋" w:eastAsia="仿宋" w:cs="仿宋"/>
          <w:color w:val="000000" w:themeColor="text1"/>
          <w:sz w:val="24"/>
          <w14:textFill>
            <w14:solidFill>
              <w14:schemeClr w14:val="tx1"/>
            </w14:solidFill>
          </w14:textFill>
        </w:rPr>
        <w:t>:___________</w:t>
      </w:r>
    </w:p>
    <w:p w14:paraId="6596737C">
      <w:pPr>
        <w:spacing w:line="360" w:lineRule="auto"/>
        <w:ind w:firstLine="25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日    期:    年   月   日</w:t>
      </w:r>
    </w:p>
    <w:p w14:paraId="114B3C52">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2FC36C8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382E9E85">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492E8ECD">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3838880C">
      <w:pPr>
        <w:pStyle w:val="17"/>
        <w:rPr>
          <w:rFonts w:hint="eastAsia"/>
          <w:color w:val="000000" w:themeColor="text1"/>
          <w14:textFill>
            <w14:solidFill>
              <w14:schemeClr w14:val="tx1"/>
            </w14:solidFill>
          </w14:textFill>
        </w:rPr>
      </w:pPr>
    </w:p>
    <w:p w14:paraId="71EB4CF7">
      <w:pPr>
        <w:spacing w:line="360" w:lineRule="auto"/>
        <w:rPr>
          <w:rFonts w:hint="eastAsia" w:ascii="仿宋" w:hAnsi="仿宋" w:eastAsia="仿宋" w:cs="仿宋"/>
          <w:b/>
          <w:bCs/>
          <w:color w:val="000000" w:themeColor="text1"/>
          <w:szCs w:val="21"/>
          <w14:textFill>
            <w14:solidFill>
              <w14:schemeClr w14:val="tx1"/>
            </w14:solidFill>
          </w14:textFill>
        </w:rPr>
      </w:pPr>
    </w:p>
    <w:p w14:paraId="7378007D">
      <w:pPr>
        <w:pStyle w:val="11"/>
        <w:rPr>
          <w:rFonts w:hint="eastAsia" w:ascii="仿宋" w:hAnsi="仿宋" w:eastAsia="仿宋" w:cs="仿宋"/>
          <w:b/>
          <w:bCs/>
          <w:color w:val="000000" w:themeColor="text1"/>
          <w:szCs w:val="21"/>
          <w14:textFill>
            <w14:solidFill>
              <w14:schemeClr w14:val="tx1"/>
            </w14:solidFill>
          </w14:textFill>
        </w:rPr>
      </w:pPr>
    </w:p>
    <w:p w14:paraId="026E9236">
      <w:pPr>
        <w:rPr>
          <w:rFonts w:hint="eastAsia" w:ascii="仿宋" w:hAnsi="仿宋" w:eastAsia="仿宋" w:cs="仿宋"/>
          <w:b/>
          <w:bCs/>
          <w:color w:val="000000" w:themeColor="text1"/>
          <w:szCs w:val="21"/>
          <w14:textFill>
            <w14:solidFill>
              <w14:schemeClr w14:val="tx1"/>
            </w14:solidFill>
          </w14:textFill>
        </w:rPr>
      </w:pPr>
    </w:p>
    <w:p w14:paraId="012B91C8">
      <w:pPr>
        <w:pStyle w:val="11"/>
        <w:rPr>
          <w:rFonts w:hint="eastAsia" w:ascii="仿宋" w:hAnsi="仿宋" w:eastAsia="仿宋" w:cs="仿宋"/>
          <w:b/>
          <w:bCs/>
          <w:color w:val="000000" w:themeColor="text1"/>
          <w:szCs w:val="21"/>
          <w14:textFill>
            <w14:solidFill>
              <w14:schemeClr w14:val="tx1"/>
            </w14:solidFill>
          </w14:textFill>
        </w:rPr>
      </w:pPr>
    </w:p>
    <w:p w14:paraId="73513EA3">
      <w:pPr>
        <w:rPr>
          <w:rFonts w:hint="eastAsia" w:ascii="仿宋" w:hAnsi="仿宋" w:eastAsia="仿宋" w:cs="仿宋"/>
          <w:b/>
          <w:bCs/>
          <w:color w:val="000000" w:themeColor="text1"/>
          <w:szCs w:val="21"/>
          <w14:textFill>
            <w14:solidFill>
              <w14:schemeClr w14:val="tx1"/>
            </w14:solidFill>
          </w14:textFill>
        </w:rPr>
      </w:pPr>
    </w:p>
    <w:p w14:paraId="6A809545">
      <w:pPr>
        <w:pStyle w:val="24"/>
        <w:ind w:left="0" w:firstLine="0" w:firstLineChars="0"/>
        <w:rPr>
          <w:rFonts w:hint="eastAsia" w:ascii="仿宋" w:hAnsi="仿宋" w:eastAsia="仿宋" w:cs="仿宋"/>
          <w:color w:val="000000" w:themeColor="text1"/>
          <w14:textFill>
            <w14:solidFill>
              <w14:schemeClr w14:val="tx1"/>
            </w14:solidFill>
          </w14:textFill>
        </w:rPr>
      </w:pPr>
    </w:p>
    <w:p w14:paraId="0668A659">
      <w:pPr>
        <w:pStyle w:val="24"/>
        <w:ind w:left="0" w:firstLine="0" w:firstLineChars="0"/>
        <w:rPr>
          <w:rFonts w:hint="eastAsia" w:ascii="仿宋" w:hAnsi="仿宋" w:eastAsia="仿宋" w:cs="仿宋"/>
          <w:color w:val="000000" w:themeColor="text1"/>
          <w:sz w:val="32"/>
          <w:szCs w:val="32"/>
          <w14:textFill>
            <w14:solidFill>
              <w14:schemeClr w14:val="tx1"/>
            </w14:solidFill>
          </w14:textFill>
        </w:rPr>
      </w:pPr>
    </w:p>
    <w:p w14:paraId="407BE553">
      <w:pPr>
        <w:tabs>
          <w:tab w:val="left" w:pos="6300"/>
        </w:tabs>
        <w:snapToGrid w:val="0"/>
        <w:spacing w:line="500" w:lineRule="exact"/>
        <w:jc w:val="center"/>
        <w:outlineLvl w:val="0"/>
        <w:rPr>
          <w:rFonts w:hint="eastAsia" w:ascii="仿宋" w:hAnsi="仿宋" w:eastAsia="仿宋" w:cs="仿宋"/>
          <w:b/>
          <w:bCs/>
          <w:color w:val="000000" w:themeColor="text1"/>
          <w:kern w:val="0"/>
          <w:sz w:val="32"/>
          <w:szCs w:val="32"/>
          <w14:textFill>
            <w14:solidFill>
              <w14:schemeClr w14:val="tx1"/>
            </w14:solidFill>
          </w14:textFill>
        </w:rPr>
      </w:pPr>
      <w:bookmarkStart w:id="137" w:name="_Toc103875565"/>
      <w:bookmarkStart w:id="138" w:name="_Toc104309481"/>
      <w:bookmarkStart w:id="139" w:name="_Toc30217"/>
      <w:bookmarkStart w:id="140" w:name="_Toc26068_WPSOffice_Level1"/>
      <w:r>
        <w:rPr>
          <w:rFonts w:hint="eastAsia" w:ascii="仿宋" w:hAnsi="仿宋" w:eastAsia="仿宋" w:cs="仿宋"/>
          <w:b/>
          <w:bCs/>
          <w:color w:val="000000" w:themeColor="text1"/>
          <w:kern w:val="0"/>
          <w:sz w:val="32"/>
          <w:szCs w:val="32"/>
          <w14:textFill>
            <w14:solidFill>
              <w14:schemeClr w14:val="tx1"/>
            </w14:solidFill>
          </w14:textFill>
        </w:rPr>
        <w:t>具有履行合同所必需的设备和专业技术能力书面声明</w:t>
      </w:r>
      <w:bookmarkEnd w:id="137"/>
      <w:bookmarkEnd w:id="138"/>
    </w:p>
    <w:p w14:paraId="1A376991">
      <w:pPr>
        <w:tabs>
          <w:tab w:val="left" w:pos="6300"/>
        </w:tabs>
        <w:snapToGrid w:val="0"/>
        <w:spacing w:before="312" w:beforeLines="100" w:after="312" w:afterLines="100"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（采购人）：</w:t>
      </w:r>
    </w:p>
    <w:p w14:paraId="695B3DA1">
      <w:pPr>
        <w:tabs>
          <w:tab w:val="left" w:pos="6300"/>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5B0CBCA4">
      <w:pPr>
        <w:tabs>
          <w:tab w:val="left" w:pos="6300"/>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特此声明。</w:t>
      </w:r>
    </w:p>
    <w:p w14:paraId="416F6F7B">
      <w:pPr>
        <w:tabs>
          <w:tab w:val="left" w:pos="6300"/>
        </w:tabs>
        <w:snapToGrid w:val="0"/>
        <w:spacing w:line="500" w:lineRule="exact"/>
        <w:ind w:firstLine="570"/>
        <w:rPr>
          <w:rFonts w:hint="eastAsia" w:ascii="仿宋" w:hAnsi="仿宋" w:eastAsia="仿宋" w:cs="仿宋"/>
          <w:color w:val="000000" w:themeColor="text1"/>
          <w:sz w:val="28"/>
          <w:szCs w:val="28"/>
          <w14:textFill>
            <w14:solidFill>
              <w14:schemeClr w14:val="tx1"/>
            </w14:solidFill>
          </w14:textFill>
        </w:rPr>
      </w:pPr>
    </w:p>
    <w:p w14:paraId="656BCB22">
      <w:pPr>
        <w:tabs>
          <w:tab w:val="left" w:pos="6300"/>
        </w:tabs>
        <w:snapToGrid w:val="0"/>
        <w:spacing w:line="500" w:lineRule="exact"/>
        <w:ind w:firstLine="570"/>
        <w:rPr>
          <w:rFonts w:hint="eastAsia" w:ascii="仿宋" w:hAnsi="仿宋" w:eastAsia="仿宋" w:cs="仿宋"/>
          <w:color w:val="000000" w:themeColor="text1"/>
          <w:sz w:val="28"/>
          <w:szCs w:val="28"/>
          <w14:textFill>
            <w14:solidFill>
              <w14:schemeClr w14:val="tx1"/>
            </w14:solidFill>
          </w14:textFill>
        </w:rPr>
      </w:pPr>
    </w:p>
    <w:bookmarkEnd w:id="139"/>
    <w:bookmarkEnd w:id="140"/>
    <w:p w14:paraId="30F187B8">
      <w:pPr>
        <w:spacing w:line="360" w:lineRule="auto"/>
        <w:ind w:firstLine="255"/>
        <w:rPr>
          <w:rFonts w:hint="eastAsia" w:ascii="仿宋" w:hAnsi="仿宋" w:eastAsia="仿宋" w:cs="仿宋"/>
          <w:b/>
          <w:bCs/>
          <w:color w:val="000000" w:themeColor="text1"/>
          <w:szCs w:val="21"/>
          <w14:textFill>
            <w14:solidFill>
              <w14:schemeClr w14:val="tx1"/>
            </w14:solidFill>
          </w14:textFill>
        </w:rPr>
      </w:pPr>
    </w:p>
    <w:p w14:paraId="5D603E4A">
      <w:pPr>
        <w:spacing w:line="360" w:lineRule="auto"/>
        <w:ind w:firstLine="3469" w:firstLineChars="1470"/>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投标单位名称(公章)</w:t>
      </w:r>
      <w:r>
        <w:rPr>
          <w:rFonts w:hint="eastAsia" w:ascii="仿宋" w:hAnsi="仿宋" w:eastAsia="仿宋" w:cs="仿宋"/>
          <w:color w:val="000000" w:themeColor="text1"/>
          <w:sz w:val="24"/>
          <w14:textFill>
            <w14:solidFill>
              <w14:schemeClr w14:val="tx1"/>
            </w14:solidFill>
          </w14:textFill>
        </w:rPr>
        <w:t>:__________</w:t>
      </w:r>
    </w:p>
    <w:p w14:paraId="017A37C1">
      <w:pPr>
        <w:spacing w:line="360" w:lineRule="auto"/>
        <w:ind w:firstLine="1347" w:firstLineChars="571"/>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法定代表人或授权委托人（签字或盖章）</w:t>
      </w:r>
      <w:r>
        <w:rPr>
          <w:rFonts w:hint="eastAsia" w:ascii="仿宋" w:hAnsi="仿宋" w:eastAsia="仿宋" w:cs="仿宋"/>
          <w:color w:val="000000" w:themeColor="text1"/>
          <w:sz w:val="24"/>
          <w14:textFill>
            <w14:solidFill>
              <w14:schemeClr w14:val="tx1"/>
            </w14:solidFill>
          </w14:textFill>
        </w:rPr>
        <w:t>:___________</w:t>
      </w:r>
    </w:p>
    <w:p w14:paraId="7E34B607">
      <w:pPr>
        <w:spacing w:line="360" w:lineRule="auto"/>
        <w:ind w:firstLine="25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日    期:    年   月   日</w:t>
      </w:r>
    </w:p>
    <w:p w14:paraId="0E77A0A9">
      <w:pPr>
        <w:pStyle w:val="24"/>
        <w:ind w:left="420" w:hanging="420"/>
        <w:rPr>
          <w:rFonts w:hint="eastAsia" w:ascii="仿宋" w:hAnsi="仿宋" w:eastAsia="仿宋" w:cs="仿宋"/>
          <w:color w:val="000000" w:themeColor="text1"/>
          <w:sz w:val="28"/>
          <w:szCs w:val="28"/>
          <w14:textFill>
            <w14:solidFill>
              <w14:schemeClr w14:val="tx1"/>
            </w14:solidFill>
          </w14:textFill>
        </w:rPr>
      </w:pPr>
    </w:p>
    <w:p w14:paraId="77CAEA91">
      <w:pPr>
        <w:pStyle w:val="24"/>
        <w:ind w:left="420" w:hanging="420"/>
        <w:rPr>
          <w:rFonts w:hint="eastAsia" w:ascii="仿宋" w:hAnsi="仿宋" w:eastAsia="仿宋" w:cs="仿宋"/>
          <w:color w:val="000000" w:themeColor="text1"/>
          <w14:textFill>
            <w14:solidFill>
              <w14:schemeClr w14:val="tx1"/>
            </w14:solidFill>
          </w14:textFill>
        </w:rPr>
      </w:pPr>
    </w:p>
    <w:p w14:paraId="3F5F3F4C">
      <w:pPr>
        <w:pStyle w:val="138"/>
        <w:spacing w:line="440" w:lineRule="exact"/>
        <w:ind w:right="-97"/>
        <w:rPr>
          <w:rFonts w:ascii="宋体" w:hAnsi="宋体" w:cs="宋体"/>
          <w:b/>
          <w:color w:val="000000" w:themeColor="text1"/>
          <w:sz w:val="28"/>
          <w:szCs w:val="28"/>
          <w14:textFill>
            <w14:solidFill>
              <w14:schemeClr w14:val="tx1"/>
            </w14:solidFill>
          </w14:textFill>
        </w:rPr>
      </w:pPr>
    </w:p>
    <w:p w14:paraId="1B257D35">
      <w:pPr>
        <w:pStyle w:val="138"/>
        <w:spacing w:line="440" w:lineRule="exact"/>
        <w:ind w:right="-97"/>
        <w:rPr>
          <w:rFonts w:ascii="宋体" w:hAnsi="宋体" w:cs="宋体"/>
          <w:b/>
          <w:color w:val="000000" w:themeColor="text1"/>
          <w:sz w:val="28"/>
          <w:szCs w:val="28"/>
          <w14:textFill>
            <w14:solidFill>
              <w14:schemeClr w14:val="tx1"/>
            </w14:solidFill>
          </w14:textFill>
        </w:rPr>
      </w:pPr>
    </w:p>
    <w:p w14:paraId="58169157">
      <w:pPr>
        <w:pStyle w:val="138"/>
        <w:spacing w:line="440" w:lineRule="exact"/>
        <w:ind w:right="-97"/>
        <w:rPr>
          <w:rFonts w:ascii="宋体" w:hAnsi="宋体" w:cs="宋体"/>
          <w:b/>
          <w:color w:val="000000" w:themeColor="text1"/>
          <w:sz w:val="28"/>
          <w:szCs w:val="28"/>
          <w14:textFill>
            <w14:solidFill>
              <w14:schemeClr w14:val="tx1"/>
            </w14:solidFill>
          </w14:textFill>
        </w:rPr>
      </w:pPr>
    </w:p>
    <w:p w14:paraId="14FF9475">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1E047125">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29F18EE3">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4ECE00B3">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7161B8F8">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2832A9D">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135525E">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28590A71">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ED3FB15">
      <w:pPr>
        <w:pStyle w:val="138"/>
        <w:spacing w:line="440" w:lineRule="exact"/>
        <w:ind w:right="-97"/>
        <w:rPr>
          <w:rFonts w:hint="eastAsia" w:ascii="宋体" w:hAnsi="宋体" w:cs="宋体"/>
          <w:b/>
          <w:color w:val="000000" w:themeColor="text1"/>
          <w:sz w:val="28"/>
          <w:szCs w:val="28"/>
          <w14:textFill>
            <w14:solidFill>
              <w14:schemeClr w14:val="tx1"/>
            </w14:solidFill>
          </w14:textFill>
        </w:rPr>
      </w:pPr>
    </w:p>
    <w:p w14:paraId="01AAD4A8">
      <w:pPr>
        <w:pStyle w:val="138"/>
        <w:spacing w:line="440" w:lineRule="exact"/>
        <w:ind w:right="-97"/>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（2）其他材料（供应商认为有必要提供的其他资料）</w:t>
      </w:r>
    </w:p>
    <w:p w14:paraId="4BA15FE6">
      <w:pPr>
        <w:pStyle w:val="41"/>
        <w:ind w:left="0" w:leftChars="0" w:firstLine="0"/>
        <w:rPr>
          <w:rFonts w:ascii="宋体" w:hAnsi="宋体" w:cs="宋体"/>
          <w:color w:val="000000" w:themeColor="text1"/>
          <w:spacing w:val="-2"/>
          <w:sz w:val="24"/>
          <w14:textFill>
            <w14:solidFill>
              <w14:schemeClr w14:val="tx1"/>
            </w14:solidFill>
          </w14:textFill>
        </w:rPr>
      </w:pPr>
    </w:p>
    <w:p w14:paraId="01F5BA6A">
      <w:pPr>
        <w:wordWrap w:val="0"/>
        <w:spacing w:line="500" w:lineRule="atLeast"/>
        <w:rPr>
          <w:rFonts w:ascii="宋体" w:hAnsi="宋体" w:cs="宋体"/>
          <w:color w:val="000000" w:themeColor="text1"/>
          <w:sz w:val="20"/>
          <w:highlight w:val="white"/>
          <w14:textFill>
            <w14:solidFill>
              <w14:schemeClr w14:val="tx1"/>
            </w14:solidFill>
          </w14:textFill>
        </w:rPr>
      </w:pPr>
    </w:p>
    <w:sectPr>
      <w:footerReference r:id="rId11"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4F79">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250C6">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5E250C6">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FC00">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D51C">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77C31">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E077C3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2B86">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1A3FC">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0B1A3FC">
                    <w:pPr>
                      <w:pStyle w:val="21"/>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65440">
                          <w:pPr>
                            <w:pStyle w:val="21"/>
                            <w:rPr>
                              <w:rFonts w:hint="default" w:eastAsia="宋体"/>
                              <w:lang w:val="en-US" w:eastAsia="zh-CN"/>
                            </w:rPr>
                          </w:pPr>
                          <w:r>
                            <w:rPr>
                              <w:rFonts w:hint="eastAsia"/>
                              <w:lang w:val="en-US" w:eastAsia="zh-CN"/>
                            </w:rPr>
                            <w:t>36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565440">
                    <w:pPr>
                      <w:pStyle w:val="21"/>
                      <w:rPr>
                        <w:rFonts w:hint="default" w:eastAsia="宋体"/>
                        <w:lang w:val="en-US" w:eastAsia="zh-CN"/>
                      </w:rPr>
                    </w:pPr>
                    <w:r>
                      <w:rPr>
                        <w:rFonts w:hint="eastAsia"/>
                        <w:lang w:val="en-US" w:eastAsia="zh-CN"/>
                      </w:rPr>
                      <w:t>36</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98A5">
    <w:pPr>
      <w:pStyle w:val="21"/>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D6A08">
                          <w:pPr>
                            <w:pStyle w:val="2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89D6A08">
                    <w:pPr>
                      <w:pStyle w:val="21"/>
                    </w:pPr>
                    <w:r>
                      <w:fldChar w:fldCharType="begin"/>
                    </w:r>
                    <w:r>
                      <w:instrText xml:space="preserve"> PAGE  \* MERGEFORMAT </w:instrText>
                    </w:r>
                    <w:r>
                      <w:fldChar w:fldCharType="separate"/>
                    </w:r>
                    <w:r>
                      <w:t>38</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3C195">
                          <w:pPr>
                            <w:pStyle w:val="2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C3C195">
                    <w:pPr>
                      <w:pStyle w:val="21"/>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9F58">
    <w:pPr>
      <w:pStyle w:val="2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0C994">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600C994">
                    <w:pPr>
                      <w:pStyle w:val="21"/>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E5B45">
                          <w:pPr>
                            <w:pStyle w:val="21"/>
                            <w:rPr>
                              <w:rFonts w:hint="default" w:eastAsia="宋体"/>
                              <w:lang w:val="en-US" w:eastAsia="zh-CN"/>
                            </w:rPr>
                          </w:pPr>
                          <w:r>
                            <w:rPr>
                              <w:rFonts w:hint="eastAsia"/>
                              <w:lang w:val="en-US" w:eastAsia="zh-CN"/>
                            </w:rPr>
                            <w:t>36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4E5B45">
                    <w:pPr>
                      <w:pStyle w:val="21"/>
                      <w:rPr>
                        <w:rFonts w:hint="default" w:eastAsia="宋体"/>
                        <w:lang w:val="en-US" w:eastAsia="zh-CN"/>
                      </w:rPr>
                    </w:pPr>
                    <w:r>
                      <w:rPr>
                        <w:rFonts w:hint="eastAsia"/>
                        <w:lang w:val="en-US" w:eastAsia="zh-CN"/>
                      </w:rPr>
                      <w:t>36</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D041">
    <w:pPr>
      <w:pStyle w:val="21"/>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1A7FA">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761A7FA">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74F16">
                          <w:pPr>
                            <w:pStyle w:val="2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174F16">
                    <w:pPr>
                      <w:pStyle w:val="21"/>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4675">
    <w:pPr>
      <w:pStyle w:val="2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772AE">
                          <w:pPr>
                            <w:pStyle w:val="2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B8772AE">
                    <w:pPr>
                      <w:pStyle w:val="21"/>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DEC0">
    <w:pPr>
      <w:pStyle w:val="22"/>
    </w:pPr>
    <w:r>
      <w:pict>
        <v:shape id="PowerPlusWaterMarkObject48483704" o:spid="_x0000_s3074"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18DD0"/>
    <w:multiLevelType w:val="singleLevel"/>
    <w:tmpl w:val="0B118DD0"/>
    <w:lvl w:ilvl="0" w:tentative="0">
      <w:start w:val="5"/>
      <w:numFmt w:val="chineseCounting"/>
      <w:suff w:val="space"/>
      <w:lvlText w:val="第%1章"/>
      <w:lvlJc w:val="left"/>
      <w:rPr>
        <w:rFonts w:hint="eastAsia"/>
      </w:rPr>
    </w:lvl>
  </w:abstractNum>
  <w:abstractNum w:abstractNumId="1">
    <w:nsid w:val="717D4AEE"/>
    <w:multiLevelType w:val="singleLevel"/>
    <w:tmpl w:val="717D4AE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NiYjg3MzVlY2I0M2NmNDJkOGVjNDkyZDIxYzgifQ=="/>
  </w:docVars>
  <w:rsids>
    <w:rsidRoot w:val="0052125D"/>
    <w:rsid w:val="000006BF"/>
    <w:rsid w:val="00000D24"/>
    <w:rsid w:val="00011297"/>
    <w:rsid w:val="000159D6"/>
    <w:rsid w:val="00015AA8"/>
    <w:rsid w:val="00017639"/>
    <w:rsid w:val="00020208"/>
    <w:rsid w:val="000227F2"/>
    <w:rsid w:val="0002452B"/>
    <w:rsid w:val="0003279B"/>
    <w:rsid w:val="000330B7"/>
    <w:rsid w:val="00033A4B"/>
    <w:rsid w:val="00043A37"/>
    <w:rsid w:val="0004465C"/>
    <w:rsid w:val="00046C59"/>
    <w:rsid w:val="0005130A"/>
    <w:rsid w:val="0005231A"/>
    <w:rsid w:val="00052430"/>
    <w:rsid w:val="00063581"/>
    <w:rsid w:val="000636E2"/>
    <w:rsid w:val="00064E1F"/>
    <w:rsid w:val="0006611F"/>
    <w:rsid w:val="0008019B"/>
    <w:rsid w:val="000A79C2"/>
    <w:rsid w:val="000C36EC"/>
    <w:rsid w:val="000C76C7"/>
    <w:rsid w:val="000C7E15"/>
    <w:rsid w:val="000D1397"/>
    <w:rsid w:val="000E4B73"/>
    <w:rsid w:val="000E720E"/>
    <w:rsid w:val="000F00C0"/>
    <w:rsid w:val="000F4C3C"/>
    <w:rsid w:val="000F4DBE"/>
    <w:rsid w:val="000F545C"/>
    <w:rsid w:val="001017E6"/>
    <w:rsid w:val="00103B16"/>
    <w:rsid w:val="00107442"/>
    <w:rsid w:val="0011145E"/>
    <w:rsid w:val="00112C52"/>
    <w:rsid w:val="00114ECA"/>
    <w:rsid w:val="00115C49"/>
    <w:rsid w:val="0012462F"/>
    <w:rsid w:val="0013266C"/>
    <w:rsid w:val="00135D1A"/>
    <w:rsid w:val="0013601D"/>
    <w:rsid w:val="00140322"/>
    <w:rsid w:val="0015540E"/>
    <w:rsid w:val="00172B50"/>
    <w:rsid w:val="00172D76"/>
    <w:rsid w:val="00187637"/>
    <w:rsid w:val="00190776"/>
    <w:rsid w:val="00190D32"/>
    <w:rsid w:val="00192E93"/>
    <w:rsid w:val="001A2F4B"/>
    <w:rsid w:val="001A6C2C"/>
    <w:rsid w:val="001B18B7"/>
    <w:rsid w:val="001C7E99"/>
    <w:rsid w:val="001D0B15"/>
    <w:rsid w:val="001D3050"/>
    <w:rsid w:val="001D4480"/>
    <w:rsid w:val="001D5A78"/>
    <w:rsid w:val="001F6FB8"/>
    <w:rsid w:val="00204317"/>
    <w:rsid w:val="00211B99"/>
    <w:rsid w:val="002128A5"/>
    <w:rsid w:val="0021684A"/>
    <w:rsid w:val="00220C29"/>
    <w:rsid w:val="00220EEC"/>
    <w:rsid w:val="002221A2"/>
    <w:rsid w:val="00244683"/>
    <w:rsid w:val="0024615F"/>
    <w:rsid w:val="002506B8"/>
    <w:rsid w:val="00254980"/>
    <w:rsid w:val="00255685"/>
    <w:rsid w:val="00256882"/>
    <w:rsid w:val="002571A0"/>
    <w:rsid w:val="002714DA"/>
    <w:rsid w:val="00273F44"/>
    <w:rsid w:val="002754C6"/>
    <w:rsid w:val="002807D1"/>
    <w:rsid w:val="00280850"/>
    <w:rsid w:val="00283A5A"/>
    <w:rsid w:val="002844AA"/>
    <w:rsid w:val="002871B7"/>
    <w:rsid w:val="00287D3C"/>
    <w:rsid w:val="002B278B"/>
    <w:rsid w:val="002B6DEC"/>
    <w:rsid w:val="002C683B"/>
    <w:rsid w:val="002D7D29"/>
    <w:rsid w:val="002E0D26"/>
    <w:rsid w:val="002E5933"/>
    <w:rsid w:val="002F2BF0"/>
    <w:rsid w:val="002F37C1"/>
    <w:rsid w:val="002F4919"/>
    <w:rsid w:val="0030194C"/>
    <w:rsid w:val="0032471E"/>
    <w:rsid w:val="00335A77"/>
    <w:rsid w:val="00335D1A"/>
    <w:rsid w:val="003409D9"/>
    <w:rsid w:val="00344634"/>
    <w:rsid w:val="00344F66"/>
    <w:rsid w:val="00344F82"/>
    <w:rsid w:val="003504B4"/>
    <w:rsid w:val="003516D6"/>
    <w:rsid w:val="00351C36"/>
    <w:rsid w:val="00356F70"/>
    <w:rsid w:val="00365BC3"/>
    <w:rsid w:val="003720D5"/>
    <w:rsid w:val="00373569"/>
    <w:rsid w:val="00380C56"/>
    <w:rsid w:val="00387DB4"/>
    <w:rsid w:val="0039005C"/>
    <w:rsid w:val="003913DD"/>
    <w:rsid w:val="003943B0"/>
    <w:rsid w:val="0039452B"/>
    <w:rsid w:val="00397E86"/>
    <w:rsid w:val="003A73B1"/>
    <w:rsid w:val="003C1AFC"/>
    <w:rsid w:val="003C32AC"/>
    <w:rsid w:val="003C663C"/>
    <w:rsid w:val="003D10EA"/>
    <w:rsid w:val="003D5225"/>
    <w:rsid w:val="003D719F"/>
    <w:rsid w:val="003E08B7"/>
    <w:rsid w:val="003E1129"/>
    <w:rsid w:val="003E62EF"/>
    <w:rsid w:val="003E7604"/>
    <w:rsid w:val="003F2ADD"/>
    <w:rsid w:val="00406D3C"/>
    <w:rsid w:val="00415DF2"/>
    <w:rsid w:val="00420017"/>
    <w:rsid w:val="00421B40"/>
    <w:rsid w:val="0042397A"/>
    <w:rsid w:val="00444530"/>
    <w:rsid w:val="00450A4B"/>
    <w:rsid w:val="00452676"/>
    <w:rsid w:val="00455851"/>
    <w:rsid w:val="00465EC4"/>
    <w:rsid w:val="0047178A"/>
    <w:rsid w:val="00471FDC"/>
    <w:rsid w:val="0047347D"/>
    <w:rsid w:val="004869A4"/>
    <w:rsid w:val="00493A6D"/>
    <w:rsid w:val="004A6402"/>
    <w:rsid w:val="004B31B4"/>
    <w:rsid w:val="004C1CAF"/>
    <w:rsid w:val="004C1FE6"/>
    <w:rsid w:val="004D2C0A"/>
    <w:rsid w:val="004D3435"/>
    <w:rsid w:val="004D5137"/>
    <w:rsid w:val="004E422D"/>
    <w:rsid w:val="004E5479"/>
    <w:rsid w:val="004E743D"/>
    <w:rsid w:val="004F1BF5"/>
    <w:rsid w:val="004F3320"/>
    <w:rsid w:val="00503329"/>
    <w:rsid w:val="005039DF"/>
    <w:rsid w:val="00507676"/>
    <w:rsid w:val="00511C30"/>
    <w:rsid w:val="00513E39"/>
    <w:rsid w:val="0052125D"/>
    <w:rsid w:val="0052289B"/>
    <w:rsid w:val="00525B6E"/>
    <w:rsid w:val="00527701"/>
    <w:rsid w:val="00533CEE"/>
    <w:rsid w:val="00534A6A"/>
    <w:rsid w:val="00536D55"/>
    <w:rsid w:val="00540660"/>
    <w:rsid w:val="00551B95"/>
    <w:rsid w:val="0056063D"/>
    <w:rsid w:val="0056201B"/>
    <w:rsid w:val="00567DAE"/>
    <w:rsid w:val="00574749"/>
    <w:rsid w:val="00583ED7"/>
    <w:rsid w:val="005871C0"/>
    <w:rsid w:val="00591070"/>
    <w:rsid w:val="00593A10"/>
    <w:rsid w:val="005A2A02"/>
    <w:rsid w:val="005B2502"/>
    <w:rsid w:val="005C10A8"/>
    <w:rsid w:val="005C2A90"/>
    <w:rsid w:val="005C6C56"/>
    <w:rsid w:val="005D0544"/>
    <w:rsid w:val="005D0EE9"/>
    <w:rsid w:val="005D1E27"/>
    <w:rsid w:val="005D2CF7"/>
    <w:rsid w:val="005E2754"/>
    <w:rsid w:val="005E6DEB"/>
    <w:rsid w:val="005F1619"/>
    <w:rsid w:val="00606E5C"/>
    <w:rsid w:val="00611DEA"/>
    <w:rsid w:val="00614FA9"/>
    <w:rsid w:val="00620213"/>
    <w:rsid w:val="006270CB"/>
    <w:rsid w:val="0062748D"/>
    <w:rsid w:val="00646A17"/>
    <w:rsid w:val="0065517C"/>
    <w:rsid w:val="00660F2A"/>
    <w:rsid w:val="00677E7F"/>
    <w:rsid w:val="0068007B"/>
    <w:rsid w:val="00681593"/>
    <w:rsid w:val="006868D5"/>
    <w:rsid w:val="00686F87"/>
    <w:rsid w:val="006B2E9A"/>
    <w:rsid w:val="006B3917"/>
    <w:rsid w:val="006C5AEA"/>
    <w:rsid w:val="006E0EAD"/>
    <w:rsid w:val="006E1FCD"/>
    <w:rsid w:val="006F5275"/>
    <w:rsid w:val="006F69E2"/>
    <w:rsid w:val="006F711E"/>
    <w:rsid w:val="00703449"/>
    <w:rsid w:val="00703F85"/>
    <w:rsid w:val="00704942"/>
    <w:rsid w:val="00704B35"/>
    <w:rsid w:val="00707FD0"/>
    <w:rsid w:val="007127D6"/>
    <w:rsid w:val="00724935"/>
    <w:rsid w:val="00725874"/>
    <w:rsid w:val="00730F40"/>
    <w:rsid w:val="00732D3B"/>
    <w:rsid w:val="00745080"/>
    <w:rsid w:val="007471BD"/>
    <w:rsid w:val="00756A39"/>
    <w:rsid w:val="007645BA"/>
    <w:rsid w:val="00786BD8"/>
    <w:rsid w:val="00795F9B"/>
    <w:rsid w:val="007965C3"/>
    <w:rsid w:val="007973D2"/>
    <w:rsid w:val="007A2C75"/>
    <w:rsid w:val="007A47D8"/>
    <w:rsid w:val="007A4D4A"/>
    <w:rsid w:val="007A5F38"/>
    <w:rsid w:val="007B097B"/>
    <w:rsid w:val="007B24A3"/>
    <w:rsid w:val="007B46A8"/>
    <w:rsid w:val="007C3039"/>
    <w:rsid w:val="007D272E"/>
    <w:rsid w:val="007E11C8"/>
    <w:rsid w:val="007E5DF8"/>
    <w:rsid w:val="007E668A"/>
    <w:rsid w:val="0080397D"/>
    <w:rsid w:val="0080413C"/>
    <w:rsid w:val="0080518C"/>
    <w:rsid w:val="00807A1D"/>
    <w:rsid w:val="00813E41"/>
    <w:rsid w:val="00814534"/>
    <w:rsid w:val="00820EC4"/>
    <w:rsid w:val="008267EB"/>
    <w:rsid w:val="0082757E"/>
    <w:rsid w:val="00827757"/>
    <w:rsid w:val="008354EF"/>
    <w:rsid w:val="00846490"/>
    <w:rsid w:val="008544FC"/>
    <w:rsid w:val="00860C5D"/>
    <w:rsid w:val="00861E4A"/>
    <w:rsid w:val="00883FBD"/>
    <w:rsid w:val="00890A93"/>
    <w:rsid w:val="0089424D"/>
    <w:rsid w:val="008959BB"/>
    <w:rsid w:val="008A7EDF"/>
    <w:rsid w:val="008B34D8"/>
    <w:rsid w:val="008C1E42"/>
    <w:rsid w:val="008C62DF"/>
    <w:rsid w:val="008D12B3"/>
    <w:rsid w:val="008D3C5C"/>
    <w:rsid w:val="008D5065"/>
    <w:rsid w:val="008D7B7C"/>
    <w:rsid w:val="008E0244"/>
    <w:rsid w:val="008E1B97"/>
    <w:rsid w:val="008E31CC"/>
    <w:rsid w:val="008F0D15"/>
    <w:rsid w:val="008F50DF"/>
    <w:rsid w:val="0090181F"/>
    <w:rsid w:val="009070C8"/>
    <w:rsid w:val="00914741"/>
    <w:rsid w:val="0092775B"/>
    <w:rsid w:val="009534ED"/>
    <w:rsid w:val="0095409E"/>
    <w:rsid w:val="00957F38"/>
    <w:rsid w:val="00961198"/>
    <w:rsid w:val="00962155"/>
    <w:rsid w:val="00964B09"/>
    <w:rsid w:val="00967D10"/>
    <w:rsid w:val="00972DE8"/>
    <w:rsid w:val="0097606C"/>
    <w:rsid w:val="00994F3C"/>
    <w:rsid w:val="00995090"/>
    <w:rsid w:val="009A2EF7"/>
    <w:rsid w:val="009A6FC9"/>
    <w:rsid w:val="009A79F4"/>
    <w:rsid w:val="009D544C"/>
    <w:rsid w:val="009D6EC0"/>
    <w:rsid w:val="009D7CB7"/>
    <w:rsid w:val="009E25CD"/>
    <w:rsid w:val="009F026A"/>
    <w:rsid w:val="009F08AD"/>
    <w:rsid w:val="00A0435E"/>
    <w:rsid w:val="00A051DF"/>
    <w:rsid w:val="00A156FB"/>
    <w:rsid w:val="00A20720"/>
    <w:rsid w:val="00A2130D"/>
    <w:rsid w:val="00A235AF"/>
    <w:rsid w:val="00A2470C"/>
    <w:rsid w:val="00A31EDD"/>
    <w:rsid w:val="00A54605"/>
    <w:rsid w:val="00A60D4A"/>
    <w:rsid w:val="00A70393"/>
    <w:rsid w:val="00A83A9C"/>
    <w:rsid w:val="00A85790"/>
    <w:rsid w:val="00A9335E"/>
    <w:rsid w:val="00A953B8"/>
    <w:rsid w:val="00AA3848"/>
    <w:rsid w:val="00AC56B5"/>
    <w:rsid w:val="00AD008A"/>
    <w:rsid w:val="00AF3447"/>
    <w:rsid w:val="00B066E5"/>
    <w:rsid w:val="00B11127"/>
    <w:rsid w:val="00B12C18"/>
    <w:rsid w:val="00B17638"/>
    <w:rsid w:val="00B24775"/>
    <w:rsid w:val="00B24799"/>
    <w:rsid w:val="00B255E0"/>
    <w:rsid w:val="00B271BB"/>
    <w:rsid w:val="00B42CEA"/>
    <w:rsid w:val="00B52156"/>
    <w:rsid w:val="00B530F1"/>
    <w:rsid w:val="00B574F7"/>
    <w:rsid w:val="00B60D59"/>
    <w:rsid w:val="00B7652B"/>
    <w:rsid w:val="00B77AB7"/>
    <w:rsid w:val="00B77B31"/>
    <w:rsid w:val="00B8770C"/>
    <w:rsid w:val="00B87F0B"/>
    <w:rsid w:val="00B903A0"/>
    <w:rsid w:val="00B91750"/>
    <w:rsid w:val="00B942AF"/>
    <w:rsid w:val="00B94379"/>
    <w:rsid w:val="00B96F29"/>
    <w:rsid w:val="00BA261C"/>
    <w:rsid w:val="00BA324D"/>
    <w:rsid w:val="00BA3743"/>
    <w:rsid w:val="00BA40C9"/>
    <w:rsid w:val="00BA4433"/>
    <w:rsid w:val="00BA50F9"/>
    <w:rsid w:val="00BB074C"/>
    <w:rsid w:val="00BB4D6D"/>
    <w:rsid w:val="00BB5533"/>
    <w:rsid w:val="00BD14E4"/>
    <w:rsid w:val="00BD7663"/>
    <w:rsid w:val="00BE2A3F"/>
    <w:rsid w:val="00BE3056"/>
    <w:rsid w:val="00BE3E8E"/>
    <w:rsid w:val="00BE74D8"/>
    <w:rsid w:val="00C014CA"/>
    <w:rsid w:val="00C02094"/>
    <w:rsid w:val="00C104A2"/>
    <w:rsid w:val="00C10C8E"/>
    <w:rsid w:val="00C10CE3"/>
    <w:rsid w:val="00C140C9"/>
    <w:rsid w:val="00C17870"/>
    <w:rsid w:val="00C2500C"/>
    <w:rsid w:val="00C30909"/>
    <w:rsid w:val="00C368BA"/>
    <w:rsid w:val="00C4183C"/>
    <w:rsid w:val="00C474F7"/>
    <w:rsid w:val="00C660D5"/>
    <w:rsid w:val="00C66B84"/>
    <w:rsid w:val="00C66E33"/>
    <w:rsid w:val="00C66FA2"/>
    <w:rsid w:val="00C802A3"/>
    <w:rsid w:val="00C870B5"/>
    <w:rsid w:val="00C917FC"/>
    <w:rsid w:val="00C95130"/>
    <w:rsid w:val="00CA2A6A"/>
    <w:rsid w:val="00CA2F7B"/>
    <w:rsid w:val="00CA6561"/>
    <w:rsid w:val="00CC78DC"/>
    <w:rsid w:val="00CE17F6"/>
    <w:rsid w:val="00CF00D6"/>
    <w:rsid w:val="00CF11CF"/>
    <w:rsid w:val="00D040D4"/>
    <w:rsid w:val="00D07186"/>
    <w:rsid w:val="00D1695F"/>
    <w:rsid w:val="00D173DB"/>
    <w:rsid w:val="00D21C43"/>
    <w:rsid w:val="00D22978"/>
    <w:rsid w:val="00D30C58"/>
    <w:rsid w:val="00D43FE1"/>
    <w:rsid w:val="00D478D9"/>
    <w:rsid w:val="00D63F30"/>
    <w:rsid w:val="00D70859"/>
    <w:rsid w:val="00D92564"/>
    <w:rsid w:val="00D9614C"/>
    <w:rsid w:val="00DA43FA"/>
    <w:rsid w:val="00DA50EA"/>
    <w:rsid w:val="00DA5BDA"/>
    <w:rsid w:val="00DA6421"/>
    <w:rsid w:val="00DA679B"/>
    <w:rsid w:val="00DB403A"/>
    <w:rsid w:val="00DC6573"/>
    <w:rsid w:val="00DD2C2A"/>
    <w:rsid w:val="00DD4CB9"/>
    <w:rsid w:val="00DE3B6F"/>
    <w:rsid w:val="00DE4BF1"/>
    <w:rsid w:val="00DE67DF"/>
    <w:rsid w:val="00DE718D"/>
    <w:rsid w:val="00DF4715"/>
    <w:rsid w:val="00DF5549"/>
    <w:rsid w:val="00E003AE"/>
    <w:rsid w:val="00E10F3D"/>
    <w:rsid w:val="00E16D42"/>
    <w:rsid w:val="00E171BF"/>
    <w:rsid w:val="00E254F8"/>
    <w:rsid w:val="00E2770B"/>
    <w:rsid w:val="00E31A68"/>
    <w:rsid w:val="00E34311"/>
    <w:rsid w:val="00E35CB0"/>
    <w:rsid w:val="00E45FE3"/>
    <w:rsid w:val="00E70AE0"/>
    <w:rsid w:val="00E729A8"/>
    <w:rsid w:val="00E77E7D"/>
    <w:rsid w:val="00E812DF"/>
    <w:rsid w:val="00E91682"/>
    <w:rsid w:val="00E92B30"/>
    <w:rsid w:val="00EA02D0"/>
    <w:rsid w:val="00EC693F"/>
    <w:rsid w:val="00EC7D87"/>
    <w:rsid w:val="00ED0D7C"/>
    <w:rsid w:val="00EE60F5"/>
    <w:rsid w:val="00EF15CD"/>
    <w:rsid w:val="00F07617"/>
    <w:rsid w:val="00F10E2D"/>
    <w:rsid w:val="00F2375E"/>
    <w:rsid w:val="00F26CE5"/>
    <w:rsid w:val="00F27D6F"/>
    <w:rsid w:val="00F3338A"/>
    <w:rsid w:val="00F42E5E"/>
    <w:rsid w:val="00F51A20"/>
    <w:rsid w:val="00F60336"/>
    <w:rsid w:val="00FA0DC1"/>
    <w:rsid w:val="00FB4087"/>
    <w:rsid w:val="00FC419B"/>
    <w:rsid w:val="00FC48F7"/>
    <w:rsid w:val="00FD235A"/>
    <w:rsid w:val="00FE05BA"/>
    <w:rsid w:val="00FF1870"/>
    <w:rsid w:val="00FF4ACF"/>
    <w:rsid w:val="00FF52CE"/>
    <w:rsid w:val="01082229"/>
    <w:rsid w:val="018F626C"/>
    <w:rsid w:val="01B815C9"/>
    <w:rsid w:val="01BF6380"/>
    <w:rsid w:val="01CC5167"/>
    <w:rsid w:val="01F6514A"/>
    <w:rsid w:val="025F06C7"/>
    <w:rsid w:val="02A020CB"/>
    <w:rsid w:val="02C63ADC"/>
    <w:rsid w:val="02DD004A"/>
    <w:rsid w:val="02EF1E8A"/>
    <w:rsid w:val="030F0523"/>
    <w:rsid w:val="034B4BE6"/>
    <w:rsid w:val="036B2E54"/>
    <w:rsid w:val="03727E30"/>
    <w:rsid w:val="03EC2924"/>
    <w:rsid w:val="043D09D3"/>
    <w:rsid w:val="04B006D2"/>
    <w:rsid w:val="04CF3469"/>
    <w:rsid w:val="04D01847"/>
    <w:rsid w:val="04E247AF"/>
    <w:rsid w:val="05010EC9"/>
    <w:rsid w:val="05130C9D"/>
    <w:rsid w:val="05151F2F"/>
    <w:rsid w:val="052F2A11"/>
    <w:rsid w:val="054E3245"/>
    <w:rsid w:val="05656D7F"/>
    <w:rsid w:val="05A0352B"/>
    <w:rsid w:val="05D04600"/>
    <w:rsid w:val="05F9198D"/>
    <w:rsid w:val="062B1E83"/>
    <w:rsid w:val="063E4322"/>
    <w:rsid w:val="065B15E4"/>
    <w:rsid w:val="06856A29"/>
    <w:rsid w:val="068868D7"/>
    <w:rsid w:val="068C0922"/>
    <w:rsid w:val="06C47189"/>
    <w:rsid w:val="073D5D08"/>
    <w:rsid w:val="07573AF9"/>
    <w:rsid w:val="077B758C"/>
    <w:rsid w:val="07926EDC"/>
    <w:rsid w:val="07A85289"/>
    <w:rsid w:val="08620D29"/>
    <w:rsid w:val="08687FE8"/>
    <w:rsid w:val="089A5012"/>
    <w:rsid w:val="08A76360"/>
    <w:rsid w:val="08AC45CE"/>
    <w:rsid w:val="08AF1F97"/>
    <w:rsid w:val="08C360EB"/>
    <w:rsid w:val="08DD4532"/>
    <w:rsid w:val="09C0632E"/>
    <w:rsid w:val="09C22FF0"/>
    <w:rsid w:val="09EB6775"/>
    <w:rsid w:val="0A1616AA"/>
    <w:rsid w:val="0A343B0D"/>
    <w:rsid w:val="0A382368"/>
    <w:rsid w:val="0A48270E"/>
    <w:rsid w:val="0A5202F5"/>
    <w:rsid w:val="0A7669ED"/>
    <w:rsid w:val="0A7A5933"/>
    <w:rsid w:val="0A8455AD"/>
    <w:rsid w:val="0A965FDB"/>
    <w:rsid w:val="0AAC0A0E"/>
    <w:rsid w:val="0AB17A25"/>
    <w:rsid w:val="0AB526FE"/>
    <w:rsid w:val="0AEE2A27"/>
    <w:rsid w:val="0AF618DB"/>
    <w:rsid w:val="0B1D0FB0"/>
    <w:rsid w:val="0B1F4B7E"/>
    <w:rsid w:val="0B42778E"/>
    <w:rsid w:val="0B5C4849"/>
    <w:rsid w:val="0B8D2240"/>
    <w:rsid w:val="0BA3344F"/>
    <w:rsid w:val="0BDD6C6E"/>
    <w:rsid w:val="0C457145"/>
    <w:rsid w:val="0C697717"/>
    <w:rsid w:val="0C8E0404"/>
    <w:rsid w:val="0D324A9D"/>
    <w:rsid w:val="0D325C6E"/>
    <w:rsid w:val="0D4C1C87"/>
    <w:rsid w:val="0D8C2961"/>
    <w:rsid w:val="0DAC2346"/>
    <w:rsid w:val="0DC06A77"/>
    <w:rsid w:val="0DE6773F"/>
    <w:rsid w:val="0E0067E5"/>
    <w:rsid w:val="0E464928"/>
    <w:rsid w:val="0E47045A"/>
    <w:rsid w:val="0E6D29F4"/>
    <w:rsid w:val="0E7E0566"/>
    <w:rsid w:val="0E83792A"/>
    <w:rsid w:val="0E883FAC"/>
    <w:rsid w:val="0E9B25B8"/>
    <w:rsid w:val="0EAA2677"/>
    <w:rsid w:val="0EE64607"/>
    <w:rsid w:val="0F141047"/>
    <w:rsid w:val="0F1F3AF7"/>
    <w:rsid w:val="0F4842EB"/>
    <w:rsid w:val="0F4B6482"/>
    <w:rsid w:val="0F64775C"/>
    <w:rsid w:val="0F6B6D3C"/>
    <w:rsid w:val="0F7E7A9B"/>
    <w:rsid w:val="0F917E25"/>
    <w:rsid w:val="0F9F3D4B"/>
    <w:rsid w:val="0FAC4C5F"/>
    <w:rsid w:val="0FCE1079"/>
    <w:rsid w:val="0FDD554C"/>
    <w:rsid w:val="10042CED"/>
    <w:rsid w:val="106943B3"/>
    <w:rsid w:val="10971845"/>
    <w:rsid w:val="10973444"/>
    <w:rsid w:val="10AC52B4"/>
    <w:rsid w:val="10AE67E0"/>
    <w:rsid w:val="10DC0689"/>
    <w:rsid w:val="11BA7B07"/>
    <w:rsid w:val="11D3386F"/>
    <w:rsid w:val="11DC698A"/>
    <w:rsid w:val="11F62EF8"/>
    <w:rsid w:val="121B3069"/>
    <w:rsid w:val="121D4B51"/>
    <w:rsid w:val="122D296F"/>
    <w:rsid w:val="12314448"/>
    <w:rsid w:val="125418DB"/>
    <w:rsid w:val="12922832"/>
    <w:rsid w:val="12CF75E2"/>
    <w:rsid w:val="13257202"/>
    <w:rsid w:val="132A2A6A"/>
    <w:rsid w:val="13356E42"/>
    <w:rsid w:val="133D751B"/>
    <w:rsid w:val="13960100"/>
    <w:rsid w:val="139869C2"/>
    <w:rsid w:val="13A32C9F"/>
    <w:rsid w:val="13B80309"/>
    <w:rsid w:val="13B81E24"/>
    <w:rsid w:val="14353475"/>
    <w:rsid w:val="14C64A14"/>
    <w:rsid w:val="14E32751"/>
    <w:rsid w:val="14EE4FBA"/>
    <w:rsid w:val="15214D82"/>
    <w:rsid w:val="1528122B"/>
    <w:rsid w:val="152C0D1B"/>
    <w:rsid w:val="154054A0"/>
    <w:rsid w:val="15520056"/>
    <w:rsid w:val="15632026"/>
    <w:rsid w:val="15892AA0"/>
    <w:rsid w:val="163F0853"/>
    <w:rsid w:val="16403624"/>
    <w:rsid w:val="16587089"/>
    <w:rsid w:val="16884DDE"/>
    <w:rsid w:val="169A587E"/>
    <w:rsid w:val="16A65921"/>
    <w:rsid w:val="16CB24F8"/>
    <w:rsid w:val="16D276A1"/>
    <w:rsid w:val="16D85A4F"/>
    <w:rsid w:val="16F77662"/>
    <w:rsid w:val="171A435B"/>
    <w:rsid w:val="17523C9E"/>
    <w:rsid w:val="175956CC"/>
    <w:rsid w:val="175D5520"/>
    <w:rsid w:val="176F3141"/>
    <w:rsid w:val="17741670"/>
    <w:rsid w:val="17874498"/>
    <w:rsid w:val="17BE19D3"/>
    <w:rsid w:val="18027EDA"/>
    <w:rsid w:val="18117D55"/>
    <w:rsid w:val="184C5CD2"/>
    <w:rsid w:val="18751E99"/>
    <w:rsid w:val="187B3E47"/>
    <w:rsid w:val="188776B7"/>
    <w:rsid w:val="188B738A"/>
    <w:rsid w:val="18AC3C70"/>
    <w:rsid w:val="18AF748C"/>
    <w:rsid w:val="18CB5FE8"/>
    <w:rsid w:val="19176201"/>
    <w:rsid w:val="191E097B"/>
    <w:rsid w:val="19423CEA"/>
    <w:rsid w:val="194C53E3"/>
    <w:rsid w:val="19651FD0"/>
    <w:rsid w:val="19656363"/>
    <w:rsid w:val="196F567B"/>
    <w:rsid w:val="197B409C"/>
    <w:rsid w:val="19840C50"/>
    <w:rsid w:val="199A40F8"/>
    <w:rsid w:val="19A37A60"/>
    <w:rsid w:val="19BB266E"/>
    <w:rsid w:val="19EE47F1"/>
    <w:rsid w:val="19F5108B"/>
    <w:rsid w:val="19F81B23"/>
    <w:rsid w:val="1AAB623F"/>
    <w:rsid w:val="1AD7237C"/>
    <w:rsid w:val="1B06026F"/>
    <w:rsid w:val="1B7355C2"/>
    <w:rsid w:val="1B847E89"/>
    <w:rsid w:val="1B96141C"/>
    <w:rsid w:val="1BCB0910"/>
    <w:rsid w:val="1BE1325C"/>
    <w:rsid w:val="1C1B77C3"/>
    <w:rsid w:val="1C392760"/>
    <w:rsid w:val="1C4E4CB8"/>
    <w:rsid w:val="1C5B29B0"/>
    <w:rsid w:val="1C5B72D2"/>
    <w:rsid w:val="1C9A2A0F"/>
    <w:rsid w:val="1D334E8E"/>
    <w:rsid w:val="1D4B78EE"/>
    <w:rsid w:val="1D5030CD"/>
    <w:rsid w:val="1D6D0123"/>
    <w:rsid w:val="1D8D2573"/>
    <w:rsid w:val="1DCD471E"/>
    <w:rsid w:val="1DD8724A"/>
    <w:rsid w:val="1DF71805"/>
    <w:rsid w:val="1E0466CF"/>
    <w:rsid w:val="1E065362"/>
    <w:rsid w:val="1E0D7198"/>
    <w:rsid w:val="1E240900"/>
    <w:rsid w:val="1E472722"/>
    <w:rsid w:val="1ED93562"/>
    <w:rsid w:val="1EDC472C"/>
    <w:rsid w:val="1F0E2226"/>
    <w:rsid w:val="1F2D04C8"/>
    <w:rsid w:val="1F890B18"/>
    <w:rsid w:val="1FC305B1"/>
    <w:rsid w:val="1FC66D93"/>
    <w:rsid w:val="1FCD5EBD"/>
    <w:rsid w:val="1FDA75DC"/>
    <w:rsid w:val="1FEC17D3"/>
    <w:rsid w:val="1FF61411"/>
    <w:rsid w:val="20000DDB"/>
    <w:rsid w:val="20226773"/>
    <w:rsid w:val="20360CA0"/>
    <w:rsid w:val="204D1B46"/>
    <w:rsid w:val="207C5221"/>
    <w:rsid w:val="209E6210"/>
    <w:rsid w:val="20C43BC9"/>
    <w:rsid w:val="20CC0102"/>
    <w:rsid w:val="20F278A3"/>
    <w:rsid w:val="21D05B57"/>
    <w:rsid w:val="220023A5"/>
    <w:rsid w:val="22226FAF"/>
    <w:rsid w:val="226428CF"/>
    <w:rsid w:val="22680EB9"/>
    <w:rsid w:val="22822469"/>
    <w:rsid w:val="22932F89"/>
    <w:rsid w:val="229F4440"/>
    <w:rsid w:val="22A7378F"/>
    <w:rsid w:val="22AF7DBF"/>
    <w:rsid w:val="22B43C33"/>
    <w:rsid w:val="22D10A6A"/>
    <w:rsid w:val="23160915"/>
    <w:rsid w:val="231D734E"/>
    <w:rsid w:val="23397C64"/>
    <w:rsid w:val="237C3DA7"/>
    <w:rsid w:val="23D63E89"/>
    <w:rsid w:val="23DD0904"/>
    <w:rsid w:val="24155071"/>
    <w:rsid w:val="24660BDC"/>
    <w:rsid w:val="24711B7F"/>
    <w:rsid w:val="248614F4"/>
    <w:rsid w:val="24AE34FB"/>
    <w:rsid w:val="24C70119"/>
    <w:rsid w:val="24F31E8B"/>
    <w:rsid w:val="250257E5"/>
    <w:rsid w:val="25672CA3"/>
    <w:rsid w:val="258A6B46"/>
    <w:rsid w:val="259F603D"/>
    <w:rsid w:val="25AC0CF4"/>
    <w:rsid w:val="25B36D79"/>
    <w:rsid w:val="25B719BC"/>
    <w:rsid w:val="25BA2F0C"/>
    <w:rsid w:val="25BC57A4"/>
    <w:rsid w:val="25BE437E"/>
    <w:rsid w:val="25EC2AFC"/>
    <w:rsid w:val="26321022"/>
    <w:rsid w:val="26426AF8"/>
    <w:rsid w:val="26492DAF"/>
    <w:rsid w:val="265F3F5F"/>
    <w:rsid w:val="26793695"/>
    <w:rsid w:val="26CE68EE"/>
    <w:rsid w:val="27054518"/>
    <w:rsid w:val="278E3170"/>
    <w:rsid w:val="27EA24FD"/>
    <w:rsid w:val="280456BC"/>
    <w:rsid w:val="28101DD7"/>
    <w:rsid w:val="2862420F"/>
    <w:rsid w:val="2897106D"/>
    <w:rsid w:val="289F1FBE"/>
    <w:rsid w:val="28BA7844"/>
    <w:rsid w:val="28CF57EE"/>
    <w:rsid w:val="28E47DF7"/>
    <w:rsid w:val="28EB63A0"/>
    <w:rsid w:val="28F27758"/>
    <w:rsid w:val="28F330BD"/>
    <w:rsid w:val="29072281"/>
    <w:rsid w:val="290F208E"/>
    <w:rsid w:val="291C47AB"/>
    <w:rsid w:val="29257957"/>
    <w:rsid w:val="292A400F"/>
    <w:rsid w:val="297A1F91"/>
    <w:rsid w:val="2981460F"/>
    <w:rsid w:val="299434BD"/>
    <w:rsid w:val="299E3412"/>
    <w:rsid w:val="29B35110"/>
    <w:rsid w:val="29D10089"/>
    <w:rsid w:val="29E812D3"/>
    <w:rsid w:val="29F80D74"/>
    <w:rsid w:val="2A3D2C2B"/>
    <w:rsid w:val="2A3F0751"/>
    <w:rsid w:val="2A4E308A"/>
    <w:rsid w:val="2A62278A"/>
    <w:rsid w:val="2A856AE2"/>
    <w:rsid w:val="2A8B7D17"/>
    <w:rsid w:val="2ABD3BAE"/>
    <w:rsid w:val="2AC40974"/>
    <w:rsid w:val="2AE44013"/>
    <w:rsid w:val="2AE57A2D"/>
    <w:rsid w:val="2B886128"/>
    <w:rsid w:val="2B9E68B5"/>
    <w:rsid w:val="2BF24CAA"/>
    <w:rsid w:val="2C1F3D07"/>
    <w:rsid w:val="2C6D679B"/>
    <w:rsid w:val="2CAF2430"/>
    <w:rsid w:val="2CB31280"/>
    <w:rsid w:val="2CCE400E"/>
    <w:rsid w:val="2CD873B9"/>
    <w:rsid w:val="2CF03F85"/>
    <w:rsid w:val="2D2F06FF"/>
    <w:rsid w:val="2D74105A"/>
    <w:rsid w:val="2D800B62"/>
    <w:rsid w:val="2D8D3ECA"/>
    <w:rsid w:val="2DB268FB"/>
    <w:rsid w:val="2DC71D5E"/>
    <w:rsid w:val="2DE955A4"/>
    <w:rsid w:val="2DF61C6A"/>
    <w:rsid w:val="2E045F3A"/>
    <w:rsid w:val="2E1B5F60"/>
    <w:rsid w:val="2E24482E"/>
    <w:rsid w:val="2E3B6ED7"/>
    <w:rsid w:val="2E67471B"/>
    <w:rsid w:val="2EBA5B45"/>
    <w:rsid w:val="2EC456C9"/>
    <w:rsid w:val="2EEB70FA"/>
    <w:rsid w:val="2F1F51F9"/>
    <w:rsid w:val="2F3952AC"/>
    <w:rsid w:val="2F432A92"/>
    <w:rsid w:val="2FA31612"/>
    <w:rsid w:val="303D7D61"/>
    <w:rsid w:val="30534F57"/>
    <w:rsid w:val="305A5E42"/>
    <w:rsid w:val="30A64DE9"/>
    <w:rsid w:val="30AD4C16"/>
    <w:rsid w:val="31771B55"/>
    <w:rsid w:val="317E6E1B"/>
    <w:rsid w:val="31B71301"/>
    <w:rsid w:val="31E87920"/>
    <w:rsid w:val="31F504AA"/>
    <w:rsid w:val="32292413"/>
    <w:rsid w:val="322A7F39"/>
    <w:rsid w:val="323F199F"/>
    <w:rsid w:val="326D298B"/>
    <w:rsid w:val="32A63A8F"/>
    <w:rsid w:val="32C43EEA"/>
    <w:rsid w:val="32DF6F75"/>
    <w:rsid w:val="32E643B1"/>
    <w:rsid w:val="331E3B57"/>
    <w:rsid w:val="339875DA"/>
    <w:rsid w:val="33D11E7A"/>
    <w:rsid w:val="33EB36F8"/>
    <w:rsid w:val="340201D1"/>
    <w:rsid w:val="34425A0E"/>
    <w:rsid w:val="3454129D"/>
    <w:rsid w:val="34956BEC"/>
    <w:rsid w:val="34C459EE"/>
    <w:rsid w:val="34ED6529"/>
    <w:rsid w:val="34FC0DFE"/>
    <w:rsid w:val="350E766B"/>
    <w:rsid w:val="352549E8"/>
    <w:rsid w:val="35643762"/>
    <w:rsid w:val="356C0301"/>
    <w:rsid w:val="3572005D"/>
    <w:rsid w:val="3575771D"/>
    <w:rsid w:val="358F70C1"/>
    <w:rsid w:val="359B5E9A"/>
    <w:rsid w:val="35D90603"/>
    <w:rsid w:val="35E30B2B"/>
    <w:rsid w:val="36627389"/>
    <w:rsid w:val="36633A19"/>
    <w:rsid w:val="367D08FA"/>
    <w:rsid w:val="36D30B9F"/>
    <w:rsid w:val="3702788C"/>
    <w:rsid w:val="372733DD"/>
    <w:rsid w:val="373848CD"/>
    <w:rsid w:val="373A6E70"/>
    <w:rsid w:val="37945E5C"/>
    <w:rsid w:val="37A100E2"/>
    <w:rsid w:val="37A2031C"/>
    <w:rsid w:val="37D4524B"/>
    <w:rsid w:val="38143115"/>
    <w:rsid w:val="382613D6"/>
    <w:rsid w:val="38A00F55"/>
    <w:rsid w:val="38D25BCA"/>
    <w:rsid w:val="38EA69B5"/>
    <w:rsid w:val="39022AD6"/>
    <w:rsid w:val="39046B36"/>
    <w:rsid w:val="39292CF8"/>
    <w:rsid w:val="395D0045"/>
    <w:rsid w:val="399C558A"/>
    <w:rsid w:val="39C417E4"/>
    <w:rsid w:val="39D2513E"/>
    <w:rsid w:val="39DA4114"/>
    <w:rsid w:val="3A455A89"/>
    <w:rsid w:val="3A494506"/>
    <w:rsid w:val="3A787C23"/>
    <w:rsid w:val="3A893431"/>
    <w:rsid w:val="3A997D16"/>
    <w:rsid w:val="3AB3280F"/>
    <w:rsid w:val="3AD60D8B"/>
    <w:rsid w:val="3ADF0D6F"/>
    <w:rsid w:val="3AE72E6B"/>
    <w:rsid w:val="3AEA70D0"/>
    <w:rsid w:val="3AED5FA8"/>
    <w:rsid w:val="3AF235BE"/>
    <w:rsid w:val="3B0846CC"/>
    <w:rsid w:val="3B500217"/>
    <w:rsid w:val="3B7F7A40"/>
    <w:rsid w:val="3BB473B5"/>
    <w:rsid w:val="3BF57C47"/>
    <w:rsid w:val="3C1E2471"/>
    <w:rsid w:val="3C540B6C"/>
    <w:rsid w:val="3C71507F"/>
    <w:rsid w:val="3C8C7A14"/>
    <w:rsid w:val="3C940DD1"/>
    <w:rsid w:val="3CBD4CB0"/>
    <w:rsid w:val="3CC10986"/>
    <w:rsid w:val="3CEF6007"/>
    <w:rsid w:val="3D1A595E"/>
    <w:rsid w:val="3D22018A"/>
    <w:rsid w:val="3D4B5A6B"/>
    <w:rsid w:val="3DBA4867"/>
    <w:rsid w:val="3DDE6C9D"/>
    <w:rsid w:val="3DFC4E7F"/>
    <w:rsid w:val="3E3A7756"/>
    <w:rsid w:val="3E55633E"/>
    <w:rsid w:val="3E563452"/>
    <w:rsid w:val="3E720C9E"/>
    <w:rsid w:val="3E99495F"/>
    <w:rsid w:val="3EB14760"/>
    <w:rsid w:val="3EBC63BD"/>
    <w:rsid w:val="3EC03C4F"/>
    <w:rsid w:val="3EDA5325"/>
    <w:rsid w:val="3F012022"/>
    <w:rsid w:val="3F3A3AB1"/>
    <w:rsid w:val="3F6E7EA3"/>
    <w:rsid w:val="3F8A3B11"/>
    <w:rsid w:val="3FB234C6"/>
    <w:rsid w:val="3FB858B2"/>
    <w:rsid w:val="3FC76DC7"/>
    <w:rsid w:val="3FDE62CA"/>
    <w:rsid w:val="3FFB417E"/>
    <w:rsid w:val="40026051"/>
    <w:rsid w:val="4025315F"/>
    <w:rsid w:val="40276E8F"/>
    <w:rsid w:val="40292866"/>
    <w:rsid w:val="40C458FF"/>
    <w:rsid w:val="40C81049"/>
    <w:rsid w:val="40CA338F"/>
    <w:rsid w:val="4110495A"/>
    <w:rsid w:val="41275C8F"/>
    <w:rsid w:val="413B0A13"/>
    <w:rsid w:val="41456081"/>
    <w:rsid w:val="41594542"/>
    <w:rsid w:val="416A2100"/>
    <w:rsid w:val="417B255F"/>
    <w:rsid w:val="41921689"/>
    <w:rsid w:val="41A453E3"/>
    <w:rsid w:val="41B96BE3"/>
    <w:rsid w:val="41DF6414"/>
    <w:rsid w:val="422763B9"/>
    <w:rsid w:val="422E75D1"/>
    <w:rsid w:val="424B7FBD"/>
    <w:rsid w:val="425A3F23"/>
    <w:rsid w:val="4267704F"/>
    <w:rsid w:val="42891129"/>
    <w:rsid w:val="429F3F15"/>
    <w:rsid w:val="42E027EF"/>
    <w:rsid w:val="42E655B2"/>
    <w:rsid w:val="435C1F1C"/>
    <w:rsid w:val="43853221"/>
    <w:rsid w:val="43A23DD3"/>
    <w:rsid w:val="44067F44"/>
    <w:rsid w:val="4417526C"/>
    <w:rsid w:val="44BB31B1"/>
    <w:rsid w:val="44E411C8"/>
    <w:rsid w:val="44FD4A00"/>
    <w:rsid w:val="44FE1514"/>
    <w:rsid w:val="451764AF"/>
    <w:rsid w:val="454658B8"/>
    <w:rsid w:val="45684BA8"/>
    <w:rsid w:val="456B28EB"/>
    <w:rsid w:val="45A2122C"/>
    <w:rsid w:val="45A45947"/>
    <w:rsid w:val="45C77157"/>
    <w:rsid w:val="45D264C6"/>
    <w:rsid w:val="45E242AC"/>
    <w:rsid w:val="46031B27"/>
    <w:rsid w:val="461800BE"/>
    <w:rsid w:val="46207231"/>
    <w:rsid w:val="46560EA5"/>
    <w:rsid w:val="46584C1D"/>
    <w:rsid w:val="466F1F67"/>
    <w:rsid w:val="4672349F"/>
    <w:rsid w:val="46871A23"/>
    <w:rsid w:val="468C6A53"/>
    <w:rsid w:val="46935C55"/>
    <w:rsid w:val="46A95479"/>
    <w:rsid w:val="46DE2C5B"/>
    <w:rsid w:val="471F6C15"/>
    <w:rsid w:val="4728561D"/>
    <w:rsid w:val="47910868"/>
    <w:rsid w:val="47A44AB2"/>
    <w:rsid w:val="47D23715"/>
    <w:rsid w:val="47D77DC3"/>
    <w:rsid w:val="48194880"/>
    <w:rsid w:val="481E39F7"/>
    <w:rsid w:val="48233009"/>
    <w:rsid w:val="483A04B7"/>
    <w:rsid w:val="48425B85"/>
    <w:rsid w:val="488621F5"/>
    <w:rsid w:val="48B24F19"/>
    <w:rsid w:val="48B710E2"/>
    <w:rsid w:val="48F52391"/>
    <w:rsid w:val="49064B23"/>
    <w:rsid w:val="490E6910"/>
    <w:rsid w:val="491575FD"/>
    <w:rsid w:val="493B49C2"/>
    <w:rsid w:val="495A0CAC"/>
    <w:rsid w:val="497948FE"/>
    <w:rsid w:val="49F54225"/>
    <w:rsid w:val="4A0850F4"/>
    <w:rsid w:val="4A1A625F"/>
    <w:rsid w:val="4A281A58"/>
    <w:rsid w:val="4A720D5A"/>
    <w:rsid w:val="4AA448D5"/>
    <w:rsid w:val="4ABD5996"/>
    <w:rsid w:val="4AC75416"/>
    <w:rsid w:val="4B065ADB"/>
    <w:rsid w:val="4B2D7363"/>
    <w:rsid w:val="4B4707D7"/>
    <w:rsid w:val="4B7360EA"/>
    <w:rsid w:val="4B7F0E9E"/>
    <w:rsid w:val="4B813038"/>
    <w:rsid w:val="4BC13264"/>
    <w:rsid w:val="4C0179C4"/>
    <w:rsid w:val="4C215D55"/>
    <w:rsid w:val="4C795BE9"/>
    <w:rsid w:val="4C882FE1"/>
    <w:rsid w:val="4CB93F3C"/>
    <w:rsid w:val="4CBB5F06"/>
    <w:rsid w:val="4D261450"/>
    <w:rsid w:val="4D523DD5"/>
    <w:rsid w:val="4D8421F9"/>
    <w:rsid w:val="4E2357F4"/>
    <w:rsid w:val="4E4163E6"/>
    <w:rsid w:val="4E475B7D"/>
    <w:rsid w:val="4E5E0C2B"/>
    <w:rsid w:val="4E600B13"/>
    <w:rsid w:val="4E994025"/>
    <w:rsid w:val="4E9E6F6C"/>
    <w:rsid w:val="4EDD2163"/>
    <w:rsid w:val="4F4915A7"/>
    <w:rsid w:val="4F49538B"/>
    <w:rsid w:val="4F7C7A9C"/>
    <w:rsid w:val="4F8321C5"/>
    <w:rsid w:val="4FA17635"/>
    <w:rsid w:val="4FA353D4"/>
    <w:rsid w:val="4FD8398A"/>
    <w:rsid w:val="4FF51DC0"/>
    <w:rsid w:val="50053708"/>
    <w:rsid w:val="5025261C"/>
    <w:rsid w:val="502B3FF4"/>
    <w:rsid w:val="503D4FAD"/>
    <w:rsid w:val="50441591"/>
    <w:rsid w:val="506C5051"/>
    <w:rsid w:val="508A631B"/>
    <w:rsid w:val="508E3C62"/>
    <w:rsid w:val="50DB6B76"/>
    <w:rsid w:val="50F844CD"/>
    <w:rsid w:val="512028B4"/>
    <w:rsid w:val="517D7C2E"/>
    <w:rsid w:val="51845061"/>
    <w:rsid w:val="518C60C3"/>
    <w:rsid w:val="518E5997"/>
    <w:rsid w:val="5192079F"/>
    <w:rsid w:val="51934FA4"/>
    <w:rsid w:val="51BA0DC9"/>
    <w:rsid w:val="51CE71A1"/>
    <w:rsid w:val="51DF61F2"/>
    <w:rsid w:val="520E0A3F"/>
    <w:rsid w:val="52116322"/>
    <w:rsid w:val="52495D62"/>
    <w:rsid w:val="52763EC1"/>
    <w:rsid w:val="529E42FF"/>
    <w:rsid w:val="52AE09BB"/>
    <w:rsid w:val="52B41750"/>
    <w:rsid w:val="52B534CD"/>
    <w:rsid w:val="52C11D9C"/>
    <w:rsid w:val="52EF06B7"/>
    <w:rsid w:val="52F04A83"/>
    <w:rsid w:val="53432200"/>
    <w:rsid w:val="53486019"/>
    <w:rsid w:val="535844AE"/>
    <w:rsid w:val="53841666"/>
    <w:rsid w:val="538A1207"/>
    <w:rsid w:val="539531BF"/>
    <w:rsid w:val="53B6157F"/>
    <w:rsid w:val="53B6410B"/>
    <w:rsid w:val="53CA3671"/>
    <w:rsid w:val="53EB7058"/>
    <w:rsid w:val="53EC2D84"/>
    <w:rsid w:val="54120F0F"/>
    <w:rsid w:val="54330A77"/>
    <w:rsid w:val="5483555B"/>
    <w:rsid w:val="54897BE3"/>
    <w:rsid w:val="54AE2CE5"/>
    <w:rsid w:val="54C618EB"/>
    <w:rsid w:val="54DF1C5E"/>
    <w:rsid w:val="54E83197"/>
    <w:rsid w:val="54F94BB4"/>
    <w:rsid w:val="55250945"/>
    <w:rsid w:val="55253476"/>
    <w:rsid w:val="55280C02"/>
    <w:rsid w:val="55282DDF"/>
    <w:rsid w:val="554F4786"/>
    <w:rsid w:val="55666D50"/>
    <w:rsid w:val="55922BC1"/>
    <w:rsid w:val="55BD7461"/>
    <w:rsid w:val="55D32B3D"/>
    <w:rsid w:val="55EC0274"/>
    <w:rsid w:val="5652788C"/>
    <w:rsid w:val="566413BC"/>
    <w:rsid w:val="566622CB"/>
    <w:rsid w:val="569901FE"/>
    <w:rsid w:val="56A03C06"/>
    <w:rsid w:val="56BC6A73"/>
    <w:rsid w:val="570B5520"/>
    <w:rsid w:val="571E1BA5"/>
    <w:rsid w:val="574B230E"/>
    <w:rsid w:val="57796B8D"/>
    <w:rsid w:val="57991AA1"/>
    <w:rsid w:val="57BB14B0"/>
    <w:rsid w:val="57DD2D98"/>
    <w:rsid w:val="57E80D0F"/>
    <w:rsid w:val="57ED4B9A"/>
    <w:rsid w:val="581E1453"/>
    <w:rsid w:val="587A1B5E"/>
    <w:rsid w:val="58965274"/>
    <w:rsid w:val="58E25AD9"/>
    <w:rsid w:val="59B664C2"/>
    <w:rsid w:val="59CF7B26"/>
    <w:rsid w:val="5A074538"/>
    <w:rsid w:val="5A0B13F3"/>
    <w:rsid w:val="5A195118"/>
    <w:rsid w:val="5A367221"/>
    <w:rsid w:val="5A393CE5"/>
    <w:rsid w:val="5A430245"/>
    <w:rsid w:val="5A557CBB"/>
    <w:rsid w:val="5A5A64F8"/>
    <w:rsid w:val="5A864B80"/>
    <w:rsid w:val="5AA1673B"/>
    <w:rsid w:val="5AA77AC9"/>
    <w:rsid w:val="5AC91A4A"/>
    <w:rsid w:val="5ACD39D4"/>
    <w:rsid w:val="5AF13774"/>
    <w:rsid w:val="5B062A42"/>
    <w:rsid w:val="5B0F6FED"/>
    <w:rsid w:val="5B3255E5"/>
    <w:rsid w:val="5B69078D"/>
    <w:rsid w:val="5B7E07CC"/>
    <w:rsid w:val="5BA6042C"/>
    <w:rsid w:val="5BC072ED"/>
    <w:rsid w:val="5BF41F8E"/>
    <w:rsid w:val="5C0E6052"/>
    <w:rsid w:val="5C0E64C4"/>
    <w:rsid w:val="5C193512"/>
    <w:rsid w:val="5C211C97"/>
    <w:rsid w:val="5C221B20"/>
    <w:rsid w:val="5C290FC9"/>
    <w:rsid w:val="5C2D2375"/>
    <w:rsid w:val="5C71213D"/>
    <w:rsid w:val="5C735EB5"/>
    <w:rsid w:val="5C86208C"/>
    <w:rsid w:val="5D71038F"/>
    <w:rsid w:val="5D925618"/>
    <w:rsid w:val="5DB566AC"/>
    <w:rsid w:val="5DCA5FA9"/>
    <w:rsid w:val="5E126B65"/>
    <w:rsid w:val="5E22556B"/>
    <w:rsid w:val="5E4704CF"/>
    <w:rsid w:val="5EB334F2"/>
    <w:rsid w:val="5ECD7CF6"/>
    <w:rsid w:val="5ECE7D1A"/>
    <w:rsid w:val="5F1B7253"/>
    <w:rsid w:val="5F30008D"/>
    <w:rsid w:val="5F3A715E"/>
    <w:rsid w:val="5F434264"/>
    <w:rsid w:val="5F546F0F"/>
    <w:rsid w:val="5F67000E"/>
    <w:rsid w:val="5FDC253E"/>
    <w:rsid w:val="60113B86"/>
    <w:rsid w:val="602816AC"/>
    <w:rsid w:val="605160F4"/>
    <w:rsid w:val="607C250E"/>
    <w:rsid w:val="60820DBC"/>
    <w:rsid w:val="60B92304"/>
    <w:rsid w:val="60BA03A0"/>
    <w:rsid w:val="60C42041"/>
    <w:rsid w:val="60CF38D6"/>
    <w:rsid w:val="60EB4BB4"/>
    <w:rsid w:val="60FA1E2E"/>
    <w:rsid w:val="61736F6B"/>
    <w:rsid w:val="618B1EF3"/>
    <w:rsid w:val="619723D2"/>
    <w:rsid w:val="61BE7C3E"/>
    <w:rsid w:val="620432BC"/>
    <w:rsid w:val="620812F9"/>
    <w:rsid w:val="6217600D"/>
    <w:rsid w:val="622545F4"/>
    <w:rsid w:val="62264BD6"/>
    <w:rsid w:val="62682234"/>
    <w:rsid w:val="626F639A"/>
    <w:rsid w:val="629C4DC0"/>
    <w:rsid w:val="62E73159"/>
    <w:rsid w:val="630B56CB"/>
    <w:rsid w:val="631B41B4"/>
    <w:rsid w:val="63212B0F"/>
    <w:rsid w:val="63257C63"/>
    <w:rsid w:val="6358146E"/>
    <w:rsid w:val="63816C4C"/>
    <w:rsid w:val="63CF6AC6"/>
    <w:rsid w:val="644C3BBB"/>
    <w:rsid w:val="649C07AE"/>
    <w:rsid w:val="64D77485"/>
    <w:rsid w:val="650C10E2"/>
    <w:rsid w:val="654900FB"/>
    <w:rsid w:val="656F100C"/>
    <w:rsid w:val="657E1FA6"/>
    <w:rsid w:val="65BC51CC"/>
    <w:rsid w:val="65C07C91"/>
    <w:rsid w:val="65C326E0"/>
    <w:rsid w:val="65DB0DD3"/>
    <w:rsid w:val="65DD2553"/>
    <w:rsid w:val="66091638"/>
    <w:rsid w:val="66197D54"/>
    <w:rsid w:val="664A77E3"/>
    <w:rsid w:val="665D2BB0"/>
    <w:rsid w:val="666519A4"/>
    <w:rsid w:val="66DD4F9F"/>
    <w:rsid w:val="673230F9"/>
    <w:rsid w:val="67424FC9"/>
    <w:rsid w:val="67AF7FBD"/>
    <w:rsid w:val="67B35969"/>
    <w:rsid w:val="686C2A3B"/>
    <w:rsid w:val="686D2106"/>
    <w:rsid w:val="688E3B6E"/>
    <w:rsid w:val="68C046CA"/>
    <w:rsid w:val="68E5638C"/>
    <w:rsid w:val="68F376CD"/>
    <w:rsid w:val="68F91E38"/>
    <w:rsid w:val="68FB4503"/>
    <w:rsid w:val="69034B8D"/>
    <w:rsid w:val="6932731B"/>
    <w:rsid w:val="694C7AD9"/>
    <w:rsid w:val="698A6A5F"/>
    <w:rsid w:val="698B043C"/>
    <w:rsid w:val="69913E1E"/>
    <w:rsid w:val="69947B4F"/>
    <w:rsid w:val="699851AD"/>
    <w:rsid w:val="69A55D94"/>
    <w:rsid w:val="69CA7330"/>
    <w:rsid w:val="69E36987"/>
    <w:rsid w:val="69F745C9"/>
    <w:rsid w:val="6A2A00B7"/>
    <w:rsid w:val="6A400AA0"/>
    <w:rsid w:val="6A4E1D0F"/>
    <w:rsid w:val="6A707D4E"/>
    <w:rsid w:val="6AA85F55"/>
    <w:rsid w:val="6AEF34F2"/>
    <w:rsid w:val="6AFE3735"/>
    <w:rsid w:val="6B09114B"/>
    <w:rsid w:val="6B0C5E52"/>
    <w:rsid w:val="6B1A17BE"/>
    <w:rsid w:val="6B5F0261"/>
    <w:rsid w:val="6BB95FEB"/>
    <w:rsid w:val="6BE24E05"/>
    <w:rsid w:val="6C0501E6"/>
    <w:rsid w:val="6C11126C"/>
    <w:rsid w:val="6C5D5310"/>
    <w:rsid w:val="6C645D87"/>
    <w:rsid w:val="6C975BF0"/>
    <w:rsid w:val="6CBE7FB7"/>
    <w:rsid w:val="6CD31213"/>
    <w:rsid w:val="6CF941B4"/>
    <w:rsid w:val="6D41215D"/>
    <w:rsid w:val="6D5B32C9"/>
    <w:rsid w:val="6D602F5E"/>
    <w:rsid w:val="6D78421D"/>
    <w:rsid w:val="6DAA05D7"/>
    <w:rsid w:val="6DE273F3"/>
    <w:rsid w:val="6DEE7A91"/>
    <w:rsid w:val="6DF4671B"/>
    <w:rsid w:val="6DF97CB5"/>
    <w:rsid w:val="6E0A319D"/>
    <w:rsid w:val="6E1A2974"/>
    <w:rsid w:val="6E386F5E"/>
    <w:rsid w:val="6E3D3B7D"/>
    <w:rsid w:val="6E7F4B8D"/>
    <w:rsid w:val="6E8B1784"/>
    <w:rsid w:val="6EB81E4D"/>
    <w:rsid w:val="6ECE2185"/>
    <w:rsid w:val="6EE06EAE"/>
    <w:rsid w:val="6F102FEF"/>
    <w:rsid w:val="6F1E7F02"/>
    <w:rsid w:val="6F2101AC"/>
    <w:rsid w:val="6F2240B3"/>
    <w:rsid w:val="6F3C2169"/>
    <w:rsid w:val="6F5634B0"/>
    <w:rsid w:val="6F563B40"/>
    <w:rsid w:val="6F8F5A75"/>
    <w:rsid w:val="6FB6638D"/>
    <w:rsid w:val="6FBA60DC"/>
    <w:rsid w:val="6FDE7692"/>
    <w:rsid w:val="70072A57"/>
    <w:rsid w:val="700C41FF"/>
    <w:rsid w:val="700F7058"/>
    <w:rsid w:val="70382BB1"/>
    <w:rsid w:val="7060204B"/>
    <w:rsid w:val="708B4BCA"/>
    <w:rsid w:val="70C90342"/>
    <w:rsid w:val="70D9226B"/>
    <w:rsid w:val="70EB54BB"/>
    <w:rsid w:val="70F87CD6"/>
    <w:rsid w:val="711834D0"/>
    <w:rsid w:val="7178648C"/>
    <w:rsid w:val="718030F6"/>
    <w:rsid w:val="71883D59"/>
    <w:rsid w:val="718B55F7"/>
    <w:rsid w:val="722021E3"/>
    <w:rsid w:val="722E2B52"/>
    <w:rsid w:val="72721FAE"/>
    <w:rsid w:val="72847358"/>
    <w:rsid w:val="72A9667D"/>
    <w:rsid w:val="72AC1CC9"/>
    <w:rsid w:val="72C214EC"/>
    <w:rsid w:val="72D613E4"/>
    <w:rsid w:val="72DC4044"/>
    <w:rsid w:val="72DC58ED"/>
    <w:rsid w:val="72F03942"/>
    <w:rsid w:val="73690338"/>
    <w:rsid w:val="736E4097"/>
    <w:rsid w:val="7370599F"/>
    <w:rsid w:val="738642C8"/>
    <w:rsid w:val="73AA0E77"/>
    <w:rsid w:val="73EF6311"/>
    <w:rsid w:val="74451B25"/>
    <w:rsid w:val="745F064B"/>
    <w:rsid w:val="74A814C0"/>
    <w:rsid w:val="75390532"/>
    <w:rsid w:val="754D68A1"/>
    <w:rsid w:val="75A17F65"/>
    <w:rsid w:val="75C14226"/>
    <w:rsid w:val="75C70EB0"/>
    <w:rsid w:val="75F70DED"/>
    <w:rsid w:val="75FB2FD4"/>
    <w:rsid w:val="76472AE2"/>
    <w:rsid w:val="765A0D22"/>
    <w:rsid w:val="76C770D1"/>
    <w:rsid w:val="76CC7D51"/>
    <w:rsid w:val="76EA2DC0"/>
    <w:rsid w:val="7711659E"/>
    <w:rsid w:val="77257927"/>
    <w:rsid w:val="77707769"/>
    <w:rsid w:val="7791148D"/>
    <w:rsid w:val="77D81715"/>
    <w:rsid w:val="77E912C9"/>
    <w:rsid w:val="77FC2DAB"/>
    <w:rsid w:val="77FE2FC7"/>
    <w:rsid w:val="781B5927"/>
    <w:rsid w:val="783D093B"/>
    <w:rsid w:val="786D2921"/>
    <w:rsid w:val="78765092"/>
    <w:rsid w:val="78963578"/>
    <w:rsid w:val="78CE1165"/>
    <w:rsid w:val="78EF46BD"/>
    <w:rsid w:val="78FE4151"/>
    <w:rsid w:val="790C132C"/>
    <w:rsid w:val="79156464"/>
    <w:rsid w:val="79273E57"/>
    <w:rsid w:val="793B5369"/>
    <w:rsid w:val="797D70FC"/>
    <w:rsid w:val="797E3FCF"/>
    <w:rsid w:val="79986B03"/>
    <w:rsid w:val="79DA35C0"/>
    <w:rsid w:val="79EB4504"/>
    <w:rsid w:val="79EE2BC7"/>
    <w:rsid w:val="7A320D06"/>
    <w:rsid w:val="7A4D6108"/>
    <w:rsid w:val="7A805F15"/>
    <w:rsid w:val="7A960417"/>
    <w:rsid w:val="7AB160CE"/>
    <w:rsid w:val="7AD33C8C"/>
    <w:rsid w:val="7AE71AF0"/>
    <w:rsid w:val="7AF87F23"/>
    <w:rsid w:val="7B0E3A50"/>
    <w:rsid w:val="7B2737C8"/>
    <w:rsid w:val="7B292768"/>
    <w:rsid w:val="7B2F16E9"/>
    <w:rsid w:val="7B3B004A"/>
    <w:rsid w:val="7B466CDF"/>
    <w:rsid w:val="7B5353D8"/>
    <w:rsid w:val="7B5A216B"/>
    <w:rsid w:val="7BEA372F"/>
    <w:rsid w:val="7BF45936"/>
    <w:rsid w:val="7C1420C6"/>
    <w:rsid w:val="7C3F770A"/>
    <w:rsid w:val="7C4065BF"/>
    <w:rsid w:val="7C4D4F70"/>
    <w:rsid w:val="7C97511B"/>
    <w:rsid w:val="7D166A57"/>
    <w:rsid w:val="7D167A45"/>
    <w:rsid w:val="7D1E1E61"/>
    <w:rsid w:val="7D244CC9"/>
    <w:rsid w:val="7D423956"/>
    <w:rsid w:val="7D70764F"/>
    <w:rsid w:val="7D733B0F"/>
    <w:rsid w:val="7D7A30EF"/>
    <w:rsid w:val="7D7B276E"/>
    <w:rsid w:val="7D8B70AB"/>
    <w:rsid w:val="7D8C5D8E"/>
    <w:rsid w:val="7D99109C"/>
    <w:rsid w:val="7DC94FB2"/>
    <w:rsid w:val="7E010BF5"/>
    <w:rsid w:val="7E0230E5"/>
    <w:rsid w:val="7E09578E"/>
    <w:rsid w:val="7E1C3DF3"/>
    <w:rsid w:val="7E774944"/>
    <w:rsid w:val="7E9E4F9B"/>
    <w:rsid w:val="7ECE0174"/>
    <w:rsid w:val="7F080287"/>
    <w:rsid w:val="7F0D21BA"/>
    <w:rsid w:val="7F41775D"/>
    <w:rsid w:val="7F5D3B8F"/>
    <w:rsid w:val="7F9528AF"/>
    <w:rsid w:val="7FB81CAD"/>
    <w:rsid w:val="7FCC5172"/>
    <w:rsid w:val="7FD1759D"/>
    <w:rsid w:val="7FD5285F"/>
    <w:rsid w:val="7FDF67DA"/>
    <w:rsid w:val="7FE02E5B"/>
    <w:rsid w:val="7FE2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43"/>
    <w:qFormat/>
    <w:uiPriority w:val="9"/>
    <w:pPr>
      <w:keepNext/>
      <w:keepLines/>
      <w:spacing w:before="340" w:after="330" w:line="578" w:lineRule="auto"/>
      <w:jc w:val="center"/>
      <w:outlineLvl w:val="0"/>
    </w:pPr>
    <w:rPr>
      <w:bCs/>
      <w:kern w:val="44"/>
      <w:szCs w:val="44"/>
    </w:rPr>
  </w:style>
  <w:style w:type="paragraph" w:styleId="3">
    <w:name w:val="heading 2"/>
    <w:basedOn w:val="1"/>
    <w:next w:val="1"/>
    <w:link w:val="45"/>
    <w:qFormat/>
    <w:uiPriority w:val="0"/>
    <w:pPr>
      <w:keepNext/>
      <w:keepLines/>
      <w:spacing w:before="260" w:after="260"/>
      <w:contextualSpacing/>
      <w:outlineLvl w:val="1"/>
    </w:pPr>
    <w:rPr>
      <w:rFonts w:ascii="宋体"/>
      <w:szCs w:val="28"/>
    </w:rPr>
  </w:style>
  <w:style w:type="paragraph" w:styleId="4">
    <w:name w:val="heading 3"/>
    <w:basedOn w:val="1"/>
    <w:next w:val="1"/>
    <w:link w:val="44"/>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spacing w:before="280" w:after="290" w:line="376" w:lineRule="auto"/>
      <w:outlineLvl w:val="4"/>
    </w:pPr>
    <w:rPr>
      <w:b/>
      <w:bCs/>
      <w:sz w:val="28"/>
      <w:szCs w:val="28"/>
    </w:rPr>
  </w:style>
  <w:style w:type="paragraph" w:styleId="7">
    <w:name w:val="heading 6"/>
    <w:basedOn w:val="6"/>
    <w:next w:val="1"/>
    <w:link w:val="48"/>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49"/>
    <w:qFormat/>
    <w:uiPriority w:val="0"/>
    <w:pPr>
      <w:tabs>
        <w:tab w:val="left" w:pos="1800"/>
        <w:tab w:val="clear" w:pos="1440"/>
      </w:tabs>
      <w:ind w:left="1276" w:hanging="1276"/>
      <w:outlineLvl w:val="6"/>
    </w:pPr>
  </w:style>
  <w:style w:type="paragraph" w:styleId="9">
    <w:name w:val="heading 8"/>
    <w:basedOn w:val="8"/>
    <w:next w:val="1"/>
    <w:link w:val="50"/>
    <w:qFormat/>
    <w:uiPriority w:val="0"/>
    <w:pPr>
      <w:ind w:left="1418" w:hanging="1418"/>
      <w:outlineLvl w:val="7"/>
    </w:pPr>
  </w:style>
  <w:style w:type="paragraph" w:styleId="10">
    <w:name w:val="heading 9"/>
    <w:basedOn w:val="9"/>
    <w:next w:val="1"/>
    <w:link w:val="51"/>
    <w:qFormat/>
    <w:uiPriority w:val="0"/>
    <w:pPr>
      <w:tabs>
        <w:tab w:val="left" w:pos="2160"/>
        <w:tab w:val="clear" w:pos="1800"/>
      </w:tabs>
      <w:ind w:left="1559" w:hanging="1559"/>
      <w:outlineLvl w:val="8"/>
    </w:pPr>
  </w:style>
  <w:style w:type="character" w:default="1" w:styleId="35">
    <w:name w:val="Default Paragraph Font"/>
    <w:semiHidden/>
    <w:unhideWhenUsed/>
    <w:qFormat/>
    <w:uiPriority w:val="1"/>
  </w:style>
  <w:style w:type="table" w:default="1" w:styleId="3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next w:val="1"/>
    <w:link w:val="52"/>
    <w:unhideWhenUsed/>
    <w:qFormat/>
    <w:uiPriority w:val="0"/>
    <w:pPr>
      <w:ind w:firstLine="420" w:firstLineChars="200"/>
    </w:pPr>
  </w:style>
  <w:style w:type="paragraph" w:styleId="12">
    <w:name w:val="Document Map"/>
    <w:basedOn w:val="1"/>
    <w:link w:val="53"/>
    <w:qFormat/>
    <w:uiPriority w:val="0"/>
    <w:rPr>
      <w:rFonts w:ascii="宋体"/>
      <w:sz w:val="18"/>
      <w:szCs w:val="18"/>
    </w:rPr>
  </w:style>
  <w:style w:type="paragraph" w:styleId="13">
    <w:name w:val="annotation text"/>
    <w:basedOn w:val="1"/>
    <w:link w:val="54"/>
    <w:qFormat/>
    <w:uiPriority w:val="0"/>
    <w:pPr>
      <w:jc w:val="left"/>
    </w:pPr>
  </w:style>
  <w:style w:type="paragraph" w:styleId="14">
    <w:name w:val="Body Text"/>
    <w:basedOn w:val="1"/>
    <w:next w:val="1"/>
    <w:unhideWhenUsed/>
    <w:qFormat/>
    <w:uiPriority w:val="0"/>
    <w:pPr>
      <w:spacing w:after="120"/>
    </w:pPr>
  </w:style>
  <w:style w:type="paragraph" w:styleId="15">
    <w:name w:val="Body Text Indent"/>
    <w:basedOn w:val="1"/>
    <w:qFormat/>
    <w:uiPriority w:val="0"/>
    <w:pPr>
      <w:ind w:firstLine="830" w:firstLineChars="352"/>
    </w:pPr>
    <w:rPr>
      <w:rFonts w:ascii="仿宋_GB2312" w:eastAsia="仿宋_GB2312"/>
      <w:sz w:val="32"/>
      <w:szCs w:val="20"/>
    </w:rPr>
  </w:style>
  <w:style w:type="paragraph" w:styleId="16">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7">
    <w:name w:val="toc 3"/>
    <w:basedOn w:val="1"/>
    <w:next w:val="1"/>
    <w:unhideWhenUsed/>
    <w:qFormat/>
    <w:uiPriority w:val="39"/>
    <w:pPr>
      <w:ind w:left="840" w:leftChars="400"/>
    </w:pPr>
  </w:style>
  <w:style w:type="paragraph" w:styleId="18">
    <w:name w:val="Plain Text"/>
    <w:basedOn w:val="1"/>
    <w:link w:val="55"/>
    <w:qFormat/>
    <w:uiPriority w:val="0"/>
    <w:rPr>
      <w:rFonts w:ascii="宋体" w:hAnsi="Courier New"/>
      <w:szCs w:val="21"/>
    </w:rPr>
  </w:style>
  <w:style w:type="paragraph" w:styleId="19">
    <w:name w:val="Date"/>
    <w:basedOn w:val="1"/>
    <w:next w:val="1"/>
    <w:qFormat/>
    <w:uiPriority w:val="0"/>
    <w:pPr>
      <w:ind w:left="100" w:leftChars="2500"/>
    </w:pPr>
    <w:rPr>
      <w:rFonts w:ascii="宋体" w:hAnsi="Courier New" w:cs="Courier New"/>
      <w:szCs w:val="21"/>
    </w:rPr>
  </w:style>
  <w:style w:type="paragraph" w:styleId="20">
    <w:name w:val="Balloon Text"/>
    <w:basedOn w:val="1"/>
    <w:semiHidden/>
    <w:qFormat/>
    <w:uiPriority w:val="0"/>
    <w:rPr>
      <w:sz w:val="18"/>
      <w:szCs w:val="18"/>
    </w:rPr>
  </w:style>
  <w:style w:type="paragraph" w:styleId="21">
    <w:name w:val="footer"/>
    <w:basedOn w:val="1"/>
    <w:link w:val="56"/>
    <w:qFormat/>
    <w:uiPriority w:val="99"/>
    <w:pPr>
      <w:tabs>
        <w:tab w:val="center" w:pos="4153"/>
        <w:tab w:val="right" w:pos="8306"/>
      </w:tabs>
      <w:snapToGrid w:val="0"/>
      <w:jc w:val="left"/>
    </w:pPr>
    <w:rPr>
      <w:sz w:val="18"/>
      <w:szCs w:val="18"/>
    </w:rPr>
  </w:style>
  <w:style w:type="paragraph" w:styleId="22">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22"/>
      </w:tabs>
      <w:spacing w:line="440" w:lineRule="exact"/>
      <w:ind w:right="231" w:rightChars="110"/>
    </w:pPr>
    <w:rPr>
      <w:sz w:val="28"/>
    </w:rPr>
  </w:style>
  <w:style w:type="paragraph" w:styleId="24">
    <w:name w:val="List"/>
    <w:basedOn w:val="1"/>
    <w:unhideWhenUsed/>
    <w:qFormat/>
    <w:uiPriority w:val="99"/>
    <w:pPr>
      <w:ind w:left="200" w:hanging="200" w:hangingChars="200"/>
    </w:pPr>
  </w:style>
  <w:style w:type="paragraph" w:styleId="25">
    <w:name w:val="footnote text"/>
    <w:basedOn w:val="1"/>
    <w:qFormat/>
    <w:uiPriority w:val="0"/>
    <w:pPr>
      <w:snapToGrid w:val="0"/>
      <w:jc w:val="left"/>
    </w:pPr>
    <w:rPr>
      <w:sz w:val="18"/>
    </w:rPr>
  </w:style>
  <w:style w:type="paragraph" w:styleId="26">
    <w:name w:val="Body Text Indent 3"/>
    <w:basedOn w:val="1"/>
    <w:link w:val="58"/>
    <w:unhideWhenUsed/>
    <w:qFormat/>
    <w:uiPriority w:val="0"/>
    <w:pPr>
      <w:spacing w:after="120"/>
      <w:ind w:left="420" w:leftChars="200"/>
    </w:pPr>
    <w:rPr>
      <w:sz w:val="16"/>
      <w:szCs w:val="16"/>
    </w:rPr>
  </w:style>
  <w:style w:type="paragraph" w:styleId="27">
    <w:name w:val="toc 2"/>
    <w:basedOn w:val="1"/>
    <w:next w:val="1"/>
    <w:qFormat/>
    <w:uiPriority w:val="39"/>
    <w:pPr>
      <w:tabs>
        <w:tab w:val="right" w:leader="dot" w:pos="8222"/>
      </w:tabs>
      <w:ind w:left="420" w:leftChars="200"/>
      <w:jc w:val="left"/>
    </w:pPr>
    <w:rPr>
      <w:sz w:val="28"/>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next w:val="1"/>
    <w:link w:val="59"/>
    <w:qFormat/>
    <w:uiPriority w:val="0"/>
    <w:rPr>
      <w:sz w:val="44"/>
    </w:rPr>
  </w:style>
  <w:style w:type="paragraph" w:styleId="30">
    <w:name w:val="annotation subject"/>
    <w:basedOn w:val="13"/>
    <w:next w:val="13"/>
    <w:link w:val="60"/>
    <w:qFormat/>
    <w:uiPriority w:val="99"/>
    <w:rPr>
      <w:rFonts w:ascii="Times New Roman" w:hAnsi="Times New Roman"/>
      <w:b/>
      <w:sz w:val="28"/>
      <w:szCs w:val="20"/>
    </w:rPr>
  </w:style>
  <w:style w:type="paragraph" w:styleId="31">
    <w:name w:val="Body Text First Indent"/>
    <w:basedOn w:val="14"/>
    <w:qFormat/>
    <w:uiPriority w:val="0"/>
    <w:pPr>
      <w:ind w:firstLine="420" w:firstLineChars="100"/>
    </w:pPr>
  </w:style>
  <w:style w:type="paragraph" w:styleId="32">
    <w:name w:val="Body Text First Indent 2"/>
    <w:basedOn w:val="15"/>
    <w:unhideWhenUsed/>
    <w:qFormat/>
    <w:uiPriority w:val="99"/>
    <w:pPr>
      <w:ind w:firstLine="420" w:firstLineChars="2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unhideWhenUsed/>
    <w:qFormat/>
    <w:uiPriority w:val="0"/>
    <w:rPr>
      <w:sz w:val="21"/>
      <w:szCs w:val="21"/>
    </w:rPr>
  </w:style>
  <w:style w:type="paragraph" w:customStyle="1" w:styleId="40">
    <w:name w:val="Default"/>
    <w:basedOn w:val="29"/>
    <w:next w:val="2"/>
    <w:qFormat/>
    <w:uiPriority w:val="0"/>
    <w:pPr>
      <w:autoSpaceDE w:val="0"/>
      <w:autoSpaceDN w:val="0"/>
      <w:adjustRightInd w:val="0"/>
    </w:pPr>
    <w:rPr>
      <w:rFonts w:ascii="宋体" w:hAnsi="宋体" w:cs="宋体"/>
      <w:color w:val="000000"/>
      <w:sz w:val="24"/>
      <w:szCs w:val="24"/>
    </w:rPr>
  </w:style>
  <w:style w:type="paragraph" w:customStyle="1" w:styleId="41">
    <w:name w:val="正文首行缩进 2 Char Char"/>
    <w:basedOn w:val="42"/>
    <w:qFormat/>
    <w:uiPriority w:val="99"/>
    <w:pPr>
      <w:ind w:firstLine="420"/>
    </w:pPr>
  </w:style>
  <w:style w:type="paragraph" w:customStyle="1" w:styleId="42">
    <w:name w:val="正文文本缩进 Char Char"/>
    <w:basedOn w:val="1"/>
    <w:qFormat/>
    <w:uiPriority w:val="99"/>
    <w:pPr>
      <w:spacing w:after="120"/>
      <w:ind w:left="420" w:leftChars="200"/>
    </w:pPr>
  </w:style>
  <w:style w:type="character" w:customStyle="1" w:styleId="43">
    <w:name w:val="标题 1 字符"/>
    <w:link w:val="2"/>
    <w:qFormat/>
    <w:uiPriority w:val="9"/>
    <w:rPr>
      <w:rFonts w:ascii="Calibri" w:hAnsi="Calibri"/>
      <w:b/>
      <w:bCs/>
      <w:kern w:val="44"/>
      <w:sz w:val="44"/>
      <w:szCs w:val="44"/>
    </w:rPr>
  </w:style>
  <w:style w:type="character" w:customStyle="1" w:styleId="44">
    <w:name w:val="标题 3 字符"/>
    <w:link w:val="4"/>
    <w:qFormat/>
    <w:uiPriority w:val="0"/>
    <w:rPr>
      <w:rFonts w:ascii="仿宋_GB2312" w:hAnsi="宋体" w:eastAsia="宋体"/>
      <w:b/>
      <w:kern w:val="2"/>
      <w:sz w:val="32"/>
      <w:szCs w:val="32"/>
    </w:rPr>
  </w:style>
  <w:style w:type="character" w:customStyle="1" w:styleId="45">
    <w:name w:val="标题 2 字符"/>
    <w:link w:val="3"/>
    <w:qFormat/>
    <w:uiPriority w:val="0"/>
    <w:rPr>
      <w:rFonts w:ascii="宋体" w:hAnsi="宋体" w:eastAsia="宋体"/>
      <w:b/>
      <w:kern w:val="2"/>
      <w:sz w:val="32"/>
      <w:szCs w:val="28"/>
    </w:rPr>
  </w:style>
  <w:style w:type="character" w:customStyle="1" w:styleId="46">
    <w:name w:val="标题 4 字符"/>
    <w:link w:val="5"/>
    <w:qFormat/>
    <w:uiPriority w:val="0"/>
    <w:rPr>
      <w:rFonts w:ascii="Arial" w:hAnsi="Arial" w:eastAsia="黑体"/>
      <w:b/>
      <w:bCs/>
      <w:kern w:val="2"/>
      <w:sz w:val="28"/>
      <w:szCs w:val="28"/>
    </w:rPr>
  </w:style>
  <w:style w:type="character" w:customStyle="1" w:styleId="47">
    <w:name w:val="标题 5 字符"/>
    <w:link w:val="6"/>
    <w:qFormat/>
    <w:uiPriority w:val="0"/>
    <w:rPr>
      <w:rFonts w:ascii="Calibri" w:hAnsi="Calibri"/>
      <w:b/>
      <w:bCs/>
      <w:kern w:val="2"/>
      <w:sz w:val="28"/>
      <w:szCs w:val="28"/>
    </w:rPr>
  </w:style>
  <w:style w:type="character" w:customStyle="1" w:styleId="48">
    <w:name w:val="标题 6 字符"/>
    <w:link w:val="7"/>
    <w:qFormat/>
    <w:uiPriority w:val="0"/>
    <w:rPr>
      <w:b/>
      <w:bCs/>
      <w:kern w:val="2"/>
      <w:sz w:val="30"/>
      <w:szCs w:val="18"/>
    </w:rPr>
  </w:style>
  <w:style w:type="character" w:customStyle="1" w:styleId="49">
    <w:name w:val="标题 7 字符"/>
    <w:link w:val="8"/>
    <w:qFormat/>
    <w:uiPriority w:val="0"/>
    <w:rPr>
      <w:b/>
      <w:bCs/>
      <w:kern w:val="2"/>
      <w:sz w:val="30"/>
      <w:szCs w:val="18"/>
    </w:rPr>
  </w:style>
  <w:style w:type="character" w:customStyle="1" w:styleId="50">
    <w:name w:val="标题 8 字符"/>
    <w:link w:val="9"/>
    <w:qFormat/>
    <w:uiPriority w:val="0"/>
    <w:rPr>
      <w:b/>
      <w:bCs/>
      <w:kern w:val="2"/>
      <w:sz w:val="30"/>
      <w:szCs w:val="18"/>
    </w:rPr>
  </w:style>
  <w:style w:type="character" w:customStyle="1" w:styleId="51">
    <w:name w:val="标题 9 字符"/>
    <w:link w:val="10"/>
    <w:qFormat/>
    <w:uiPriority w:val="0"/>
    <w:rPr>
      <w:b/>
      <w:bCs/>
      <w:kern w:val="2"/>
      <w:sz w:val="30"/>
      <w:szCs w:val="18"/>
    </w:rPr>
  </w:style>
  <w:style w:type="character" w:customStyle="1" w:styleId="52">
    <w:name w:val="正文缩进 字符"/>
    <w:link w:val="11"/>
    <w:qFormat/>
    <w:uiPriority w:val="0"/>
    <w:rPr>
      <w:rFonts w:ascii="Calibri" w:hAnsi="Calibri" w:eastAsia="宋体"/>
      <w:kern w:val="2"/>
      <w:sz w:val="21"/>
      <w:szCs w:val="22"/>
      <w:lang w:val="en-US" w:eastAsia="zh-CN" w:bidi="ar-SA"/>
    </w:rPr>
  </w:style>
  <w:style w:type="character" w:customStyle="1" w:styleId="53">
    <w:name w:val="文档结构图 字符"/>
    <w:link w:val="12"/>
    <w:qFormat/>
    <w:uiPriority w:val="0"/>
    <w:rPr>
      <w:rFonts w:ascii="宋体" w:hAnsi="Calibri"/>
      <w:kern w:val="2"/>
      <w:sz w:val="18"/>
      <w:szCs w:val="18"/>
    </w:rPr>
  </w:style>
  <w:style w:type="character" w:customStyle="1" w:styleId="54">
    <w:name w:val="批注文字 字符"/>
    <w:link w:val="13"/>
    <w:qFormat/>
    <w:uiPriority w:val="0"/>
    <w:rPr>
      <w:rFonts w:ascii="Calibri" w:hAnsi="Calibri"/>
      <w:kern w:val="2"/>
      <w:sz w:val="21"/>
      <w:szCs w:val="22"/>
    </w:rPr>
  </w:style>
  <w:style w:type="character" w:customStyle="1" w:styleId="55">
    <w:name w:val="纯文本 字符"/>
    <w:link w:val="18"/>
    <w:qFormat/>
    <w:locked/>
    <w:uiPriority w:val="0"/>
    <w:rPr>
      <w:rFonts w:ascii="宋体" w:hAnsi="Courier New" w:eastAsia="宋体" w:cs="Courier New"/>
      <w:kern w:val="2"/>
      <w:sz w:val="21"/>
      <w:szCs w:val="21"/>
    </w:rPr>
  </w:style>
  <w:style w:type="character" w:customStyle="1" w:styleId="56">
    <w:name w:val="页脚 字符"/>
    <w:link w:val="21"/>
    <w:qFormat/>
    <w:uiPriority w:val="99"/>
    <w:rPr>
      <w:rFonts w:ascii="Calibri" w:hAnsi="Calibri" w:eastAsia="宋体" w:cs="Times New Roman"/>
      <w:kern w:val="2"/>
      <w:sz w:val="18"/>
      <w:szCs w:val="18"/>
    </w:rPr>
  </w:style>
  <w:style w:type="character" w:customStyle="1" w:styleId="57">
    <w:name w:val="页眉 字符"/>
    <w:link w:val="22"/>
    <w:qFormat/>
    <w:uiPriority w:val="99"/>
    <w:rPr>
      <w:rFonts w:ascii="Calibri" w:hAnsi="Calibri" w:eastAsia="宋体" w:cs="Times New Roman"/>
      <w:kern w:val="2"/>
      <w:sz w:val="18"/>
      <w:szCs w:val="18"/>
    </w:rPr>
  </w:style>
  <w:style w:type="character" w:customStyle="1" w:styleId="58">
    <w:name w:val="正文文本缩进 3 字符"/>
    <w:link w:val="26"/>
    <w:semiHidden/>
    <w:qFormat/>
    <w:uiPriority w:val="0"/>
    <w:rPr>
      <w:rFonts w:ascii="Calibri" w:hAnsi="Calibri"/>
      <w:kern w:val="2"/>
      <w:sz w:val="16"/>
      <w:szCs w:val="16"/>
    </w:rPr>
  </w:style>
  <w:style w:type="character" w:customStyle="1" w:styleId="59">
    <w:name w:val="标题 字符"/>
    <w:link w:val="29"/>
    <w:qFormat/>
    <w:uiPriority w:val="0"/>
    <w:rPr>
      <w:rFonts w:ascii="宋体" w:hAnsi="宋体" w:eastAsia="宋体"/>
      <w:b/>
      <w:kern w:val="2"/>
      <w:sz w:val="44"/>
      <w:szCs w:val="28"/>
    </w:rPr>
  </w:style>
  <w:style w:type="character" w:customStyle="1" w:styleId="60">
    <w:name w:val="批注主题 字符"/>
    <w:link w:val="30"/>
    <w:qFormat/>
    <w:uiPriority w:val="99"/>
    <w:rPr>
      <w:b/>
      <w:kern w:val="2"/>
      <w:sz w:val="28"/>
    </w:rPr>
  </w:style>
  <w:style w:type="character" w:customStyle="1" w:styleId="61">
    <w:name w:val="2册标题2 Char"/>
    <w:link w:val="62"/>
    <w:qFormat/>
    <w:uiPriority w:val="0"/>
    <w:rPr>
      <w:rFonts w:ascii="Arial" w:hAnsi="Arial" w:eastAsia="黑体"/>
      <w:kern w:val="2"/>
      <w:sz w:val="30"/>
    </w:rPr>
  </w:style>
  <w:style w:type="paragraph" w:customStyle="1" w:styleId="62">
    <w:name w:val="2册标题2"/>
    <w:basedOn w:val="1"/>
    <w:next w:val="1"/>
    <w:link w:val="61"/>
    <w:qFormat/>
    <w:uiPriority w:val="0"/>
    <w:pPr>
      <w:spacing w:beforeLines="50" w:afterLines="50" w:line="300" w:lineRule="auto"/>
      <w:outlineLvl w:val="1"/>
    </w:pPr>
    <w:rPr>
      <w:rFonts w:ascii="Arial" w:hAnsi="Arial" w:eastAsia="黑体"/>
      <w:sz w:val="30"/>
      <w:szCs w:val="20"/>
    </w:rPr>
  </w:style>
  <w:style w:type="character" w:customStyle="1" w:styleId="63">
    <w:name w:val="case31"/>
    <w:qFormat/>
    <w:uiPriority w:val="0"/>
    <w:rPr>
      <w:rFonts w:hint="default"/>
      <w:spacing w:val="390"/>
      <w:sz w:val="21"/>
      <w:szCs w:val="21"/>
    </w:rPr>
  </w:style>
  <w:style w:type="character" w:customStyle="1" w:styleId="64">
    <w:name w:val="font21"/>
    <w:basedOn w:val="35"/>
    <w:qFormat/>
    <w:uiPriority w:val="0"/>
    <w:rPr>
      <w:rFonts w:hint="eastAsia" w:ascii="宋体" w:hAnsi="宋体" w:eastAsia="宋体" w:cs="宋体"/>
      <w:color w:val="000000"/>
      <w:sz w:val="20"/>
      <w:szCs w:val="20"/>
      <w:u w:val="none"/>
    </w:rPr>
  </w:style>
  <w:style w:type="character" w:customStyle="1" w:styleId="65">
    <w:name w:val="需求样式 Char"/>
    <w:link w:val="66"/>
    <w:qFormat/>
    <w:uiPriority w:val="0"/>
    <w:rPr>
      <w:b/>
      <w:bCs/>
      <w:kern w:val="44"/>
      <w:sz w:val="32"/>
      <w:szCs w:val="28"/>
    </w:rPr>
  </w:style>
  <w:style w:type="paragraph" w:customStyle="1" w:styleId="66">
    <w:name w:val="需求样式"/>
    <w:basedOn w:val="2"/>
    <w:link w:val="65"/>
    <w:qFormat/>
    <w:uiPriority w:val="0"/>
    <w:pPr>
      <w:spacing w:before="120" w:after="120" w:line="360" w:lineRule="auto"/>
      <w:ind w:left="425" w:hanging="425"/>
    </w:pPr>
    <w:rPr>
      <w:rFonts w:ascii="Times New Roman" w:hAnsi="Times New Roman"/>
      <w:sz w:val="32"/>
      <w:szCs w:val="28"/>
    </w:rPr>
  </w:style>
  <w:style w:type="character" w:customStyle="1" w:styleId="67">
    <w:name w:val="批注主题 Char1"/>
    <w:qFormat/>
    <w:uiPriority w:val="0"/>
    <w:rPr>
      <w:rFonts w:ascii="Calibri" w:hAnsi="Calibri"/>
      <w:b/>
      <w:bCs/>
      <w:kern w:val="2"/>
      <w:sz w:val="21"/>
      <w:szCs w:val="22"/>
    </w:rPr>
  </w:style>
  <w:style w:type="character" w:customStyle="1" w:styleId="68">
    <w:name w:val="正文缩进 Char_0_0"/>
    <w:link w:val="69"/>
    <w:qFormat/>
    <w:uiPriority w:val="0"/>
    <w:rPr>
      <w:rFonts w:ascii="Calibri" w:hAnsi="Calibri" w:eastAsia="宋体" w:cs="Times New Roman"/>
      <w:kern w:val="2"/>
      <w:sz w:val="21"/>
      <w:szCs w:val="22"/>
    </w:rPr>
  </w:style>
  <w:style w:type="paragraph" w:customStyle="1" w:styleId="69">
    <w:name w:val="正文缩进_0_0"/>
    <w:basedOn w:val="70"/>
    <w:link w:val="68"/>
    <w:unhideWhenUsed/>
    <w:qFormat/>
    <w:uiPriority w:val="0"/>
    <w:pPr>
      <w:ind w:firstLine="420" w:firstLineChars="200"/>
    </w:pPr>
  </w:style>
  <w:style w:type="paragraph" w:customStyle="1" w:styleId="70">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标题 2 Char_0"/>
    <w:link w:val="72"/>
    <w:semiHidden/>
    <w:qFormat/>
    <w:uiPriority w:val="9"/>
    <w:rPr>
      <w:rFonts w:ascii="Cambria" w:hAnsi="Cambria" w:eastAsia="宋体" w:cs="Times New Roman"/>
      <w:b/>
      <w:bCs/>
      <w:sz w:val="32"/>
      <w:szCs w:val="32"/>
    </w:rPr>
  </w:style>
  <w:style w:type="paragraph" w:customStyle="1" w:styleId="72">
    <w:name w:val="标题 2_1"/>
    <w:basedOn w:val="73"/>
    <w:next w:val="73"/>
    <w:link w:val="71"/>
    <w:unhideWhenUsed/>
    <w:qFormat/>
    <w:uiPriority w:val="9"/>
    <w:pPr>
      <w:keepNext/>
      <w:keepLines/>
      <w:spacing w:before="260" w:after="260" w:line="416" w:lineRule="auto"/>
      <w:outlineLvl w:val="1"/>
    </w:pPr>
    <w:rPr>
      <w:rFonts w:ascii="Cambria" w:hAnsi="Cambria"/>
      <w:b/>
      <w:bCs/>
      <w:sz w:val="32"/>
      <w:szCs w:val="32"/>
    </w:rPr>
  </w:style>
  <w:style w:type="paragraph" w:customStyle="1" w:styleId="73">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
    <w:name w:val="正文缩进 Char_1"/>
    <w:link w:val="75"/>
    <w:qFormat/>
    <w:uiPriority w:val="0"/>
    <w:rPr>
      <w:rFonts w:ascii="Calibri" w:hAnsi="Calibri" w:eastAsia="宋体" w:cs="Times New Roman"/>
      <w:kern w:val="2"/>
      <w:sz w:val="21"/>
      <w:szCs w:val="22"/>
    </w:rPr>
  </w:style>
  <w:style w:type="paragraph" w:customStyle="1" w:styleId="75">
    <w:name w:val="正文缩进_2"/>
    <w:basedOn w:val="76"/>
    <w:link w:val="74"/>
    <w:unhideWhenUsed/>
    <w:qFormat/>
    <w:uiPriority w:val="0"/>
    <w:pPr>
      <w:ind w:firstLine="420" w:firstLineChars="200"/>
    </w:pPr>
  </w:style>
  <w:style w:type="paragraph" w:customStyle="1" w:styleId="76">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正文文本 Char"/>
    <w:link w:val="78"/>
    <w:qFormat/>
    <w:uiPriority w:val="0"/>
    <w:rPr>
      <w:rFonts w:ascii="Calibri" w:hAnsi="Calibri" w:eastAsia="宋体" w:cs="Times New Roman"/>
      <w:kern w:val="2"/>
      <w:sz w:val="21"/>
      <w:szCs w:val="22"/>
    </w:rPr>
  </w:style>
  <w:style w:type="paragraph" w:customStyle="1" w:styleId="78">
    <w:name w:val="正文文本_1"/>
    <w:basedOn w:val="79"/>
    <w:link w:val="77"/>
    <w:unhideWhenUsed/>
    <w:qFormat/>
    <w:uiPriority w:val="0"/>
    <w:pPr>
      <w:spacing w:after="120"/>
    </w:pPr>
  </w:style>
  <w:style w:type="paragraph" w:customStyle="1" w:styleId="79">
    <w:name w:val="正文_1_0"/>
    <w:basedOn w:val="80"/>
    <w:qFormat/>
    <w:uiPriority w:val="0"/>
    <w:rPr>
      <w:rFonts w:ascii="Calibri" w:hAnsi="Calibri"/>
    </w:rPr>
  </w:style>
  <w:style w:type="paragraph" w:customStyle="1" w:styleId="8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1">
    <w:name w:val="纯文本 Char_0"/>
    <w:link w:val="82"/>
    <w:qFormat/>
    <w:uiPriority w:val="0"/>
    <w:rPr>
      <w:rFonts w:ascii="宋体" w:hAnsi="Courier New" w:eastAsia="宋体" w:cs="Times New Roman"/>
      <w:kern w:val="2"/>
      <w:sz w:val="21"/>
      <w:szCs w:val="21"/>
    </w:rPr>
  </w:style>
  <w:style w:type="paragraph" w:customStyle="1" w:styleId="82">
    <w:name w:val="纯文本_0"/>
    <w:basedOn w:val="83"/>
    <w:link w:val="81"/>
    <w:qFormat/>
    <w:uiPriority w:val="0"/>
    <w:rPr>
      <w:rFonts w:ascii="宋体" w:hAnsi="Courier New"/>
      <w:szCs w:val="21"/>
    </w:rPr>
  </w:style>
  <w:style w:type="paragraph" w:customStyle="1" w:styleId="83">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正文缩进 Char_2"/>
    <w:link w:val="85"/>
    <w:qFormat/>
    <w:uiPriority w:val="0"/>
    <w:rPr>
      <w:rFonts w:ascii="Calibri" w:hAnsi="Calibri" w:eastAsia="宋体" w:cs="Times New Roman"/>
      <w:kern w:val="2"/>
      <w:sz w:val="21"/>
      <w:szCs w:val="22"/>
    </w:rPr>
  </w:style>
  <w:style w:type="paragraph" w:customStyle="1" w:styleId="85">
    <w:name w:val="正文缩进_2_0"/>
    <w:basedOn w:val="86"/>
    <w:link w:val="84"/>
    <w:unhideWhenUsed/>
    <w:qFormat/>
    <w:uiPriority w:val="0"/>
    <w:pPr>
      <w:ind w:firstLine="420" w:firstLineChars="200"/>
    </w:pPr>
  </w:style>
  <w:style w:type="paragraph" w:customStyle="1" w:styleId="86">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普通文字 Char Char2"/>
    <w:qFormat/>
    <w:uiPriority w:val="0"/>
    <w:rPr>
      <w:rFonts w:ascii="宋体" w:hAnsi="Courier New" w:cs="Courier New"/>
      <w:kern w:val="2"/>
      <w:sz w:val="21"/>
      <w:szCs w:val="21"/>
    </w:rPr>
  </w:style>
  <w:style w:type="character" w:customStyle="1" w:styleId="88">
    <w:name w:val="font11"/>
    <w:basedOn w:val="35"/>
    <w:qFormat/>
    <w:uiPriority w:val="0"/>
    <w:rPr>
      <w:rFonts w:hint="eastAsia" w:ascii="宋体" w:hAnsi="宋体" w:eastAsia="宋体" w:cs="宋体"/>
      <w:color w:val="000000"/>
      <w:sz w:val="20"/>
      <w:szCs w:val="20"/>
      <w:u w:val="none"/>
    </w:rPr>
  </w:style>
  <w:style w:type="character" w:customStyle="1" w:styleId="89">
    <w:name w:val="正文缩进 Char_1_0"/>
    <w:link w:val="90"/>
    <w:qFormat/>
    <w:uiPriority w:val="0"/>
    <w:rPr>
      <w:rFonts w:ascii="Calibri" w:hAnsi="Calibri" w:eastAsia="宋体" w:cs="Times New Roman"/>
      <w:kern w:val="2"/>
      <w:sz w:val="21"/>
      <w:szCs w:val="22"/>
    </w:rPr>
  </w:style>
  <w:style w:type="paragraph" w:customStyle="1" w:styleId="90">
    <w:name w:val="正文缩进_1_0"/>
    <w:basedOn w:val="91"/>
    <w:link w:val="89"/>
    <w:unhideWhenUsed/>
    <w:qFormat/>
    <w:uiPriority w:val="0"/>
    <w:pPr>
      <w:ind w:firstLine="420" w:firstLineChars="200"/>
    </w:pPr>
  </w:style>
  <w:style w:type="paragraph" w:customStyle="1" w:styleId="9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
    <w:name w:val="标题 3 Char_0"/>
    <w:link w:val="93"/>
    <w:qFormat/>
    <w:uiPriority w:val="0"/>
    <w:rPr>
      <w:rFonts w:ascii="仿宋_GB2312" w:hAnsi="仿宋_GB2312" w:eastAsia="宋体"/>
      <w:b/>
      <w:bCs/>
      <w:kern w:val="44"/>
      <w:sz w:val="32"/>
      <w:szCs w:val="32"/>
    </w:rPr>
  </w:style>
  <w:style w:type="paragraph" w:customStyle="1" w:styleId="93">
    <w:name w:val="标题 3_1"/>
    <w:basedOn w:val="72"/>
    <w:next w:val="73"/>
    <w:link w:val="92"/>
    <w:qFormat/>
    <w:uiPriority w:val="0"/>
    <w:pPr>
      <w:adjustRightInd w:val="0"/>
      <w:snapToGrid w:val="0"/>
      <w:spacing w:line="500" w:lineRule="exact"/>
      <w:ind w:left="-88" w:leftChars="-42"/>
      <w:contextualSpacing/>
      <w:jc w:val="center"/>
      <w:outlineLvl w:val="2"/>
    </w:pPr>
    <w:rPr>
      <w:rFonts w:ascii="仿宋_GB2312" w:hAnsi="仿宋_GB2312"/>
      <w:kern w:val="44"/>
    </w:rPr>
  </w:style>
  <w:style w:type="character" w:customStyle="1" w:styleId="94">
    <w:name w:val="日期 Char"/>
    <w:link w:val="95"/>
    <w:qFormat/>
    <w:uiPriority w:val="0"/>
    <w:rPr>
      <w:rFonts w:ascii="宋体" w:hAnsi="Courier New" w:eastAsia="宋体" w:cs="Courier New"/>
      <w:kern w:val="2"/>
      <w:sz w:val="21"/>
      <w:szCs w:val="21"/>
    </w:rPr>
  </w:style>
  <w:style w:type="paragraph" w:customStyle="1" w:styleId="95">
    <w:name w:val="日期_0"/>
    <w:basedOn w:val="83"/>
    <w:next w:val="83"/>
    <w:link w:val="94"/>
    <w:qFormat/>
    <w:uiPriority w:val="0"/>
    <w:pPr>
      <w:ind w:left="100" w:leftChars="2500"/>
    </w:pPr>
    <w:rPr>
      <w:rFonts w:ascii="宋体" w:hAnsi="Courier New"/>
      <w:szCs w:val="21"/>
    </w:rPr>
  </w:style>
  <w:style w:type="character" w:customStyle="1" w:styleId="96">
    <w:name w:val="正文缩进 Char_0"/>
    <w:link w:val="97"/>
    <w:qFormat/>
    <w:uiPriority w:val="0"/>
  </w:style>
  <w:style w:type="paragraph" w:customStyle="1" w:styleId="97">
    <w:name w:val="正文缩进_1"/>
    <w:basedOn w:val="98"/>
    <w:link w:val="96"/>
    <w:unhideWhenUsed/>
    <w:qFormat/>
    <w:uiPriority w:val="0"/>
    <w:pPr>
      <w:ind w:firstLine="420" w:firstLineChars="200"/>
    </w:pPr>
  </w:style>
  <w:style w:type="paragraph" w:customStyle="1" w:styleId="9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4"/>
    <w:qFormat/>
    <w:uiPriority w:val="0"/>
    <w:rPr>
      <w:rFonts w:ascii="黑体" w:hAnsi="黑体" w:eastAsia="黑体" w:cs="Times New Roman"/>
      <w:b/>
      <w:sz w:val="32"/>
      <w:szCs w:val="24"/>
      <w:lang w:val="en-US" w:eastAsia="zh-CN" w:bidi="ar-SA"/>
    </w:rPr>
  </w:style>
  <w:style w:type="paragraph" w:customStyle="1" w:styleId="100">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01">
    <w:name w:val="正文_2_1_0"/>
    <w:basedOn w:val="102"/>
    <w:qFormat/>
    <w:uiPriority w:val="0"/>
    <w:rPr>
      <w:rFonts w:cs="宋体"/>
    </w:rPr>
  </w:style>
  <w:style w:type="paragraph" w:customStyle="1" w:styleId="102">
    <w:name w:val="正文_2_1"/>
    <w:basedOn w:val="103"/>
    <w:qFormat/>
    <w:uiPriority w:val="0"/>
    <w:rPr>
      <w:rFonts w:cs="Calibri"/>
      <w:szCs w:val="21"/>
    </w:rPr>
  </w:style>
  <w:style w:type="paragraph" w:customStyle="1" w:styleId="103">
    <w:name w:val="正文_3"/>
    <w:basedOn w:val="104"/>
    <w:qFormat/>
    <w:uiPriority w:val="0"/>
  </w:style>
  <w:style w:type="paragraph" w:customStyle="1" w:styleId="10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标题 3_0"/>
    <w:basedOn w:val="106"/>
    <w:next w:val="106"/>
    <w:unhideWhenUsed/>
    <w:qFormat/>
    <w:uiPriority w:val="9"/>
    <w:pPr>
      <w:keepNext/>
      <w:keepLines/>
      <w:spacing w:before="260" w:after="260" w:line="416" w:lineRule="auto"/>
      <w:outlineLvl w:val="2"/>
    </w:pPr>
    <w:rPr>
      <w:b/>
      <w:bCs/>
      <w:sz w:val="32"/>
      <w:szCs w:val="32"/>
    </w:rPr>
  </w:style>
  <w:style w:type="paragraph" w:customStyle="1" w:styleId="10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1"/>
    <w:qFormat/>
    <w:uiPriority w:val="0"/>
    <w:rPr>
      <w:rFonts w:ascii="黑体" w:hAnsi="黑体" w:eastAsia="黑体" w:cs="Times New Roman"/>
      <w:b/>
      <w:sz w:val="32"/>
      <w:szCs w:val="24"/>
      <w:lang w:val="en-US" w:eastAsia="zh-CN" w:bidi="ar-SA"/>
    </w:rPr>
  </w:style>
  <w:style w:type="paragraph" w:customStyle="1" w:styleId="108">
    <w:name w:val="Normal_9"/>
    <w:qFormat/>
    <w:uiPriority w:val="0"/>
    <w:rPr>
      <w:rFonts w:ascii="黑体" w:hAnsi="黑体" w:eastAsia="黑体" w:cs="Times New Roman"/>
      <w:b/>
      <w:sz w:val="32"/>
      <w:szCs w:val="24"/>
      <w:lang w:val="en-US" w:eastAsia="zh-CN" w:bidi="ar-SA"/>
    </w:rPr>
  </w:style>
  <w:style w:type="paragraph" w:customStyle="1" w:styleId="10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Normal_23"/>
    <w:qFormat/>
    <w:uiPriority w:val="0"/>
    <w:rPr>
      <w:rFonts w:ascii="Times New Roman" w:hAnsi="Times New Roman" w:eastAsia="Times New Roman" w:cs="Times New Roman"/>
      <w:sz w:val="24"/>
      <w:szCs w:val="24"/>
      <w:lang w:val="en-US" w:eastAsia="zh-CN" w:bidi="ar-SA"/>
    </w:rPr>
  </w:style>
  <w:style w:type="paragraph" w:customStyle="1" w:styleId="111">
    <w:name w:val="标题 2_0"/>
    <w:basedOn w:val="105"/>
    <w:next w:val="106"/>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112">
    <w:name w:val="正文_2_0_0"/>
    <w:basedOn w:val="102"/>
    <w:qFormat/>
    <w:uiPriority w:val="0"/>
    <w:rPr>
      <w:rFonts w:cs="宋体"/>
    </w:rPr>
  </w:style>
  <w:style w:type="paragraph" w:customStyle="1" w:styleId="113">
    <w:name w:val="TOC 标题2"/>
    <w:basedOn w:val="2"/>
    <w:next w:val="1"/>
    <w:unhideWhenUsed/>
    <w:qFormat/>
    <w:uiPriority w:val="39"/>
    <w:pPr>
      <w:widowControl/>
      <w:spacing w:before="240" w:after="0" w:line="259" w:lineRule="auto"/>
      <w:jc w:val="left"/>
      <w:outlineLvl w:val="9"/>
    </w:pPr>
    <w:rPr>
      <w:rFonts w:ascii="Cambria" w:hAnsi="Cambria"/>
      <w:b/>
      <w:bCs w:val="0"/>
      <w:color w:val="365F91"/>
      <w:kern w:val="0"/>
      <w:sz w:val="32"/>
      <w:szCs w:val="32"/>
    </w:rPr>
  </w:style>
  <w:style w:type="paragraph" w:customStyle="1" w:styleId="114">
    <w:name w:val="正文_2_1_0_0"/>
    <w:basedOn w:val="101"/>
    <w:qFormat/>
    <w:uiPriority w:val="0"/>
    <w:rPr>
      <w:rFonts w:cs="Times New Roman"/>
    </w:rPr>
  </w:style>
  <w:style w:type="paragraph" w:styleId="115">
    <w:name w:val="List Paragraph"/>
    <w:basedOn w:val="1"/>
    <w:qFormat/>
    <w:uiPriority w:val="99"/>
    <w:pPr>
      <w:ind w:firstLine="420" w:firstLineChars="200"/>
    </w:pPr>
  </w:style>
  <w:style w:type="paragraph" w:styleId="116">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17">
    <w:name w:val="Normal_16"/>
    <w:qFormat/>
    <w:uiPriority w:val="0"/>
    <w:rPr>
      <w:rFonts w:ascii="黑体" w:hAnsi="黑体" w:eastAsia="黑体" w:cs="Times New Roman"/>
      <w:b/>
      <w:sz w:val="32"/>
      <w:szCs w:val="24"/>
      <w:lang w:val="en-US" w:eastAsia="zh-CN" w:bidi="ar-SA"/>
    </w:rPr>
  </w:style>
  <w:style w:type="paragraph" w:customStyle="1" w:styleId="11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9">
    <w:name w:val="普通(网站)1"/>
    <w:basedOn w:val="104"/>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Normal_1"/>
    <w:qFormat/>
    <w:uiPriority w:val="0"/>
    <w:rPr>
      <w:rFonts w:ascii="黑体" w:hAnsi="黑体" w:eastAsia="黑体" w:cs="Times New Roman"/>
      <w:b/>
      <w:sz w:val="32"/>
      <w:szCs w:val="24"/>
      <w:lang w:val="en-US" w:eastAsia="zh-CN" w:bidi="ar-SA"/>
    </w:rPr>
  </w:style>
  <w:style w:type="paragraph" w:customStyle="1" w:styleId="121">
    <w:name w:val="修订1"/>
    <w:semiHidden/>
    <w:qFormat/>
    <w:uiPriority w:val="99"/>
    <w:rPr>
      <w:rFonts w:ascii="Calibri" w:hAnsi="Calibri" w:eastAsia="宋体" w:cs="Times New Roman"/>
      <w:kern w:val="2"/>
      <w:sz w:val="21"/>
      <w:szCs w:val="22"/>
      <w:lang w:val="en-US" w:eastAsia="zh-CN" w:bidi="ar-SA"/>
    </w:rPr>
  </w:style>
  <w:style w:type="paragraph" w:customStyle="1" w:styleId="122">
    <w:name w:val="Normal_19"/>
    <w:qFormat/>
    <w:uiPriority w:val="0"/>
    <w:rPr>
      <w:rFonts w:ascii="黑体" w:hAnsi="黑体" w:eastAsia="黑体" w:cs="Times New Roman"/>
      <w:b/>
      <w:sz w:val="32"/>
      <w:szCs w:val="24"/>
      <w:lang w:val="en-US" w:eastAsia="zh-CN" w:bidi="ar-SA"/>
    </w:rPr>
  </w:style>
  <w:style w:type="paragraph" w:customStyle="1" w:styleId="123">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2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Normal_0"/>
    <w:basedOn w:val="102"/>
    <w:qFormat/>
    <w:uiPriority w:val="0"/>
    <w:rPr>
      <w:rFonts w:eastAsia="Times New Roman"/>
      <w:sz w:val="24"/>
      <w:szCs w:val="24"/>
    </w:rPr>
  </w:style>
  <w:style w:type="paragraph" w:customStyle="1" w:styleId="126">
    <w:name w:val="正文_0_1"/>
    <w:basedOn w:val="127"/>
    <w:qFormat/>
    <w:uiPriority w:val="0"/>
    <w:rPr>
      <w:rFonts w:ascii="Calibri" w:hAnsi="Calibri" w:cs="宋体"/>
      <w:szCs w:val="21"/>
    </w:rPr>
  </w:style>
  <w:style w:type="paragraph" w:customStyle="1" w:styleId="12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正文缩进_0"/>
    <w:basedOn w:val="106"/>
    <w:unhideWhenUsed/>
    <w:qFormat/>
    <w:uiPriority w:val="0"/>
    <w:pPr>
      <w:ind w:firstLine="420" w:firstLineChars="200"/>
    </w:pPr>
  </w:style>
  <w:style w:type="paragraph" w:customStyle="1" w:styleId="130">
    <w:name w:val="正文_2"/>
    <w:basedOn w:val="127"/>
    <w:qFormat/>
    <w:uiPriority w:val="0"/>
    <w:rPr>
      <w:szCs w:val="21"/>
    </w:rPr>
  </w:style>
  <w:style w:type="paragraph" w:customStyle="1" w:styleId="131">
    <w:name w:val="Normal_10"/>
    <w:qFormat/>
    <w:uiPriority w:val="0"/>
    <w:rPr>
      <w:rFonts w:ascii="黑体" w:hAnsi="黑体" w:eastAsia="黑体" w:cs="Times New Roman"/>
      <w:b/>
      <w:sz w:val="32"/>
      <w:szCs w:val="24"/>
      <w:lang w:val="en-US" w:eastAsia="zh-CN" w:bidi="ar-SA"/>
    </w:rPr>
  </w:style>
  <w:style w:type="paragraph" w:customStyle="1" w:styleId="132">
    <w:name w:val="Normal_4"/>
    <w:qFormat/>
    <w:uiPriority w:val="0"/>
    <w:rPr>
      <w:rFonts w:ascii="黑体" w:hAnsi="黑体" w:eastAsia="黑体" w:cs="Times New Roman"/>
      <w:b/>
      <w:sz w:val="32"/>
      <w:szCs w:val="24"/>
      <w:lang w:val="en-US" w:eastAsia="zh-CN" w:bidi="ar-SA"/>
    </w:rPr>
  </w:style>
  <w:style w:type="paragraph" w:customStyle="1" w:styleId="133">
    <w:name w:val="Normal_3"/>
    <w:qFormat/>
    <w:uiPriority w:val="0"/>
    <w:rPr>
      <w:rFonts w:ascii="黑体" w:hAnsi="黑体" w:eastAsia="黑体" w:cs="Times New Roman"/>
      <w:b/>
      <w:sz w:val="32"/>
      <w:szCs w:val="24"/>
      <w:lang w:val="en-US" w:eastAsia="zh-CN" w:bidi="ar-SA"/>
    </w:rPr>
  </w:style>
  <w:style w:type="paragraph" w:customStyle="1" w:styleId="134">
    <w:name w:val="Normal_12"/>
    <w:qFormat/>
    <w:uiPriority w:val="0"/>
    <w:rPr>
      <w:rFonts w:ascii="黑体" w:hAnsi="黑体" w:eastAsia="黑体" w:cs="Times New Roman"/>
      <w:b/>
      <w:sz w:val="32"/>
      <w:szCs w:val="24"/>
      <w:lang w:val="en-US" w:eastAsia="zh-CN" w:bidi="ar-SA"/>
    </w:rPr>
  </w:style>
  <w:style w:type="paragraph" w:customStyle="1" w:styleId="13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Normal_8"/>
    <w:qFormat/>
    <w:uiPriority w:val="0"/>
    <w:rPr>
      <w:rFonts w:ascii="黑体" w:hAnsi="黑体" w:eastAsia="黑体" w:cs="Times New Roman"/>
      <w:b/>
      <w:sz w:val="32"/>
      <w:szCs w:val="24"/>
      <w:lang w:val="en-US" w:eastAsia="zh-CN" w:bidi="ar-SA"/>
    </w:rPr>
  </w:style>
  <w:style w:type="paragraph" w:customStyle="1" w:styleId="1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2_0_0_0"/>
    <w:basedOn w:val="112"/>
    <w:qFormat/>
    <w:uiPriority w:val="0"/>
  </w:style>
  <w:style w:type="paragraph" w:customStyle="1" w:styleId="140">
    <w:name w:val="Normal_20"/>
    <w:qFormat/>
    <w:uiPriority w:val="0"/>
    <w:rPr>
      <w:rFonts w:ascii="黑体" w:hAnsi="黑体" w:eastAsia="黑体" w:cs="Times New Roman"/>
      <w:b/>
      <w:sz w:val="32"/>
      <w:szCs w:val="24"/>
      <w:lang w:val="en-US" w:eastAsia="zh-CN" w:bidi="ar-SA"/>
    </w:rPr>
  </w:style>
  <w:style w:type="paragraph" w:customStyle="1" w:styleId="141">
    <w:name w:val="普通(网站)_0"/>
    <w:basedOn w:val="126"/>
    <w:qFormat/>
    <w:uiPriority w:val="0"/>
    <w:pPr>
      <w:widowControl/>
      <w:spacing w:before="100" w:beforeAutospacing="1" w:after="100" w:afterAutospacing="1"/>
      <w:jc w:val="left"/>
    </w:pPr>
    <w:rPr>
      <w:rFonts w:ascii="宋体" w:hAnsi="宋体"/>
      <w:kern w:val="0"/>
      <w:sz w:val="24"/>
      <w:szCs w:val="24"/>
    </w:rPr>
  </w:style>
  <w:style w:type="paragraph" w:customStyle="1" w:styleId="142">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3">
    <w:name w:val="Normal_21"/>
    <w:qFormat/>
    <w:uiPriority w:val="0"/>
    <w:rPr>
      <w:rFonts w:ascii="黑体" w:hAnsi="黑体" w:eastAsia="黑体" w:cs="Times New Roman"/>
      <w:b/>
      <w:sz w:val="32"/>
      <w:szCs w:val="24"/>
      <w:lang w:val="en-US" w:eastAsia="zh-CN" w:bidi="ar-SA"/>
    </w:rPr>
  </w:style>
  <w:style w:type="paragraph" w:customStyle="1" w:styleId="144">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45">
    <w:name w:val="Normal_13"/>
    <w:qFormat/>
    <w:uiPriority w:val="0"/>
    <w:rPr>
      <w:rFonts w:ascii="黑体" w:hAnsi="黑体" w:eastAsia="黑体" w:cs="Times New Roman"/>
      <w:b/>
      <w:sz w:val="32"/>
      <w:szCs w:val="24"/>
      <w:lang w:val="en-US" w:eastAsia="zh-CN" w:bidi="ar-SA"/>
    </w:rPr>
  </w:style>
  <w:style w:type="paragraph" w:customStyle="1" w:styleId="146">
    <w:name w:val="Normal_5"/>
    <w:qFormat/>
    <w:uiPriority w:val="0"/>
    <w:rPr>
      <w:rFonts w:ascii="黑体" w:hAnsi="黑体" w:eastAsia="黑体" w:cs="Times New Roman"/>
      <w:b/>
      <w:sz w:val="32"/>
      <w:szCs w:val="24"/>
      <w:lang w:val="en-US" w:eastAsia="zh-CN" w:bidi="ar-SA"/>
    </w:rPr>
  </w:style>
  <w:style w:type="paragraph" w:customStyle="1" w:styleId="14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Normal_18"/>
    <w:qFormat/>
    <w:uiPriority w:val="0"/>
    <w:rPr>
      <w:rFonts w:ascii="黑体" w:hAnsi="黑体" w:eastAsia="黑体" w:cs="Times New Roman"/>
      <w:b/>
      <w:sz w:val="32"/>
      <w:szCs w:val="24"/>
      <w:lang w:val="en-US" w:eastAsia="zh-CN" w:bidi="ar-SA"/>
    </w:rPr>
  </w:style>
  <w:style w:type="paragraph" w:customStyle="1" w:styleId="150">
    <w:name w:val="Normal_6"/>
    <w:qFormat/>
    <w:uiPriority w:val="0"/>
    <w:rPr>
      <w:rFonts w:ascii="黑体" w:hAnsi="黑体" w:eastAsia="黑体" w:cs="Times New Roman"/>
      <w:b/>
      <w:sz w:val="32"/>
      <w:szCs w:val="24"/>
      <w:lang w:val="en-US" w:eastAsia="zh-CN" w:bidi="ar-SA"/>
    </w:rPr>
  </w:style>
  <w:style w:type="paragraph" w:customStyle="1" w:styleId="151">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Normal_0_0"/>
    <w:qFormat/>
    <w:uiPriority w:val="0"/>
    <w:rPr>
      <w:rFonts w:ascii="黑体" w:hAnsi="黑体" w:eastAsia="黑体" w:cs="Times New Roman"/>
      <w:b/>
      <w:sz w:val="32"/>
      <w:szCs w:val="24"/>
      <w:lang w:val="en-US" w:eastAsia="zh-CN" w:bidi="ar-SA"/>
    </w:rPr>
  </w:style>
  <w:style w:type="paragraph" w:customStyle="1" w:styleId="153">
    <w:name w:val="正文文本_0"/>
    <w:basedOn w:val="106"/>
    <w:unhideWhenUsed/>
    <w:qFormat/>
    <w:uiPriority w:val="0"/>
    <w:pPr>
      <w:spacing w:after="120"/>
    </w:pPr>
  </w:style>
  <w:style w:type="paragraph" w:customStyle="1" w:styleId="154">
    <w:name w:val="正文_5"/>
    <w:basedOn w:val="155"/>
    <w:next w:val="1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_6"/>
    <w:next w:val="1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列表_1"/>
    <w:basedOn w:val="155"/>
    <w:semiHidden/>
    <w:qFormat/>
    <w:uiPriority w:val="0"/>
    <w:pPr>
      <w:ind w:left="200" w:hanging="200" w:hangingChars="200"/>
    </w:pPr>
  </w:style>
  <w:style w:type="paragraph" w:customStyle="1" w:styleId="157">
    <w:name w:val="段_0"/>
    <w:next w:val="154"/>
    <w:qFormat/>
    <w:uiPriority w:val="0"/>
    <w:pPr>
      <w:autoSpaceDE w:val="0"/>
      <w:autoSpaceDN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58">
    <w:name w:val="列出段落1"/>
    <w:basedOn w:val="1"/>
    <w:qFormat/>
    <w:uiPriority w:val="34"/>
    <w:pPr>
      <w:ind w:firstLine="420" w:firstLineChars="200"/>
    </w:pPr>
  </w:style>
  <w:style w:type="paragraph" w:customStyle="1" w:styleId="15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2"/>
    <w:qFormat/>
    <w:uiPriority w:val="0"/>
    <w:rPr>
      <w:rFonts w:ascii="黑体" w:hAnsi="黑体" w:eastAsia="黑体" w:cs="Times New Roman"/>
      <w:b/>
      <w:sz w:val="32"/>
      <w:szCs w:val="24"/>
      <w:lang w:val="en-US" w:eastAsia="zh-CN" w:bidi="ar-SA"/>
    </w:rPr>
  </w:style>
  <w:style w:type="paragraph" w:customStyle="1" w:styleId="161">
    <w:name w:val="Normal_22"/>
    <w:qFormat/>
    <w:uiPriority w:val="0"/>
    <w:rPr>
      <w:rFonts w:ascii="黑体" w:hAnsi="黑体" w:eastAsia="黑体" w:cs="Times New Roman"/>
      <w:b/>
      <w:sz w:val="32"/>
      <w:szCs w:val="24"/>
      <w:lang w:val="en-US" w:eastAsia="zh-CN" w:bidi="ar-SA"/>
    </w:rPr>
  </w:style>
  <w:style w:type="paragraph" w:customStyle="1" w:styleId="162">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Normal_15"/>
    <w:qFormat/>
    <w:uiPriority w:val="0"/>
    <w:rPr>
      <w:rFonts w:ascii="黑体" w:hAnsi="黑体" w:eastAsia="黑体" w:cs="Times New Roman"/>
      <w:b/>
      <w:sz w:val="32"/>
      <w:szCs w:val="24"/>
      <w:lang w:val="en-US" w:eastAsia="zh-CN" w:bidi="ar-SA"/>
    </w:rPr>
  </w:style>
  <w:style w:type="paragraph" w:customStyle="1" w:styleId="164">
    <w:name w:val="Normal_17"/>
    <w:qFormat/>
    <w:uiPriority w:val="0"/>
    <w:rPr>
      <w:rFonts w:ascii="黑体" w:hAnsi="黑体" w:eastAsia="黑体" w:cs="Times New Roman"/>
      <w:b/>
      <w:sz w:val="32"/>
      <w:szCs w:val="24"/>
      <w:lang w:val="en-US" w:eastAsia="zh-CN" w:bidi="ar-SA"/>
    </w:rPr>
  </w:style>
  <w:style w:type="character" w:customStyle="1" w:styleId="165">
    <w:name w:val="font01"/>
    <w:basedOn w:val="35"/>
    <w:qFormat/>
    <w:uiPriority w:val="0"/>
    <w:rPr>
      <w:rFonts w:hint="eastAsia" w:ascii="宋体" w:hAnsi="宋体" w:eastAsia="宋体" w:cs="宋体"/>
      <w:color w:val="000000"/>
      <w:sz w:val="18"/>
      <w:szCs w:val="18"/>
      <w:u w:val="none"/>
    </w:rPr>
  </w:style>
  <w:style w:type="character" w:customStyle="1" w:styleId="166">
    <w:name w:val="font31"/>
    <w:basedOn w:val="35"/>
    <w:qFormat/>
    <w:uiPriority w:val="0"/>
    <w:rPr>
      <w:rFonts w:hint="eastAsia" w:ascii="仿宋_GB2312" w:eastAsia="仿宋_GB2312" w:cs="仿宋_GB2312"/>
      <w:color w:val="000000"/>
      <w:sz w:val="18"/>
      <w:szCs w:val="18"/>
      <w:u w:val="none"/>
    </w:rPr>
  </w:style>
  <w:style w:type="paragraph" w:customStyle="1" w:styleId="16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68">
    <w:name w:val="正文_1_0_0_0"/>
    <w:basedOn w:val="98"/>
    <w:qFormat/>
    <w:uiPriority w:val="0"/>
    <w:rPr>
      <w:szCs w:val="21"/>
    </w:rPr>
  </w:style>
  <w:style w:type="paragraph" w:customStyle="1" w:styleId="169">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文本_0_0"/>
    <w:basedOn w:val="169"/>
    <w:qFormat/>
    <w:uiPriority w:val="0"/>
    <w:pPr>
      <w:spacing w:after="120"/>
    </w:pPr>
    <w:rPr>
      <w:kern w:val="0"/>
      <w:sz w:val="20"/>
    </w:rPr>
  </w:style>
  <w:style w:type="paragraph" w:customStyle="1" w:styleId="171">
    <w:name w:val="C503-正文格式"/>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72">
    <w:name w:val="普通正文"/>
    <w:basedOn w:val="1"/>
    <w:qFormat/>
    <w:uiPriority w:val="0"/>
    <w:pPr>
      <w:spacing w:line="360" w:lineRule="auto"/>
      <w:ind w:firstLine="200" w:firstLineChars="200"/>
    </w:pPr>
    <w:rPr>
      <w:rFonts w:ascii="宋体" w:hAnsi="宋体" w:cs="宋体"/>
      <w:sz w:val="24"/>
    </w:rPr>
  </w:style>
  <w:style w:type="paragraph" w:customStyle="1" w:styleId="173">
    <w:name w:val="报告正文"/>
    <w:basedOn w:val="1"/>
    <w:qFormat/>
    <w:uiPriority w:val="0"/>
    <w:pPr>
      <w:spacing w:line="360" w:lineRule="auto"/>
      <w:ind w:firstLine="200" w:firstLineChars="200"/>
    </w:pPr>
    <w:rPr>
      <w:rFonts w:ascii="Times New Roman" w:hAnsi="Times New Roman"/>
      <w:sz w:val="24"/>
    </w:rPr>
  </w:style>
  <w:style w:type="paragraph" w:customStyle="1" w:styleId="174">
    <w:name w:val="列表段落1"/>
    <w:basedOn w:val="1"/>
    <w:qFormat/>
    <w:uiPriority w:val="34"/>
    <w:pPr>
      <w:widowControl/>
      <w:ind w:firstLine="420" w:firstLineChars="200"/>
      <w:jc w:val="left"/>
    </w:pPr>
    <w:rPr>
      <w:rFonts w:ascii="宋体" w:hAnsi="宋体" w:cs="宋体"/>
      <w:kern w:val="0"/>
      <w:sz w:val="24"/>
    </w:rPr>
  </w:style>
  <w:style w:type="paragraph" w:customStyle="1" w:styleId="175">
    <w:name w:val="首行缩进"/>
    <w:basedOn w:val="1"/>
    <w:qFormat/>
    <w:uiPriority w:val="0"/>
    <w:pPr>
      <w:ind w:firstLine="480" w:firstLineChars="200"/>
    </w:pPr>
    <w:rPr>
      <w:lang w:val="zh-CN"/>
    </w:rPr>
  </w:style>
  <w:style w:type="character" w:customStyle="1" w:styleId="176">
    <w:name w:val="font51"/>
    <w:basedOn w:val="35"/>
    <w:qFormat/>
    <w:uiPriority w:val="0"/>
    <w:rPr>
      <w:rFonts w:hint="default" w:ascii="Times New Roman" w:hAnsi="Times New Roman" w:cs="Times New Roman"/>
      <w:color w:val="000000"/>
      <w:sz w:val="22"/>
      <w:szCs w:val="22"/>
      <w:u w:val="none"/>
    </w:rPr>
  </w:style>
  <w:style w:type="paragraph" w:customStyle="1" w:styleId="177">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178">
    <w:name w:val="Other|1"/>
    <w:basedOn w:val="1"/>
    <w:qFormat/>
    <w:uiPriority w:val="0"/>
    <w:pPr>
      <w:spacing w:line="286" w:lineRule="auto"/>
      <w:ind w:firstLine="400"/>
      <w:jc w:val="left"/>
    </w:pPr>
    <w:rPr>
      <w:rFonts w:ascii="宋体" w:hAnsi="宋体" w:cs="宋体"/>
      <w:color w:val="000000"/>
      <w:sz w:val="20"/>
      <w:szCs w:val="20"/>
      <w:lang w:val="zh-TW" w:eastAsia="zh-TW" w:bidi="zh-TW"/>
    </w:rPr>
  </w:style>
  <w:style w:type="paragraph" w:customStyle="1" w:styleId="179">
    <w:name w:val="Table Text"/>
    <w:basedOn w:val="1"/>
    <w:semiHidden/>
    <w:qFormat/>
    <w:uiPriority w:val="0"/>
    <w:rPr>
      <w:rFonts w:ascii="仿宋" w:hAnsi="仿宋" w:eastAsia="仿宋" w:cs="仿宋"/>
      <w:sz w:val="24"/>
      <w:szCs w:val="24"/>
      <w:lang w:val="en-US" w:eastAsia="en-US" w:bidi="ar-SA"/>
    </w:rPr>
  </w:style>
  <w:style w:type="table" w:customStyle="1" w:styleId="18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22676</Words>
  <Characters>24449</Characters>
  <Lines>1</Lines>
  <Paragraphs>1</Paragraphs>
  <TotalTime>49</TotalTime>
  <ScaleCrop>false</ScaleCrop>
  <LinksUpToDate>false</LinksUpToDate>
  <CharactersWithSpaces>25839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2021-10-18T04:34:00Z</dcterms:created>
  <dc:creator>微软用户</dc:creator>
  <cp:lastModifiedBy>Administrator</cp:lastModifiedBy>
  <cp:lastPrinted>2022-09-19T10:17:00Z</cp:lastPrinted>
  <dcterms:modified xsi:type="dcterms:W3CDTF">2025-06-23T10:13:48Z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159444013FCC4441862F05609DFEAF82_13</vt:lpwstr>
  </property>
  <property fmtid="{D5CDD505-2E9C-101B-9397-08002B2CF9AE}" pid="4" name="KSOTemplateDocerSaveRecord">
    <vt:lpwstr>eyJoZGlkIjoiYjlmZTZmNDljMWU0MWIwMzFiZDE4ZDE3MDhhN2MxZWIifQ==</vt:lpwstr>
  </property>
</Properties>
</file>