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hint="eastAsia" w:ascii="宋体" w:hAnsi="宋体" w:eastAsia="宋体" w:cs="宋体"/>
          <w:b/>
          <w:color w:val="auto"/>
          <w:kern w:val="44"/>
          <w:sz w:val="40"/>
          <w:szCs w:val="22"/>
          <w:highlight w:val="none"/>
          <w:lang w:eastAsia="zh-CN"/>
        </w:rPr>
      </w:pPr>
      <w:bookmarkStart w:id="0" w:name="_Toc22083"/>
      <w:bookmarkStart w:id="1" w:name="_Toc13297"/>
      <w:bookmarkStart w:id="2" w:name="_Toc16093"/>
      <w:bookmarkStart w:id="3" w:name="_Toc31636"/>
      <w:bookmarkStart w:id="4" w:name="_Toc11880"/>
      <w:bookmarkStart w:id="5" w:name="_Toc29241"/>
      <w:bookmarkStart w:id="6" w:name="_Toc31645"/>
      <w:bookmarkStart w:id="7" w:name="_Toc3501"/>
      <w:bookmarkStart w:id="8" w:name="_Toc12442"/>
      <w:bookmarkStart w:id="9" w:name="_Toc4177"/>
      <w:bookmarkStart w:id="10" w:name="_Toc1934"/>
      <w:bookmarkStart w:id="11" w:name="_Toc13057"/>
      <w:bookmarkStart w:id="12" w:name="_Toc17321"/>
      <w:bookmarkStart w:id="13" w:name="_Toc27286"/>
      <w:bookmarkStart w:id="14" w:name="_Toc32647"/>
      <w:bookmarkStart w:id="15" w:name="_Toc507399907"/>
      <w:bookmarkStart w:id="16" w:name="_Toc216582826"/>
      <w:bookmarkStart w:id="17" w:name="_Toc219175639"/>
      <w:bookmarkStart w:id="18" w:name="_Toc515647832"/>
      <w:bookmarkStart w:id="19" w:name="_Toc7971"/>
      <w:bookmarkStart w:id="20" w:name="_Toc218935355"/>
    </w:p>
    <w:p>
      <w:pPr>
        <w:pStyle w:val="4"/>
        <w:ind w:left="0" w:leftChars="0" w:firstLine="0" w:firstLineChars="0"/>
        <w:jc w:val="center"/>
        <w:rPr>
          <w:rFonts w:hint="eastAsia" w:ascii="宋体" w:hAnsi="宋体" w:eastAsia="宋体" w:cs="宋体"/>
          <w:b/>
          <w:bCs w:val="0"/>
          <w:color w:val="auto"/>
          <w:kern w:val="44"/>
          <w:sz w:val="32"/>
          <w:szCs w:val="20"/>
          <w:highlight w:val="none"/>
          <w:u w:val="none"/>
          <w:lang w:eastAsia="zh-CN"/>
        </w:rPr>
      </w:pPr>
      <w:r>
        <w:rPr>
          <w:rFonts w:hint="eastAsia" w:hAnsi="宋体" w:cs="宋体"/>
          <w:b/>
          <w:bCs/>
          <w:sz w:val="44"/>
          <w:szCs w:val="44"/>
          <w:highlight w:val="none"/>
          <w:lang w:val="en-US" w:eastAsia="zh-CN"/>
        </w:rPr>
        <w:t>泽普县中小学及幼儿园2023-2024学年食堂食材采购项目（二次）</w:t>
      </w:r>
    </w:p>
    <w:p>
      <w:pPr>
        <w:rPr>
          <w:rFonts w:hint="eastAsia" w:ascii="宋体" w:hAnsi="宋体" w:eastAsia="宋体" w:cs="宋体"/>
          <w:color w:val="auto"/>
          <w:highlight w:val="none"/>
          <w:lang w:eastAsia="zh-CN"/>
        </w:rPr>
      </w:pPr>
    </w:p>
    <w:p>
      <w:pPr>
        <w:pStyle w:val="4"/>
        <w:ind w:firstLine="2800" w:firstLineChars="1000"/>
        <w:rPr>
          <w:rFonts w:hint="default" w:ascii="宋体" w:hAnsi="宋体" w:eastAsia="宋体" w:cs="宋体"/>
          <w:b/>
          <w:bCs/>
          <w:color w:val="auto"/>
          <w:sz w:val="28"/>
          <w:szCs w:val="28"/>
          <w:highlight w:val="none"/>
          <w:lang w:val="en-US" w:eastAsia="zh-CN"/>
        </w:rPr>
      </w:pPr>
      <w:r>
        <w:rPr>
          <w:rFonts w:hint="eastAsia" w:hAnsi="宋体" w:cs="宋体"/>
          <w:b/>
          <w:bCs/>
          <w:color w:val="auto"/>
          <w:sz w:val="28"/>
          <w:szCs w:val="28"/>
          <w:highlight w:val="none"/>
          <w:lang w:eastAsia="zh-CN"/>
        </w:rPr>
        <w:t>（</w:t>
      </w:r>
      <w:r>
        <w:rPr>
          <w:rFonts w:hint="eastAsia" w:hAnsi="宋体" w:cs="宋体"/>
          <w:b/>
          <w:bCs/>
          <w:color w:val="auto"/>
          <w:sz w:val="28"/>
          <w:szCs w:val="28"/>
          <w:highlight w:val="none"/>
          <w:lang w:val="en-US" w:eastAsia="zh-CN"/>
        </w:rPr>
        <w:t>标项一、标项二）</w:t>
      </w:r>
    </w:p>
    <w:p>
      <w:pPr>
        <w:pStyle w:val="5"/>
        <w:rPr>
          <w:rFonts w:hint="eastAsia"/>
          <w:highlight w:val="none"/>
          <w:lang w:eastAsia="zh-CN"/>
        </w:rPr>
      </w:pPr>
    </w:p>
    <w:p>
      <w:pPr>
        <w:spacing w:line="240" w:lineRule="atLeast"/>
        <w:jc w:val="center"/>
        <w:rPr>
          <w:rFonts w:hint="eastAsia" w:ascii="宋体" w:hAnsi="宋体" w:eastAsia="宋体" w:cs="宋体"/>
          <w:b/>
          <w:bCs w:val="0"/>
          <w:color w:val="auto"/>
          <w:sz w:val="48"/>
          <w:szCs w:val="48"/>
          <w:highlight w:val="none"/>
        </w:rPr>
      </w:pPr>
      <w:r>
        <w:rPr>
          <w:rFonts w:hint="eastAsia" w:ascii="宋体" w:hAnsi="宋体" w:eastAsia="宋体" w:cs="宋体"/>
          <w:b/>
          <w:bCs w:val="0"/>
          <w:color w:val="auto"/>
          <w:sz w:val="48"/>
          <w:szCs w:val="48"/>
          <w:highlight w:val="none"/>
        </w:rPr>
        <w:t>招 标 文 件</w:t>
      </w:r>
    </w:p>
    <w:p>
      <w:pPr>
        <w:outlineLvl w:val="9"/>
        <w:rPr>
          <w:rFonts w:hint="eastAsia" w:ascii="宋体" w:hAnsi="宋体" w:eastAsia="宋体" w:cs="宋体"/>
          <w:highlight w:val="none"/>
        </w:rPr>
      </w:pPr>
    </w:p>
    <w:p>
      <w:pPr>
        <w:outlineLvl w:val="9"/>
        <w:rPr>
          <w:rFonts w:hint="eastAsia" w:ascii="宋体" w:hAnsi="宋体" w:eastAsia="宋体" w:cs="宋体"/>
          <w:highlight w:val="none"/>
        </w:rPr>
      </w:pPr>
    </w:p>
    <w:p>
      <w:pPr>
        <w:spacing w:line="360" w:lineRule="auto"/>
        <w:jc w:val="center"/>
        <w:rPr>
          <w:rFonts w:hint="default" w:ascii="宋体" w:hAnsi="宋体" w:eastAsia="宋体" w:cs="宋体"/>
          <w:b/>
          <w:color w:val="000000" w:themeColor="text1"/>
          <w:sz w:val="32"/>
          <w:highlight w:val="none"/>
          <w:lang w:val="en-US" w:eastAsia="zh-CN"/>
          <w14:textFill>
            <w14:solidFill>
              <w14:schemeClr w14:val="tx1"/>
            </w14:solidFill>
          </w14:textFill>
        </w:rPr>
      </w:pPr>
      <w:r>
        <w:rPr>
          <w:rFonts w:hint="eastAsia" w:ascii="宋体" w:hAnsi="宋体" w:eastAsia="宋体" w:cs="宋体"/>
          <w:b/>
          <w:color w:val="auto"/>
          <w:sz w:val="32"/>
          <w:highlight w:val="none"/>
        </w:rPr>
        <w:t>项目编号：</w:t>
      </w:r>
      <w:r>
        <w:rPr>
          <w:rFonts w:hint="eastAsia" w:ascii="宋体" w:hAnsi="宋体" w:cs="宋体"/>
          <w:b/>
          <w:color w:val="000000" w:themeColor="text1"/>
          <w:sz w:val="32"/>
          <w:highlight w:val="none"/>
          <w:lang w:eastAsia="zh-CN"/>
          <w14:textFill>
            <w14:solidFill>
              <w14:schemeClr w14:val="tx1"/>
            </w14:solidFill>
          </w14:textFill>
        </w:rPr>
        <w:t>ZPDL(2023)032-2</w:t>
      </w:r>
    </w:p>
    <w:p>
      <w:pPr>
        <w:spacing w:line="240" w:lineRule="atLeast"/>
        <w:jc w:val="center"/>
        <w:rPr>
          <w:rFonts w:hint="eastAsia" w:ascii="宋体" w:hAnsi="宋体" w:eastAsia="宋体" w:cs="宋体"/>
          <w:b/>
          <w:color w:val="auto"/>
          <w:sz w:val="32"/>
          <w:highlight w:val="none"/>
        </w:rPr>
      </w:pPr>
    </w:p>
    <w:p>
      <w:pPr>
        <w:outlineLvl w:val="9"/>
        <w:rPr>
          <w:rFonts w:hint="eastAsia"/>
          <w:highlight w:val="none"/>
        </w:rPr>
      </w:pPr>
    </w:p>
    <w:p>
      <w:pPr>
        <w:shd w:val="clear" w:color="auto" w:fill="auto"/>
        <w:spacing w:line="240" w:lineRule="atLeast"/>
        <w:ind w:firstLine="977" w:firstLineChars="349"/>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rPr>
        <w:t>采</w:t>
      </w: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rPr>
        <w:t>购</w:t>
      </w: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rPr>
        <w:t>人：</w:t>
      </w:r>
      <w:r>
        <w:rPr>
          <w:rFonts w:hint="eastAsia" w:ascii="宋体" w:hAnsi="宋体" w:eastAsia="宋体" w:cs="宋体"/>
          <w:b/>
          <w:bCs/>
          <w:color w:val="auto"/>
          <w:sz w:val="28"/>
          <w:szCs w:val="28"/>
          <w:highlight w:val="none"/>
          <w:u w:val="single"/>
          <w:lang w:val="en-US" w:eastAsia="zh-CN"/>
        </w:rPr>
        <w:t xml:space="preserve">    </w:t>
      </w:r>
      <w:r>
        <w:rPr>
          <w:rFonts w:hint="eastAsia" w:ascii="宋体" w:hAnsi="宋体" w:cs="宋体"/>
          <w:b/>
          <w:bCs/>
          <w:color w:val="auto"/>
          <w:sz w:val="28"/>
          <w:szCs w:val="28"/>
          <w:highlight w:val="none"/>
          <w:u w:val="single"/>
          <w:lang w:val="en-US" w:eastAsia="zh-CN"/>
        </w:rPr>
        <w:t xml:space="preserve">     泽普县教育局     </w:t>
      </w:r>
      <w:r>
        <w:rPr>
          <w:rFonts w:hint="eastAsia" w:ascii="宋体" w:hAnsi="宋体" w:eastAsia="宋体" w:cs="宋体"/>
          <w:b/>
          <w:bCs/>
          <w:color w:val="auto"/>
          <w:sz w:val="28"/>
          <w:szCs w:val="28"/>
          <w:highlight w:val="none"/>
          <w:u w:val="single"/>
          <w:lang w:val="en-US" w:eastAsia="zh-CN"/>
        </w:rPr>
        <w:t xml:space="preserve"> </w:t>
      </w:r>
      <w:r>
        <w:rPr>
          <w:rFonts w:hint="eastAsia" w:ascii="宋体" w:hAnsi="宋体" w:cs="宋体"/>
          <w:b/>
          <w:bCs/>
          <w:color w:val="auto"/>
          <w:sz w:val="28"/>
          <w:szCs w:val="28"/>
          <w:highlight w:val="none"/>
          <w:u w:val="single"/>
          <w:lang w:val="en-US" w:eastAsia="zh-CN"/>
        </w:rPr>
        <w:t xml:space="preserve">   </w:t>
      </w:r>
      <w:r>
        <w:rPr>
          <w:rFonts w:hint="eastAsia" w:ascii="宋体" w:hAnsi="宋体" w:eastAsia="宋体" w:cs="宋体"/>
          <w:b/>
          <w:bCs/>
          <w:color w:val="auto"/>
          <w:sz w:val="28"/>
          <w:szCs w:val="28"/>
          <w:highlight w:val="none"/>
          <w:u w:val="single"/>
          <w:lang w:val="en-US" w:eastAsia="zh-CN"/>
        </w:rPr>
        <w:t xml:space="preserve"> </w:t>
      </w:r>
    </w:p>
    <w:p>
      <w:pPr>
        <w:shd w:val="clear" w:color="auto" w:fill="auto"/>
        <w:ind w:firstLine="977" w:firstLineChars="349"/>
        <w:rPr>
          <w:rFonts w:hint="eastAsia" w:ascii="宋体" w:hAnsi="宋体" w:eastAsia="宋体" w:cs="宋体"/>
          <w:b/>
          <w:bCs/>
          <w:color w:val="auto"/>
          <w:sz w:val="28"/>
          <w:szCs w:val="28"/>
          <w:highlight w:val="none"/>
          <w:u w:val="single"/>
        </w:rPr>
      </w:pPr>
      <w:r>
        <w:rPr>
          <w:rFonts w:hint="eastAsia" w:ascii="宋体" w:hAnsi="宋体" w:eastAsia="宋体" w:cs="宋体"/>
          <w:b/>
          <w:bCs/>
          <w:color w:val="auto"/>
          <w:sz w:val="28"/>
          <w:szCs w:val="28"/>
          <w:highlight w:val="none"/>
        </w:rPr>
        <w:t>联</w:t>
      </w: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rPr>
        <w:t>系</w:t>
      </w: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rPr>
        <w:t>人：</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u w:val="single"/>
          <w:lang w:val="en-US" w:eastAsia="zh-CN"/>
        </w:rPr>
        <w:t xml:space="preserve"> </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u w:val="single"/>
          <w:lang w:val="en-US" w:eastAsia="zh-CN"/>
        </w:rPr>
        <w:t xml:space="preserve"> </w:t>
      </w:r>
      <w:r>
        <w:rPr>
          <w:rFonts w:hint="eastAsia" w:ascii="宋体" w:hAnsi="宋体" w:cs="宋体"/>
          <w:b/>
          <w:bCs/>
          <w:color w:val="auto"/>
          <w:sz w:val="28"/>
          <w:szCs w:val="28"/>
          <w:highlight w:val="none"/>
          <w:u w:val="single"/>
          <w:lang w:val="en-US" w:eastAsia="zh-CN"/>
        </w:rPr>
        <w:t xml:space="preserve"> </w:t>
      </w:r>
      <w:r>
        <w:rPr>
          <w:rFonts w:hint="eastAsia" w:ascii="宋体" w:hAnsi="宋体" w:eastAsia="宋体" w:cs="宋体"/>
          <w:b/>
          <w:bCs/>
          <w:color w:val="auto"/>
          <w:sz w:val="28"/>
          <w:szCs w:val="28"/>
          <w:highlight w:val="none"/>
          <w:u w:val="single"/>
          <w:lang w:val="en-US" w:eastAsia="zh-CN"/>
        </w:rPr>
        <w:t xml:space="preserve">    </w:t>
      </w:r>
      <w:r>
        <w:rPr>
          <w:rFonts w:hint="eastAsia" w:ascii="宋体" w:hAnsi="宋体" w:cs="宋体"/>
          <w:b/>
          <w:bCs/>
          <w:color w:val="auto"/>
          <w:sz w:val="28"/>
          <w:szCs w:val="28"/>
          <w:highlight w:val="none"/>
          <w:u w:val="single"/>
          <w:lang w:val="en-US" w:eastAsia="zh-CN"/>
        </w:rPr>
        <w:t>张俊华</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u w:val="single"/>
          <w:lang w:val="en-US" w:eastAsia="zh-CN"/>
        </w:rPr>
        <w:t xml:space="preserve">         </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rPr>
        <w:t xml:space="preserve">    </w:t>
      </w:r>
    </w:p>
    <w:p>
      <w:pPr>
        <w:shd w:val="clear" w:color="auto" w:fill="auto"/>
        <w:spacing w:line="360" w:lineRule="auto"/>
        <w:ind w:firstLine="977" w:firstLineChars="349"/>
        <w:rPr>
          <w:rFonts w:hint="eastAsia" w:ascii="宋体" w:hAnsi="宋体" w:eastAsia="宋体" w:cs="宋体"/>
          <w:b/>
          <w:bCs/>
          <w:color w:val="auto"/>
          <w:sz w:val="28"/>
          <w:szCs w:val="28"/>
          <w:highlight w:val="none"/>
          <w:u w:val="single"/>
        </w:rPr>
      </w:pPr>
      <w:r>
        <w:rPr>
          <w:rFonts w:hint="eastAsia" w:ascii="宋体" w:hAnsi="宋体" w:eastAsia="宋体" w:cs="宋体"/>
          <w:b/>
          <w:bCs/>
          <w:color w:val="auto"/>
          <w:sz w:val="28"/>
          <w:szCs w:val="28"/>
          <w:highlight w:val="none"/>
        </w:rPr>
        <w:t>联系电话：</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u w:val="single"/>
          <w:lang w:val="en-US" w:eastAsia="zh-CN"/>
        </w:rPr>
        <w:t xml:space="preserve">      </w:t>
      </w:r>
      <w:r>
        <w:rPr>
          <w:rFonts w:hint="eastAsia" w:ascii="宋体" w:hAnsi="宋体" w:cs="宋体"/>
          <w:b/>
          <w:bCs/>
          <w:color w:val="auto"/>
          <w:sz w:val="28"/>
          <w:szCs w:val="28"/>
          <w:highlight w:val="none"/>
          <w:u w:val="single"/>
          <w:lang w:val="en-US" w:eastAsia="zh-CN"/>
        </w:rPr>
        <w:t>16699115588</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u w:val="single"/>
          <w:lang w:val="en-US" w:eastAsia="zh-CN"/>
        </w:rPr>
        <w:t xml:space="preserve">       </w:t>
      </w:r>
      <w:bookmarkStart w:id="2889" w:name="_GoBack"/>
      <w:bookmarkEnd w:id="2889"/>
      <w:r>
        <w:rPr>
          <w:rFonts w:hint="eastAsia" w:ascii="宋体" w:hAnsi="宋体" w:eastAsia="宋体" w:cs="宋体"/>
          <w:b/>
          <w:bCs/>
          <w:color w:val="auto"/>
          <w:sz w:val="28"/>
          <w:szCs w:val="28"/>
          <w:highlight w:val="none"/>
          <w:u w:val="single"/>
          <w:lang w:val="en-US" w:eastAsia="zh-CN"/>
        </w:rPr>
        <w:t xml:space="preserve">  </w:t>
      </w:r>
    </w:p>
    <w:p>
      <w:pPr>
        <w:pStyle w:val="4"/>
        <w:shd w:val="clear" w:color="auto" w:fill="auto"/>
        <w:ind w:left="0" w:leftChars="0" w:firstLine="0" w:firstLineChars="0"/>
        <w:rPr>
          <w:rFonts w:hint="eastAsia" w:ascii="宋体" w:hAnsi="宋体" w:eastAsia="宋体" w:cs="宋体"/>
          <w:color w:val="auto"/>
          <w:sz w:val="28"/>
          <w:szCs w:val="28"/>
          <w:highlight w:val="none"/>
        </w:rPr>
      </w:pPr>
    </w:p>
    <w:p>
      <w:pPr>
        <w:shd w:val="clear" w:color="auto" w:fill="auto"/>
        <w:spacing w:line="240" w:lineRule="atLeast"/>
        <w:ind w:firstLine="977" w:firstLineChars="349"/>
        <w:jc w:val="left"/>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代理机构：</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u w:val="single"/>
          <w:lang w:val="en-US" w:eastAsia="zh-CN"/>
        </w:rPr>
        <w:t xml:space="preserve"> </w:t>
      </w:r>
      <w:r>
        <w:rPr>
          <w:rFonts w:hint="eastAsia" w:ascii="宋体" w:hAnsi="宋体" w:eastAsia="宋体" w:cs="宋体"/>
          <w:b/>
          <w:bCs/>
          <w:color w:val="auto"/>
          <w:sz w:val="28"/>
          <w:szCs w:val="28"/>
          <w:highlight w:val="none"/>
          <w:u w:val="single"/>
          <w:lang w:eastAsia="zh-CN"/>
        </w:rPr>
        <w:t>中经国际工程咨询集团有限公司</w:t>
      </w:r>
      <w:r>
        <w:rPr>
          <w:rFonts w:hint="eastAsia" w:ascii="宋体" w:hAnsi="宋体" w:cs="宋体"/>
          <w:b/>
          <w:bCs/>
          <w:color w:val="auto"/>
          <w:sz w:val="28"/>
          <w:szCs w:val="28"/>
          <w:highlight w:val="none"/>
          <w:u w:val="single"/>
          <w:lang w:val="en-US" w:eastAsia="zh-CN"/>
        </w:rPr>
        <w:t xml:space="preserve"> </w:t>
      </w:r>
      <w:r>
        <w:rPr>
          <w:rFonts w:hint="eastAsia" w:ascii="宋体" w:hAnsi="宋体" w:eastAsia="宋体" w:cs="宋体"/>
          <w:b/>
          <w:bCs/>
          <w:color w:val="auto"/>
          <w:sz w:val="28"/>
          <w:szCs w:val="28"/>
          <w:highlight w:val="none"/>
        </w:rPr>
        <w:t xml:space="preserve">  </w:t>
      </w:r>
    </w:p>
    <w:p>
      <w:pPr>
        <w:shd w:val="clear" w:color="auto" w:fill="auto"/>
        <w:spacing w:line="240" w:lineRule="atLeast"/>
        <w:ind w:firstLine="977" w:firstLineChars="349"/>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联</w:t>
      </w: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rPr>
        <w:t>系</w:t>
      </w: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rPr>
        <w:t>人：</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u w:val="single"/>
          <w:lang w:val="en-US" w:eastAsia="zh-CN"/>
        </w:rPr>
        <w:t xml:space="preserve">    </w:t>
      </w:r>
      <w:r>
        <w:rPr>
          <w:rFonts w:hint="eastAsia" w:ascii="宋体" w:hAnsi="宋体" w:eastAsia="宋体" w:cs="宋体"/>
          <w:b/>
          <w:bCs/>
          <w:color w:val="auto"/>
          <w:sz w:val="28"/>
          <w:szCs w:val="28"/>
          <w:highlight w:val="none"/>
          <w:u w:val="single"/>
        </w:rPr>
        <w:t xml:space="preserve"> </w:t>
      </w:r>
      <w:r>
        <w:rPr>
          <w:rFonts w:hint="eastAsia" w:ascii="宋体" w:hAnsi="宋体" w:cs="宋体"/>
          <w:b/>
          <w:bCs/>
          <w:color w:val="auto"/>
          <w:sz w:val="28"/>
          <w:szCs w:val="28"/>
          <w:highlight w:val="none"/>
          <w:u w:val="single"/>
          <w:lang w:val="en-US" w:eastAsia="zh-CN"/>
        </w:rPr>
        <w:t>黄海霞</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u w:val="single"/>
          <w:lang w:val="en-US" w:eastAsia="zh-CN"/>
        </w:rPr>
        <w:t xml:space="preserve"> </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u w:val="single"/>
          <w:lang w:val="en-US" w:eastAsia="zh-CN"/>
        </w:rPr>
        <w:t xml:space="preserve">   </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rPr>
        <w:t xml:space="preserve">       </w:t>
      </w:r>
    </w:p>
    <w:p>
      <w:pPr>
        <w:spacing w:line="240" w:lineRule="atLeast"/>
        <w:ind w:firstLine="977" w:firstLineChars="349"/>
        <w:rPr>
          <w:rFonts w:hint="eastAsia" w:ascii="宋体" w:hAnsi="宋体" w:eastAsia="宋体" w:cs="宋体"/>
          <w:b/>
          <w:color w:val="auto"/>
          <w:sz w:val="28"/>
          <w:szCs w:val="28"/>
          <w:highlight w:val="none"/>
        </w:rPr>
      </w:pPr>
      <w:r>
        <w:rPr>
          <w:rFonts w:hint="eastAsia" w:ascii="宋体" w:hAnsi="宋体" w:eastAsia="宋体" w:cs="宋体"/>
          <w:b/>
          <w:bCs/>
          <w:color w:val="auto"/>
          <w:sz w:val="28"/>
          <w:szCs w:val="28"/>
          <w:highlight w:val="none"/>
        </w:rPr>
        <w:t>联系电话：</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u w:val="single"/>
          <w:lang w:val="en-US" w:eastAsia="zh-CN"/>
        </w:rPr>
        <w:t xml:space="preserve">  </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u w:val="single"/>
          <w:lang w:val="en-US" w:eastAsia="zh-CN"/>
        </w:rPr>
        <w:t xml:space="preserve">  </w:t>
      </w:r>
      <w:r>
        <w:rPr>
          <w:rFonts w:hint="eastAsia" w:ascii="宋体" w:hAnsi="宋体" w:eastAsia="宋体" w:cs="宋体"/>
          <w:b/>
          <w:bCs/>
          <w:color w:val="auto"/>
          <w:sz w:val="28"/>
          <w:szCs w:val="28"/>
          <w:highlight w:val="none"/>
          <w:u w:val="single"/>
          <w:lang w:eastAsia="zh-CN"/>
        </w:rPr>
        <w:t>18099850003</w:t>
      </w:r>
      <w:r>
        <w:rPr>
          <w:rFonts w:hint="eastAsia" w:ascii="宋体" w:hAnsi="宋体" w:eastAsia="宋体" w:cs="宋体"/>
          <w:b/>
          <w:bCs/>
          <w:color w:val="auto"/>
          <w:sz w:val="28"/>
          <w:szCs w:val="28"/>
          <w:highlight w:val="none"/>
          <w:u w:val="single"/>
        </w:rPr>
        <w:t xml:space="preserve">  </w:t>
      </w:r>
      <w:r>
        <w:rPr>
          <w:rFonts w:hint="eastAsia" w:ascii="宋体" w:hAnsi="宋体" w:cs="宋体"/>
          <w:b/>
          <w:bCs/>
          <w:color w:val="auto"/>
          <w:sz w:val="28"/>
          <w:szCs w:val="28"/>
          <w:highlight w:val="none"/>
          <w:u w:val="single"/>
          <w:lang w:val="en-US" w:eastAsia="zh-CN"/>
        </w:rPr>
        <w:t xml:space="preserve"> </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u w:val="single"/>
          <w:lang w:val="en-US" w:eastAsia="zh-CN"/>
        </w:rPr>
        <w:t xml:space="preserve">     </w:t>
      </w:r>
      <w:r>
        <w:rPr>
          <w:rFonts w:hint="eastAsia" w:ascii="宋体" w:hAnsi="宋体" w:eastAsia="宋体" w:cs="宋体"/>
          <w:b/>
          <w:bCs/>
          <w:color w:val="auto"/>
          <w:sz w:val="28"/>
          <w:szCs w:val="28"/>
          <w:highlight w:val="none"/>
          <w:u w:val="single"/>
        </w:rPr>
        <w:t xml:space="preserve">  </w:t>
      </w:r>
    </w:p>
    <w:p>
      <w:pPr>
        <w:jc w:val="center"/>
        <w:rPr>
          <w:rFonts w:hint="eastAsia" w:ascii="宋体" w:hAnsi="宋体" w:eastAsia="宋体" w:cs="宋体"/>
          <w:b/>
          <w:bCs/>
          <w:color w:val="auto"/>
          <w:sz w:val="32"/>
          <w:szCs w:val="40"/>
          <w:highlight w:val="none"/>
        </w:rPr>
      </w:pPr>
    </w:p>
    <w:p>
      <w:pPr>
        <w:pStyle w:val="4"/>
        <w:rPr>
          <w:rFonts w:hint="eastAsia" w:ascii="宋体" w:hAnsi="宋体" w:eastAsia="宋体" w:cs="宋体"/>
          <w:highlight w:val="none"/>
        </w:rPr>
      </w:pPr>
    </w:p>
    <w:p>
      <w:pPr>
        <w:spacing w:line="240" w:lineRule="atLeast"/>
        <w:jc w:val="center"/>
        <w:rPr>
          <w:rFonts w:hint="eastAsia" w:ascii="宋体" w:hAnsi="宋体" w:eastAsia="宋体" w:cs="宋体"/>
          <w:b/>
          <w:color w:val="auto"/>
          <w:sz w:val="28"/>
          <w:szCs w:val="28"/>
          <w:highlight w:val="none"/>
          <w:lang w:val="en-US" w:eastAsia="zh-CN"/>
        </w:rPr>
        <w:sectPr>
          <w:headerReference r:id="rId3" w:type="default"/>
          <w:pgSz w:w="11906" w:h="16838"/>
          <w:pgMar w:top="1440" w:right="1797" w:bottom="1440" w:left="1797" w:header="851" w:footer="992" w:gutter="0"/>
          <w:pgBorders>
            <w:top w:val="none" w:sz="0" w:space="0"/>
            <w:left w:val="none" w:sz="0" w:space="0"/>
            <w:bottom w:val="none" w:sz="0" w:space="0"/>
            <w:right w:val="none" w:sz="0" w:space="0"/>
          </w:pgBorders>
          <w:pgNumType w:fmt="decimal" w:start="1"/>
          <w:cols w:space="720" w:num="1"/>
          <w:docGrid w:type="linesAndChars" w:linePitch="312" w:charSpace="0"/>
        </w:sectPr>
      </w:pPr>
      <w:r>
        <w:rPr>
          <w:rFonts w:hint="eastAsia" w:ascii="宋体" w:hAnsi="宋体" w:eastAsia="宋体" w:cs="宋体"/>
          <w:b/>
          <w:color w:val="auto"/>
          <w:sz w:val="28"/>
          <w:szCs w:val="28"/>
          <w:highlight w:val="none"/>
        </w:rPr>
        <w:t>日期：20</w:t>
      </w:r>
      <w:r>
        <w:rPr>
          <w:rFonts w:hint="eastAsia" w:ascii="宋体" w:hAnsi="宋体" w:eastAsia="宋体" w:cs="宋体"/>
          <w:b/>
          <w:color w:val="auto"/>
          <w:sz w:val="28"/>
          <w:szCs w:val="28"/>
          <w:highlight w:val="none"/>
          <w:lang w:val="en-US" w:eastAsia="zh-CN"/>
        </w:rPr>
        <w:t>23</w:t>
      </w:r>
      <w:r>
        <w:rPr>
          <w:rFonts w:hint="eastAsia" w:ascii="宋体" w:hAnsi="宋体" w:eastAsia="宋体" w:cs="宋体"/>
          <w:b/>
          <w:color w:val="auto"/>
          <w:sz w:val="28"/>
          <w:szCs w:val="28"/>
          <w:highlight w:val="none"/>
        </w:rPr>
        <w:t>年</w:t>
      </w:r>
      <w:r>
        <w:rPr>
          <w:rFonts w:hint="eastAsia" w:ascii="宋体" w:hAnsi="宋体" w:cs="宋体"/>
          <w:b/>
          <w:color w:val="auto"/>
          <w:sz w:val="28"/>
          <w:szCs w:val="28"/>
          <w:highlight w:val="none"/>
          <w:lang w:val="en-US" w:eastAsia="zh-CN"/>
        </w:rPr>
        <w:t>9</w:t>
      </w:r>
      <w:r>
        <w:rPr>
          <w:rFonts w:hint="eastAsia" w:ascii="宋体" w:hAnsi="宋体" w:eastAsia="宋体" w:cs="宋体"/>
          <w:b/>
          <w:color w:val="auto"/>
          <w:sz w:val="28"/>
          <w:szCs w:val="28"/>
          <w:highlight w:val="none"/>
          <w:lang w:val="en-US" w:eastAsia="zh-CN"/>
        </w:rPr>
        <w:t>月</w:t>
      </w:r>
    </w:p>
    <w:p>
      <w:pPr>
        <w:keepNext w:val="0"/>
        <w:keepLines w:val="0"/>
        <w:pageBreakBefore w:val="0"/>
        <w:widowControl w:val="0"/>
        <w:kinsoku/>
        <w:wordWrap/>
        <w:overflowPunct/>
        <w:topLinePunct w:val="0"/>
        <w:bidi w:val="0"/>
        <w:snapToGrid/>
        <w:spacing w:line="360" w:lineRule="exact"/>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目   录</w:t>
      </w:r>
    </w:p>
    <w:p>
      <w:pPr>
        <w:pStyle w:val="20"/>
        <w:tabs>
          <w:tab w:val="right" w:leader="dot" w:pos="8311"/>
        </w:tabs>
        <w:rPr>
          <w:rFonts w:hint="eastAsia" w:ascii="宋体" w:hAnsi="宋体" w:eastAsia="宋体" w:cs="宋体"/>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"1-3" \h \u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_Toc17619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rPr>
        <w:t>第1章</w:t>
      </w:r>
      <w:r>
        <w:rPr>
          <w:rFonts w:hint="eastAsia" w:ascii="宋体" w:hAnsi="宋体" w:eastAsia="宋体" w:cs="宋体"/>
          <w:bCs/>
          <w:sz w:val="24"/>
          <w:szCs w:val="24"/>
          <w:highlight w:val="none"/>
          <w:lang w:val="en-US" w:eastAsia="zh-CN"/>
        </w:rPr>
        <w:t xml:space="preserve">  </w:t>
      </w:r>
      <w:r>
        <w:rPr>
          <w:rFonts w:hint="eastAsia" w:ascii="宋体" w:hAnsi="宋体" w:eastAsia="宋体" w:cs="宋体"/>
          <w:bCs/>
          <w:sz w:val="24"/>
          <w:szCs w:val="24"/>
          <w:highlight w:val="none"/>
          <w:lang w:eastAsia="zh-CN"/>
        </w:rPr>
        <w:t>供应商</w:t>
      </w:r>
      <w:r>
        <w:rPr>
          <w:rFonts w:hint="eastAsia" w:ascii="宋体" w:hAnsi="宋体" w:eastAsia="宋体" w:cs="宋体"/>
          <w:bCs/>
          <w:sz w:val="24"/>
          <w:szCs w:val="24"/>
          <w:highlight w:val="none"/>
        </w:rPr>
        <w:t>须知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_Toc17619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color w:val="auto"/>
          <w:sz w:val="24"/>
          <w:szCs w:val="24"/>
          <w:highlight w:val="none"/>
        </w:rPr>
        <w:fldChar w:fldCharType="end"/>
      </w:r>
    </w:p>
    <w:p>
      <w:pPr>
        <w:pStyle w:val="23"/>
        <w:tabs>
          <w:tab w:val="right" w:leader="dot" w:pos="8311"/>
        </w:tabs>
        <w:rPr>
          <w:rFonts w:hint="eastAsia" w:ascii="宋体" w:hAnsi="宋体" w:eastAsia="宋体" w:cs="宋体"/>
          <w:sz w:val="24"/>
          <w:szCs w:val="24"/>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kern w:val="2"/>
          <w:sz w:val="24"/>
          <w:szCs w:val="24"/>
          <w:highlight w:val="none"/>
        </w:rPr>
        <w:instrText xml:space="preserve"> HYPERLINK \l _Toc7996 </w:instrText>
      </w:r>
      <w:r>
        <w:rPr>
          <w:rFonts w:hint="eastAsia" w:ascii="宋体" w:hAnsi="宋体" w:eastAsia="宋体" w:cs="宋体"/>
          <w:kern w:val="2"/>
          <w:sz w:val="24"/>
          <w:szCs w:val="24"/>
          <w:highlight w:val="none"/>
        </w:rPr>
        <w:fldChar w:fldCharType="separate"/>
      </w:r>
      <w:r>
        <w:rPr>
          <w:rFonts w:hint="eastAsia" w:ascii="宋体" w:hAnsi="宋体" w:eastAsia="宋体" w:cs="宋体"/>
          <w:sz w:val="24"/>
          <w:szCs w:val="24"/>
          <w:highlight w:val="none"/>
        </w:rPr>
        <w:t>一   总 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_Toc7996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color w:val="auto"/>
          <w:kern w:val="2"/>
          <w:sz w:val="24"/>
          <w:szCs w:val="24"/>
          <w:highlight w:val="none"/>
        </w:rPr>
        <w:fldChar w:fldCharType="end"/>
      </w:r>
    </w:p>
    <w:p>
      <w:pPr>
        <w:pStyle w:val="23"/>
        <w:tabs>
          <w:tab w:val="right" w:leader="dot" w:pos="8311"/>
        </w:tabs>
        <w:rPr>
          <w:rFonts w:hint="eastAsia" w:ascii="宋体" w:hAnsi="宋体" w:eastAsia="宋体" w:cs="宋体"/>
          <w:sz w:val="24"/>
          <w:szCs w:val="24"/>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kern w:val="2"/>
          <w:sz w:val="24"/>
          <w:szCs w:val="24"/>
          <w:highlight w:val="none"/>
        </w:rPr>
        <w:instrText xml:space="preserve"> HYPERLINK \l _Toc16779 </w:instrText>
      </w:r>
      <w:r>
        <w:rPr>
          <w:rFonts w:hint="eastAsia" w:ascii="宋体" w:hAnsi="宋体" w:eastAsia="宋体" w:cs="宋体"/>
          <w:kern w:val="2"/>
          <w:sz w:val="24"/>
          <w:szCs w:val="24"/>
          <w:highlight w:val="none"/>
        </w:rPr>
        <w:fldChar w:fldCharType="separate"/>
      </w:r>
      <w:r>
        <w:rPr>
          <w:rFonts w:hint="eastAsia" w:ascii="宋体" w:hAnsi="宋体" w:eastAsia="宋体" w:cs="宋体"/>
          <w:sz w:val="24"/>
          <w:szCs w:val="24"/>
          <w:highlight w:val="none"/>
        </w:rPr>
        <w:t>二   招标文件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_Toc16779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color w:val="auto"/>
          <w:kern w:val="2"/>
          <w:sz w:val="24"/>
          <w:szCs w:val="24"/>
          <w:highlight w:val="none"/>
        </w:rPr>
        <w:fldChar w:fldCharType="end"/>
      </w:r>
    </w:p>
    <w:p>
      <w:pPr>
        <w:pStyle w:val="23"/>
        <w:tabs>
          <w:tab w:val="right" w:leader="dot" w:pos="8311"/>
        </w:tabs>
        <w:rPr>
          <w:rFonts w:hint="eastAsia" w:ascii="宋体" w:hAnsi="宋体" w:eastAsia="宋体" w:cs="宋体"/>
          <w:sz w:val="24"/>
          <w:szCs w:val="24"/>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kern w:val="2"/>
          <w:sz w:val="24"/>
          <w:szCs w:val="24"/>
          <w:highlight w:val="none"/>
        </w:rPr>
        <w:instrText xml:space="preserve"> HYPERLINK \l _Toc4358 </w:instrText>
      </w:r>
      <w:r>
        <w:rPr>
          <w:rFonts w:hint="eastAsia" w:ascii="宋体" w:hAnsi="宋体" w:eastAsia="宋体" w:cs="宋体"/>
          <w:kern w:val="2"/>
          <w:sz w:val="24"/>
          <w:szCs w:val="24"/>
          <w:highlight w:val="none"/>
        </w:rPr>
        <w:fldChar w:fldCharType="separate"/>
      </w:r>
      <w:r>
        <w:rPr>
          <w:rFonts w:hint="eastAsia" w:ascii="宋体" w:hAnsi="宋体" w:eastAsia="宋体" w:cs="宋体"/>
          <w:sz w:val="24"/>
          <w:szCs w:val="24"/>
          <w:highlight w:val="none"/>
        </w:rPr>
        <w:t>三   投标文件的编制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_Toc4358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color w:val="auto"/>
          <w:kern w:val="2"/>
          <w:sz w:val="24"/>
          <w:szCs w:val="24"/>
          <w:highlight w:val="none"/>
        </w:rPr>
        <w:fldChar w:fldCharType="end"/>
      </w:r>
    </w:p>
    <w:p>
      <w:pPr>
        <w:pStyle w:val="23"/>
        <w:tabs>
          <w:tab w:val="right" w:leader="dot" w:pos="8311"/>
        </w:tabs>
        <w:rPr>
          <w:rFonts w:hint="eastAsia" w:ascii="宋体" w:hAnsi="宋体" w:eastAsia="宋体" w:cs="宋体"/>
          <w:sz w:val="24"/>
          <w:szCs w:val="24"/>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kern w:val="2"/>
          <w:sz w:val="24"/>
          <w:szCs w:val="24"/>
          <w:highlight w:val="none"/>
        </w:rPr>
        <w:instrText xml:space="preserve"> HYPERLINK \l _Toc4758 </w:instrText>
      </w:r>
      <w:r>
        <w:rPr>
          <w:rFonts w:hint="eastAsia" w:ascii="宋体" w:hAnsi="宋体" w:eastAsia="宋体" w:cs="宋体"/>
          <w:kern w:val="2"/>
          <w:sz w:val="24"/>
          <w:szCs w:val="24"/>
          <w:highlight w:val="none"/>
        </w:rPr>
        <w:fldChar w:fldCharType="separate"/>
      </w:r>
      <w:r>
        <w:rPr>
          <w:rFonts w:hint="eastAsia" w:ascii="宋体" w:hAnsi="宋体" w:eastAsia="宋体" w:cs="宋体"/>
          <w:sz w:val="24"/>
          <w:szCs w:val="24"/>
          <w:highlight w:val="none"/>
        </w:rPr>
        <w:t>四   投标文件的递交</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_Toc4758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color w:val="auto"/>
          <w:kern w:val="2"/>
          <w:sz w:val="24"/>
          <w:szCs w:val="24"/>
          <w:highlight w:val="none"/>
        </w:rPr>
        <w:fldChar w:fldCharType="end"/>
      </w:r>
    </w:p>
    <w:p>
      <w:pPr>
        <w:pStyle w:val="23"/>
        <w:tabs>
          <w:tab w:val="right" w:leader="dot" w:pos="8311"/>
        </w:tabs>
        <w:rPr>
          <w:rFonts w:hint="eastAsia" w:ascii="宋体" w:hAnsi="宋体" w:eastAsia="宋体" w:cs="宋体"/>
          <w:sz w:val="24"/>
          <w:szCs w:val="24"/>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kern w:val="2"/>
          <w:sz w:val="24"/>
          <w:szCs w:val="24"/>
          <w:highlight w:val="none"/>
        </w:rPr>
        <w:instrText xml:space="preserve"> HYPERLINK \l _Toc30180 </w:instrText>
      </w:r>
      <w:r>
        <w:rPr>
          <w:rFonts w:hint="eastAsia" w:ascii="宋体" w:hAnsi="宋体" w:eastAsia="宋体" w:cs="宋体"/>
          <w:kern w:val="2"/>
          <w:sz w:val="24"/>
          <w:szCs w:val="24"/>
          <w:highlight w:val="none"/>
        </w:rPr>
        <w:fldChar w:fldCharType="separate"/>
      </w:r>
      <w:r>
        <w:rPr>
          <w:rFonts w:hint="eastAsia" w:ascii="宋体" w:hAnsi="宋体" w:eastAsia="宋体" w:cs="宋体"/>
          <w:sz w:val="24"/>
          <w:szCs w:val="24"/>
          <w:highlight w:val="none"/>
        </w:rPr>
        <w:t>五   开标及评标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_Toc30180 \h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color w:val="auto"/>
          <w:kern w:val="2"/>
          <w:sz w:val="24"/>
          <w:szCs w:val="24"/>
          <w:highlight w:val="none"/>
        </w:rPr>
        <w:fldChar w:fldCharType="end"/>
      </w:r>
    </w:p>
    <w:p>
      <w:pPr>
        <w:pStyle w:val="23"/>
        <w:tabs>
          <w:tab w:val="right" w:leader="dot" w:pos="8311"/>
        </w:tabs>
        <w:rPr>
          <w:rFonts w:hint="eastAsia" w:ascii="宋体" w:hAnsi="宋体" w:eastAsia="宋体" w:cs="宋体"/>
          <w:sz w:val="24"/>
          <w:szCs w:val="24"/>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kern w:val="2"/>
          <w:sz w:val="24"/>
          <w:szCs w:val="24"/>
          <w:highlight w:val="none"/>
        </w:rPr>
        <w:instrText xml:space="preserve"> HYPERLINK \l _Toc18765 </w:instrText>
      </w:r>
      <w:r>
        <w:rPr>
          <w:rFonts w:hint="eastAsia" w:ascii="宋体" w:hAnsi="宋体" w:eastAsia="宋体" w:cs="宋体"/>
          <w:kern w:val="2"/>
          <w:sz w:val="24"/>
          <w:szCs w:val="24"/>
          <w:highlight w:val="none"/>
        </w:rPr>
        <w:fldChar w:fldCharType="separate"/>
      </w:r>
      <w:r>
        <w:rPr>
          <w:rFonts w:hint="eastAsia" w:ascii="宋体" w:hAnsi="宋体" w:eastAsia="宋体" w:cs="宋体"/>
          <w:sz w:val="24"/>
          <w:szCs w:val="24"/>
          <w:highlight w:val="none"/>
        </w:rPr>
        <w:t>六   确定中标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_Toc18765 \h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color w:val="auto"/>
          <w:kern w:val="2"/>
          <w:sz w:val="24"/>
          <w:szCs w:val="24"/>
          <w:highlight w:val="none"/>
        </w:rPr>
        <w:fldChar w:fldCharType="end"/>
      </w:r>
    </w:p>
    <w:p>
      <w:pPr>
        <w:pStyle w:val="20"/>
        <w:tabs>
          <w:tab w:val="right" w:leader="dot" w:pos="8311"/>
        </w:tabs>
        <w:rPr>
          <w:rFonts w:hint="eastAsia" w:ascii="宋体" w:hAnsi="宋体" w:eastAsia="宋体" w:cs="宋体"/>
          <w:sz w:val="24"/>
          <w:szCs w:val="24"/>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kern w:val="2"/>
          <w:sz w:val="24"/>
          <w:szCs w:val="24"/>
          <w:highlight w:val="none"/>
        </w:rPr>
        <w:instrText xml:space="preserve"> HYPERLINK \l _Toc5908 </w:instrText>
      </w:r>
      <w:r>
        <w:rPr>
          <w:rFonts w:hint="eastAsia" w:ascii="宋体" w:hAnsi="宋体" w:eastAsia="宋体" w:cs="宋体"/>
          <w:kern w:val="2"/>
          <w:sz w:val="24"/>
          <w:szCs w:val="24"/>
          <w:highlight w:val="none"/>
        </w:rPr>
        <w:fldChar w:fldCharType="separate"/>
      </w:r>
      <w:r>
        <w:rPr>
          <w:rFonts w:hint="eastAsia" w:ascii="宋体" w:hAnsi="宋体" w:eastAsia="宋体" w:cs="宋体"/>
          <w:bCs/>
          <w:sz w:val="24"/>
          <w:szCs w:val="24"/>
          <w:highlight w:val="none"/>
          <w:lang w:val="en-US" w:eastAsia="zh-CN"/>
        </w:rPr>
        <w:t>第2章  投标文件格式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_Toc5908 \h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color w:val="auto"/>
          <w:kern w:val="2"/>
          <w:sz w:val="24"/>
          <w:szCs w:val="24"/>
          <w:highlight w:val="none"/>
        </w:rPr>
        <w:fldChar w:fldCharType="end"/>
      </w:r>
    </w:p>
    <w:p>
      <w:pPr>
        <w:pStyle w:val="23"/>
        <w:tabs>
          <w:tab w:val="right" w:leader="dot" w:pos="8311"/>
        </w:tabs>
        <w:rPr>
          <w:rFonts w:hint="eastAsia" w:ascii="宋体" w:hAnsi="宋体" w:eastAsia="宋体" w:cs="宋体"/>
          <w:sz w:val="24"/>
          <w:szCs w:val="24"/>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kern w:val="2"/>
          <w:sz w:val="24"/>
          <w:szCs w:val="24"/>
          <w:highlight w:val="none"/>
        </w:rPr>
        <w:instrText xml:space="preserve"> HYPERLINK \l _Toc4187 </w:instrText>
      </w:r>
      <w:r>
        <w:rPr>
          <w:rFonts w:hint="eastAsia" w:ascii="宋体" w:hAnsi="宋体" w:eastAsia="宋体" w:cs="宋体"/>
          <w:kern w:val="2"/>
          <w:sz w:val="24"/>
          <w:szCs w:val="24"/>
          <w:highlight w:val="none"/>
        </w:rPr>
        <w:fldChar w:fldCharType="separate"/>
      </w:r>
      <w:r>
        <w:rPr>
          <w:rFonts w:hint="eastAsia" w:ascii="宋体" w:hAnsi="宋体" w:eastAsia="宋体" w:cs="宋体"/>
          <w:sz w:val="24"/>
          <w:szCs w:val="24"/>
          <w:highlight w:val="none"/>
        </w:rPr>
        <w:t>第一部分 开标一览表及资格证明文件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_Toc4187 \h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color w:val="auto"/>
          <w:kern w:val="2"/>
          <w:sz w:val="24"/>
          <w:szCs w:val="24"/>
          <w:highlight w:val="none"/>
        </w:rPr>
        <w:fldChar w:fldCharType="end"/>
      </w:r>
    </w:p>
    <w:p>
      <w:pPr>
        <w:pStyle w:val="14"/>
        <w:tabs>
          <w:tab w:val="right" w:leader="dot" w:pos="8311"/>
        </w:tabs>
        <w:rPr>
          <w:rFonts w:hint="eastAsia" w:ascii="宋体" w:hAnsi="宋体" w:eastAsia="宋体" w:cs="宋体"/>
          <w:sz w:val="24"/>
          <w:szCs w:val="24"/>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kern w:val="2"/>
          <w:sz w:val="24"/>
          <w:szCs w:val="24"/>
          <w:highlight w:val="none"/>
        </w:rPr>
        <w:instrText xml:space="preserve"> HYPERLINK \l _Toc23664 </w:instrText>
      </w:r>
      <w:r>
        <w:rPr>
          <w:rFonts w:hint="eastAsia" w:ascii="宋体" w:hAnsi="宋体" w:eastAsia="宋体" w:cs="宋体"/>
          <w:kern w:val="2"/>
          <w:sz w:val="24"/>
          <w:szCs w:val="24"/>
          <w:highlight w:val="none"/>
        </w:rPr>
        <w:fldChar w:fldCharType="separate"/>
      </w:r>
      <w:r>
        <w:rPr>
          <w:rFonts w:hint="eastAsia" w:ascii="宋体" w:hAnsi="宋体" w:eastAsia="宋体" w:cs="宋体"/>
          <w:bCs/>
          <w:sz w:val="24"/>
          <w:szCs w:val="24"/>
          <w:highlight w:val="none"/>
        </w:rPr>
        <w:t>1.开标一览表；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_Toc23664 \h </w:instrText>
      </w:r>
      <w:r>
        <w:rPr>
          <w:rFonts w:hint="eastAsia" w:ascii="宋体" w:hAnsi="宋体" w:eastAsia="宋体" w:cs="宋体"/>
          <w:sz w:val="24"/>
          <w:szCs w:val="24"/>
        </w:rPr>
        <w:fldChar w:fldCharType="separate"/>
      </w:r>
      <w:r>
        <w:rPr>
          <w:rFonts w:hint="eastAsia" w:ascii="宋体" w:hAnsi="宋体" w:eastAsia="宋体" w:cs="宋体"/>
          <w:sz w:val="24"/>
          <w:szCs w:val="24"/>
        </w:rPr>
        <w:t>20</w:t>
      </w:r>
      <w:r>
        <w:rPr>
          <w:rFonts w:hint="eastAsia" w:ascii="宋体" w:hAnsi="宋体" w:eastAsia="宋体" w:cs="宋体"/>
          <w:sz w:val="24"/>
          <w:szCs w:val="24"/>
        </w:rPr>
        <w:fldChar w:fldCharType="end"/>
      </w:r>
      <w:r>
        <w:rPr>
          <w:rFonts w:hint="eastAsia" w:ascii="宋体" w:hAnsi="宋体" w:eastAsia="宋体" w:cs="宋体"/>
          <w:color w:val="auto"/>
          <w:kern w:val="2"/>
          <w:sz w:val="24"/>
          <w:szCs w:val="24"/>
          <w:highlight w:val="none"/>
        </w:rPr>
        <w:fldChar w:fldCharType="end"/>
      </w:r>
    </w:p>
    <w:p>
      <w:pPr>
        <w:pStyle w:val="14"/>
        <w:tabs>
          <w:tab w:val="right" w:leader="dot" w:pos="8311"/>
        </w:tabs>
        <w:rPr>
          <w:rFonts w:hint="eastAsia" w:ascii="宋体" w:hAnsi="宋体" w:eastAsia="宋体" w:cs="宋体"/>
          <w:sz w:val="24"/>
          <w:szCs w:val="24"/>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kern w:val="2"/>
          <w:sz w:val="24"/>
          <w:szCs w:val="24"/>
          <w:highlight w:val="none"/>
        </w:rPr>
        <w:instrText xml:space="preserve"> HYPERLINK \l _Toc32165 </w:instrText>
      </w:r>
      <w:r>
        <w:rPr>
          <w:rFonts w:hint="eastAsia" w:ascii="宋体" w:hAnsi="宋体" w:eastAsia="宋体" w:cs="宋体"/>
          <w:kern w:val="2"/>
          <w:sz w:val="24"/>
          <w:szCs w:val="24"/>
          <w:highlight w:val="none"/>
        </w:rPr>
        <w:fldChar w:fldCharType="separate"/>
      </w:r>
      <w:r>
        <w:rPr>
          <w:rFonts w:hint="eastAsia" w:ascii="宋体" w:hAnsi="宋体" w:eastAsia="宋体" w:cs="宋体"/>
          <w:bCs/>
          <w:sz w:val="24"/>
          <w:szCs w:val="24"/>
          <w:highlight w:val="none"/>
        </w:rPr>
        <w:t>2.</w:t>
      </w:r>
      <w:r>
        <w:rPr>
          <w:rFonts w:hint="eastAsia" w:ascii="宋体" w:hAnsi="宋体" w:eastAsia="宋体" w:cs="宋体"/>
          <w:bCs/>
          <w:sz w:val="24"/>
          <w:szCs w:val="24"/>
          <w:highlight w:val="none"/>
          <w:lang w:eastAsia="zh-CN"/>
        </w:rPr>
        <w:t>合格有效的三证合一的营业执照（三证合一）或电子营业执照（需加盖公章）或同等法律效力的证明文件（发证机关或公证机关出具的证明材料）</w:t>
      </w:r>
      <w:r>
        <w:rPr>
          <w:rFonts w:hint="eastAsia" w:ascii="宋体" w:hAnsi="宋体" w:eastAsia="宋体" w:cs="宋体"/>
          <w:bCs/>
          <w:sz w:val="24"/>
          <w:szCs w:val="24"/>
          <w:highlight w:val="none"/>
        </w:rPr>
        <w:t>；</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_Toc32165 \h </w:instrText>
      </w:r>
      <w:r>
        <w:rPr>
          <w:rFonts w:hint="eastAsia" w:ascii="宋体" w:hAnsi="宋体" w:eastAsia="宋体" w:cs="宋体"/>
          <w:sz w:val="24"/>
          <w:szCs w:val="24"/>
        </w:rPr>
        <w:fldChar w:fldCharType="separate"/>
      </w:r>
      <w:r>
        <w:rPr>
          <w:rFonts w:hint="eastAsia" w:ascii="宋体" w:hAnsi="宋体" w:eastAsia="宋体" w:cs="宋体"/>
          <w:sz w:val="24"/>
          <w:szCs w:val="24"/>
        </w:rPr>
        <w:t>22</w:t>
      </w:r>
      <w:r>
        <w:rPr>
          <w:rFonts w:hint="eastAsia" w:ascii="宋体" w:hAnsi="宋体" w:eastAsia="宋体" w:cs="宋体"/>
          <w:sz w:val="24"/>
          <w:szCs w:val="24"/>
        </w:rPr>
        <w:fldChar w:fldCharType="end"/>
      </w:r>
      <w:r>
        <w:rPr>
          <w:rFonts w:hint="eastAsia" w:ascii="宋体" w:hAnsi="宋体" w:eastAsia="宋体" w:cs="宋体"/>
          <w:color w:val="auto"/>
          <w:kern w:val="2"/>
          <w:sz w:val="24"/>
          <w:szCs w:val="24"/>
          <w:highlight w:val="none"/>
        </w:rPr>
        <w:fldChar w:fldCharType="end"/>
      </w:r>
    </w:p>
    <w:p>
      <w:pPr>
        <w:pStyle w:val="14"/>
        <w:tabs>
          <w:tab w:val="right" w:leader="dot" w:pos="8311"/>
        </w:tabs>
        <w:rPr>
          <w:rFonts w:hint="eastAsia" w:ascii="宋体" w:hAnsi="宋体" w:eastAsia="宋体" w:cs="宋体"/>
          <w:sz w:val="24"/>
          <w:szCs w:val="24"/>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kern w:val="2"/>
          <w:sz w:val="24"/>
          <w:szCs w:val="24"/>
          <w:highlight w:val="none"/>
        </w:rPr>
        <w:instrText xml:space="preserve"> HYPERLINK \l _Toc16923 </w:instrText>
      </w:r>
      <w:r>
        <w:rPr>
          <w:rFonts w:hint="eastAsia" w:ascii="宋体" w:hAnsi="宋体" w:eastAsia="宋体" w:cs="宋体"/>
          <w:kern w:val="2"/>
          <w:sz w:val="24"/>
          <w:szCs w:val="24"/>
          <w:highlight w:val="none"/>
        </w:rPr>
        <w:fldChar w:fldCharType="separate"/>
      </w:r>
      <w:r>
        <w:rPr>
          <w:rFonts w:hint="eastAsia" w:ascii="宋体" w:hAnsi="宋体" w:eastAsia="宋体" w:cs="宋体"/>
          <w:sz w:val="24"/>
          <w:szCs w:val="24"/>
          <w:highlight w:val="none"/>
          <w:lang w:val="en-US" w:eastAsia="zh-CN"/>
        </w:rPr>
        <w:t>3.具备《食品经营许可证》或《食品生产许可证》；</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_Toc16923 \h </w:instrText>
      </w:r>
      <w:r>
        <w:rPr>
          <w:rFonts w:hint="eastAsia" w:ascii="宋体" w:hAnsi="宋体" w:eastAsia="宋体" w:cs="宋体"/>
          <w:sz w:val="24"/>
          <w:szCs w:val="24"/>
        </w:rPr>
        <w:fldChar w:fldCharType="separate"/>
      </w:r>
      <w:r>
        <w:rPr>
          <w:rFonts w:hint="eastAsia" w:ascii="宋体" w:hAnsi="宋体" w:eastAsia="宋体" w:cs="宋体"/>
          <w:sz w:val="24"/>
          <w:szCs w:val="24"/>
        </w:rPr>
        <w:t>22</w:t>
      </w:r>
      <w:r>
        <w:rPr>
          <w:rFonts w:hint="eastAsia" w:ascii="宋体" w:hAnsi="宋体" w:eastAsia="宋体" w:cs="宋体"/>
          <w:sz w:val="24"/>
          <w:szCs w:val="24"/>
        </w:rPr>
        <w:fldChar w:fldCharType="end"/>
      </w:r>
      <w:r>
        <w:rPr>
          <w:rFonts w:hint="eastAsia" w:ascii="宋体" w:hAnsi="宋体" w:eastAsia="宋体" w:cs="宋体"/>
          <w:color w:val="auto"/>
          <w:kern w:val="2"/>
          <w:sz w:val="24"/>
          <w:szCs w:val="24"/>
          <w:highlight w:val="none"/>
        </w:rPr>
        <w:fldChar w:fldCharType="end"/>
      </w:r>
    </w:p>
    <w:p>
      <w:pPr>
        <w:pStyle w:val="14"/>
        <w:tabs>
          <w:tab w:val="right" w:leader="dot" w:pos="8311"/>
        </w:tabs>
        <w:rPr>
          <w:rFonts w:hint="eastAsia" w:ascii="宋体" w:hAnsi="宋体" w:eastAsia="宋体" w:cs="宋体"/>
          <w:sz w:val="24"/>
          <w:szCs w:val="24"/>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kern w:val="2"/>
          <w:sz w:val="24"/>
          <w:szCs w:val="24"/>
          <w:highlight w:val="none"/>
        </w:rPr>
        <w:instrText xml:space="preserve"> HYPERLINK \l _Toc4903 </w:instrText>
      </w:r>
      <w:r>
        <w:rPr>
          <w:rFonts w:hint="eastAsia" w:ascii="宋体" w:hAnsi="宋体" w:eastAsia="宋体" w:cs="宋体"/>
          <w:kern w:val="2"/>
          <w:sz w:val="24"/>
          <w:szCs w:val="24"/>
          <w:highlight w:val="none"/>
        </w:rPr>
        <w:fldChar w:fldCharType="separate"/>
      </w:r>
      <w:r>
        <w:rPr>
          <w:rFonts w:hint="eastAsia" w:ascii="宋体" w:hAnsi="宋体" w:eastAsia="宋体" w:cs="宋体"/>
          <w:bCs/>
          <w:sz w:val="24"/>
          <w:szCs w:val="24"/>
          <w:highlight w:val="none"/>
          <w:lang w:val="en-US" w:eastAsia="zh-CN"/>
        </w:rPr>
        <w:t>4.法定代表人资格证明(需提供法定代表人身份证)；</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_Toc4903 \h </w:instrText>
      </w:r>
      <w:r>
        <w:rPr>
          <w:rFonts w:hint="eastAsia" w:ascii="宋体" w:hAnsi="宋体" w:eastAsia="宋体" w:cs="宋体"/>
          <w:sz w:val="24"/>
          <w:szCs w:val="24"/>
        </w:rPr>
        <w:fldChar w:fldCharType="separate"/>
      </w:r>
      <w:r>
        <w:rPr>
          <w:rFonts w:hint="eastAsia" w:ascii="宋体" w:hAnsi="宋体" w:eastAsia="宋体" w:cs="宋体"/>
          <w:sz w:val="24"/>
          <w:szCs w:val="24"/>
        </w:rPr>
        <w:t>23</w:t>
      </w:r>
      <w:r>
        <w:rPr>
          <w:rFonts w:hint="eastAsia" w:ascii="宋体" w:hAnsi="宋体" w:eastAsia="宋体" w:cs="宋体"/>
          <w:sz w:val="24"/>
          <w:szCs w:val="24"/>
        </w:rPr>
        <w:fldChar w:fldCharType="end"/>
      </w:r>
      <w:r>
        <w:rPr>
          <w:rFonts w:hint="eastAsia" w:ascii="宋体" w:hAnsi="宋体" w:eastAsia="宋体" w:cs="宋体"/>
          <w:color w:val="auto"/>
          <w:kern w:val="2"/>
          <w:sz w:val="24"/>
          <w:szCs w:val="24"/>
          <w:highlight w:val="none"/>
        </w:rPr>
        <w:fldChar w:fldCharType="end"/>
      </w:r>
    </w:p>
    <w:p>
      <w:pPr>
        <w:pStyle w:val="14"/>
        <w:tabs>
          <w:tab w:val="right" w:leader="dot" w:pos="8311"/>
        </w:tabs>
        <w:rPr>
          <w:rFonts w:hint="eastAsia" w:ascii="宋体" w:hAnsi="宋体" w:eastAsia="宋体" w:cs="宋体"/>
          <w:sz w:val="24"/>
          <w:szCs w:val="24"/>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kern w:val="2"/>
          <w:sz w:val="24"/>
          <w:szCs w:val="24"/>
          <w:highlight w:val="none"/>
        </w:rPr>
        <w:instrText xml:space="preserve"> HYPERLINK \l _Toc16551 </w:instrText>
      </w:r>
      <w:r>
        <w:rPr>
          <w:rFonts w:hint="eastAsia" w:ascii="宋体" w:hAnsi="宋体" w:eastAsia="宋体" w:cs="宋体"/>
          <w:kern w:val="2"/>
          <w:sz w:val="24"/>
          <w:szCs w:val="24"/>
          <w:highlight w:val="none"/>
        </w:rPr>
        <w:fldChar w:fldCharType="separate"/>
      </w:r>
      <w:r>
        <w:rPr>
          <w:rFonts w:hint="eastAsia" w:ascii="宋体" w:hAnsi="宋体" w:eastAsia="宋体" w:cs="宋体"/>
          <w:bCs/>
          <w:sz w:val="24"/>
          <w:szCs w:val="24"/>
          <w:highlight w:val="none"/>
          <w:lang w:val="en-US" w:eastAsia="zh-CN"/>
        </w:rPr>
        <w:t>5.提供近两年内任意一年的财务审计报告（新成立未满一年的新公司可提供近三个月内任意一个月的银行资信证明）；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_Toc16551 \h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color w:val="auto"/>
          <w:kern w:val="2"/>
          <w:sz w:val="24"/>
          <w:szCs w:val="24"/>
          <w:highlight w:val="none"/>
        </w:rPr>
        <w:fldChar w:fldCharType="end"/>
      </w:r>
    </w:p>
    <w:p>
      <w:pPr>
        <w:pStyle w:val="14"/>
        <w:tabs>
          <w:tab w:val="right" w:leader="dot" w:pos="8311"/>
        </w:tabs>
        <w:rPr>
          <w:rFonts w:hint="eastAsia" w:ascii="宋体" w:hAnsi="宋体" w:eastAsia="宋体" w:cs="宋体"/>
          <w:sz w:val="24"/>
          <w:szCs w:val="24"/>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kern w:val="2"/>
          <w:sz w:val="24"/>
          <w:szCs w:val="24"/>
          <w:highlight w:val="none"/>
        </w:rPr>
        <w:instrText xml:space="preserve"> HYPERLINK \l _Toc8808 </w:instrText>
      </w:r>
      <w:r>
        <w:rPr>
          <w:rFonts w:hint="eastAsia" w:ascii="宋体" w:hAnsi="宋体" w:eastAsia="宋体" w:cs="宋体"/>
          <w:kern w:val="2"/>
          <w:sz w:val="24"/>
          <w:szCs w:val="24"/>
          <w:highlight w:val="none"/>
        </w:rPr>
        <w:fldChar w:fldCharType="separate"/>
      </w:r>
      <w:r>
        <w:rPr>
          <w:rFonts w:hint="eastAsia" w:ascii="宋体" w:hAnsi="宋体" w:eastAsia="宋体" w:cs="宋体"/>
          <w:bCs/>
          <w:sz w:val="24"/>
          <w:szCs w:val="24"/>
          <w:highlight w:val="none"/>
          <w:lang w:val="en-US" w:eastAsia="zh-CN"/>
        </w:rPr>
        <w:t>6.提供依法缴纳近六个月内任意一个月社会保险证明；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_Toc8808 \h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color w:val="auto"/>
          <w:kern w:val="2"/>
          <w:sz w:val="24"/>
          <w:szCs w:val="24"/>
          <w:highlight w:val="none"/>
        </w:rPr>
        <w:fldChar w:fldCharType="end"/>
      </w:r>
    </w:p>
    <w:p>
      <w:pPr>
        <w:pStyle w:val="14"/>
        <w:tabs>
          <w:tab w:val="right" w:leader="dot" w:pos="8311"/>
        </w:tabs>
        <w:rPr>
          <w:rFonts w:hint="eastAsia" w:ascii="宋体" w:hAnsi="宋体" w:eastAsia="宋体" w:cs="宋体"/>
          <w:sz w:val="24"/>
          <w:szCs w:val="24"/>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kern w:val="2"/>
          <w:sz w:val="24"/>
          <w:szCs w:val="24"/>
          <w:highlight w:val="none"/>
        </w:rPr>
        <w:instrText xml:space="preserve"> HYPERLINK \l _Toc6615 </w:instrText>
      </w:r>
      <w:r>
        <w:rPr>
          <w:rFonts w:hint="eastAsia" w:ascii="宋体" w:hAnsi="宋体" w:eastAsia="宋体" w:cs="宋体"/>
          <w:kern w:val="2"/>
          <w:sz w:val="24"/>
          <w:szCs w:val="24"/>
          <w:highlight w:val="none"/>
        </w:rPr>
        <w:fldChar w:fldCharType="separate"/>
      </w:r>
      <w:r>
        <w:rPr>
          <w:rFonts w:hint="eastAsia" w:ascii="宋体" w:hAnsi="宋体" w:eastAsia="宋体" w:cs="宋体"/>
          <w:bCs/>
          <w:sz w:val="24"/>
          <w:szCs w:val="24"/>
          <w:highlight w:val="none"/>
          <w:lang w:val="en-US" w:eastAsia="zh-CN"/>
        </w:rPr>
        <w:t>7.提供依法缴纳近六个月内任意一个月的税收证明；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_Toc6615 \h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color w:val="auto"/>
          <w:kern w:val="2"/>
          <w:sz w:val="24"/>
          <w:szCs w:val="24"/>
          <w:highlight w:val="none"/>
        </w:rPr>
        <w:fldChar w:fldCharType="end"/>
      </w:r>
    </w:p>
    <w:p>
      <w:pPr>
        <w:pStyle w:val="14"/>
        <w:tabs>
          <w:tab w:val="right" w:leader="dot" w:pos="8311"/>
        </w:tabs>
        <w:rPr>
          <w:rFonts w:hint="eastAsia" w:ascii="宋体" w:hAnsi="宋体" w:eastAsia="宋体" w:cs="宋体"/>
          <w:sz w:val="24"/>
          <w:szCs w:val="24"/>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kern w:val="2"/>
          <w:sz w:val="24"/>
          <w:szCs w:val="24"/>
          <w:highlight w:val="none"/>
        </w:rPr>
        <w:instrText xml:space="preserve"> HYPERLINK \l _Toc2858 </w:instrText>
      </w:r>
      <w:r>
        <w:rPr>
          <w:rFonts w:hint="eastAsia" w:ascii="宋体" w:hAnsi="宋体" w:eastAsia="宋体" w:cs="宋体"/>
          <w:kern w:val="2"/>
          <w:sz w:val="24"/>
          <w:szCs w:val="24"/>
          <w:highlight w:val="none"/>
        </w:rPr>
        <w:fldChar w:fldCharType="separate"/>
      </w:r>
      <w:r>
        <w:rPr>
          <w:rFonts w:hint="eastAsia" w:ascii="宋体" w:hAnsi="宋体" w:eastAsia="宋体" w:cs="宋体"/>
          <w:bCs/>
          <w:sz w:val="24"/>
          <w:szCs w:val="24"/>
          <w:highlight w:val="none"/>
          <w:lang w:val="en-US" w:eastAsia="zh-CN"/>
        </w:rPr>
        <w:t>8.根据《财政部关于在政府采购活动中查询及使用信用记录有关问题的通知》（财库﹝2016﹞125号）的要求，凡拟参加本次招标项目的供应商，如在“信用中国”网站（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重点领域严重失信主体名单查询-搜索栏输入单位全称）、中国政府采购网（http://www.ccgp.gov.cn/search/cr/）严重违法失信行为记录名单的（尚在处罚期内的），将拒绝其参加本次招标活动（以采购代理机构或采购人现场查询为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_Toc2858 \h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color w:val="auto"/>
          <w:kern w:val="2"/>
          <w:sz w:val="24"/>
          <w:szCs w:val="24"/>
          <w:highlight w:val="none"/>
        </w:rPr>
        <w:fldChar w:fldCharType="end"/>
      </w:r>
    </w:p>
    <w:p>
      <w:pPr>
        <w:pStyle w:val="14"/>
        <w:tabs>
          <w:tab w:val="right" w:leader="dot" w:pos="8311"/>
        </w:tabs>
        <w:rPr>
          <w:rFonts w:hint="eastAsia" w:ascii="宋体" w:hAnsi="宋体" w:eastAsia="宋体" w:cs="宋体"/>
          <w:sz w:val="24"/>
          <w:szCs w:val="24"/>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kern w:val="2"/>
          <w:sz w:val="24"/>
          <w:szCs w:val="24"/>
          <w:highlight w:val="none"/>
        </w:rPr>
        <w:instrText xml:space="preserve"> HYPERLINK \l _Toc26428 </w:instrText>
      </w:r>
      <w:r>
        <w:rPr>
          <w:rFonts w:hint="eastAsia" w:ascii="宋体" w:hAnsi="宋体" w:eastAsia="宋体" w:cs="宋体"/>
          <w:kern w:val="2"/>
          <w:sz w:val="24"/>
          <w:szCs w:val="24"/>
          <w:highlight w:val="none"/>
        </w:rPr>
        <w:fldChar w:fldCharType="separate"/>
      </w:r>
      <w:r>
        <w:rPr>
          <w:rFonts w:hint="eastAsia" w:ascii="宋体" w:hAnsi="宋体" w:eastAsia="宋体" w:cs="宋体"/>
          <w:bCs/>
          <w:sz w:val="24"/>
          <w:szCs w:val="24"/>
          <w:highlight w:val="none"/>
          <w:lang w:val="en-US" w:eastAsia="zh-CN"/>
        </w:rPr>
        <w:t>9.参与政府采购活动前3年内未被列入失信、重大税收违法案件、财政部门禁止参加政府采购活动的承诺书；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_Toc26428 \h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color w:val="auto"/>
          <w:kern w:val="2"/>
          <w:sz w:val="24"/>
          <w:szCs w:val="24"/>
          <w:highlight w:val="none"/>
        </w:rPr>
        <w:fldChar w:fldCharType="end"/>
      </w:r>
    </w:p>
    <w:p>
      <w:pPr>
        <w:pStyle w:val="14"/>
        <w:tabs>
          <w:tab w:val="right" w:leader="dot" w:pos="8311"/>
        </w:tabs>
        <w:rPr>
          <w:rFonts w:hint="eastAsia" w:ascii="宋体" w:hAnsi="宋体" w:eastAsia="宋体" w:cs="宋体"/>
          <w:sz w:val="24"/>
          <w:szCs w:val="24"/>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kern w:val="2"/>
          <w:sz w:val="24"/>
          <w:szCs w:val="24"/>
          <w:highlight w:val="none"/>
        </w:rPr>
        <w:instrText xml:space="preserve"> HYPERLINK \l _Toc24079 </w:instrText>
      </w:r>
      <w:r>
        <w:rPr>
          <w:rFonts w:hint="eastAsia" w:ascii="宋体" w:hAnsi="宋体" w:eastAsia="宋体" w:cs="宋体"/>
          <w:kern w:val="2"/>
          <w:sz w:val="24"/>
          <w:szCs w:val="24"/>
          <w:highlight w:val="none"/>
        </w:rPr>
        <w:fldChar w:fldCharType="separate"/>
      </w:r>
      <w:r>
        <w:rPr>
          <w:rFonts w:hint="eastAsia" w:ascii="宋体" w:hAnsi="宋体" w:eastAsia="宋体" w:cs="宋体"/>
          <w:bCs/>
          <w:sz w:val="24"/>
          <w:szCs w:val="24"/>
          <w:highlight w:val="none"/>
          <w:lang w:val="en-US" w:eastAsia="zh-CN"/>
        </w:rPr>
        <w:t>10.缴纳投标保证金的有效凭证；</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_Toc24079 \h </w:instrText>
      </w:r>
      <w:r>
        <w:rPr>
          <w:rFonts w:hint="eastAsia" w:ascii="宋体" w:hAnsi="宋体" w:eastAsia="宋体" w:cs="宋体"/>
          <w:sz w:val="24"/>
          <w:szCs w:val="24"/>
        </w:rPr>
        <w:fldChar w:fldCharType="separate"/>
      </w:r>
      <w:r>
        <w:rPr>
          <w:rFonts w:hint="eastAsia" w:ascii="宋体" w:hAnsi="宋体" w:eastAsia="宋体" w:cs="宋体"/>
          <w:sz w:val="24"/>
          <w:szCs w:val="24"/>
        </w:rPr>
        <w:t>25</w:t>
      </w:r>
      <w:r>
        <w:rPr>
          <w:rFonts w:hint="eastAsia" w:ascii="宋体" w:hAnsi="宋体" w:eastAsia="宋体" w:cs="宋体"/>
          <w:sz w:val="24"/>
          <w:szCs w:val="24"/>
        </w:rPr>
        <w:fldChar w:fldCharType="end"/>
      </w:r>
      <w:r>
        <w:rPr>
          <w:rFonts w:hint="eastAsia" w:ascii="宋体" w:hAnsi="宋体" w:eastAsia="宋体" w:cs="宋体"/>
          <w:color w:val="auto"/>
          <w:kern w:val="2"/>
          <w:sz w:val="24"/>
          <w:szCs w:val="24"/>
          <w:highlight w:val="none"/>
        </w:rPr>
        <w:fldChar w:fldCharType="end"/>
      </w:r>
    </w:p>
    <w:p>
      <w:pPr>
        <w:pStyle w:val="14"/>
        <w:tabs>
          <w:tab w:val="right" w:leader="dot" w:pos="8311"/>
        </w:tabs>
        <w:rPr>
          <w:rFonts w:hint="eastAsia" w:ascii="宋体" w:hAnsi="宋体" w:eastAsia="宋体" w:cs="宋体"/>
          <w:sz w:val="24"/>
          <w:szCs w:val="24"/>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kern w:val="2"/>
          <w:sz w:val="24"/>
          <w:szCs w:val="24"/>
          <w:highlight w:val="none"/>
        </w:rPr>
        <w:instrText xml:space="preserve"> HYPERLINK \l _Toc18157 </w:instrText>
      </w:r>
      <w:r>
        <w:rPr>
          <w:rFonts w:hint="eastAsia" w:ascii="宋体" w:hAnsi="宋体" w:eastAsia="宋体" w:cs="宋体"/>
          <w:kern w:val="2"/>
          <w:sz w:val="24"/>
          <w:szCs w:val="24"/>
          <w:highlight w:val="none"/>
        </w:rPr>
        <w:fldChar w:fldCharType="separate"/>
      </w:r>
      <w:r>
        <w:rPr>
          <w:rFonts w:hint="eastAsia" w:ascii="宋体" w:hAnsi="宋体" w:eastAsia="宋体" w:cs="宋体"/>
          <w:bCs/>
          <w:sz w:val="24"/>
          <w:szCs w:val="24"/>
          <w:highlight w:val="none"/>
          <w:lang w:val="en-US" w:eastAsia="zh-CN"/>
        </w:rPr>
        <w:t>11.银行开户许可证复印件或银行基本账户信息(包含：银行账号及开户行名称）；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_Toc18157 \h </w:instrText>
      </w:r>
      <w:r>
        <w:rPr>
          <w:rFonts w:hint="eastAsia" w:ascii="宋体" w:hAnsi="宋体" w:eastAsia="宋体" w:cs="宋体"/>
          <w:sz w:val="24"/>
          <w:szCs w:val="24"/>
        </w:rPr>
        <w:fldChar w:fldCharType="separate"/>
      </w:r>
      <w:r>
        <w:rPr>
          <w:rFonts w:hint="eastAsia" w:ascii="宋体" w:hAnsi="宋体" w:eastAsia="宋体" w:cs="宋体"/>
          <w:sz w:val="24"/>
          <w:szCs w:val="24"/>
        </w:rPr>
        <w:t>25</w:t>
      </w:r>
      <w:r>
        <w:rPr>
          <w:rFonts w:hint="eastAsia" w:ascii="宋体" w:hAnsi="宋体" w:eastAsia="宋体" w:cs="宋体"/>
          <w:sz w:val="24"/>
          <w:szCs w:val="24"/>
        </w:rPr>
        <w:fldChar w:fldCharType="end"/>
      </w:r>
      <w:r>
        <w:rPr>
          <w:rFonts w:hint="eastAsia" w:ascii="宋体" w:hAnsi="宋体" w:eastAsia="宋体" w:cs="宋体"/>
          <w:color w:val="auto"/>
          <w:kern w:val="2"/>
          <w:sz w:val="24"/>
          <w:szCs w:val="24"/>
          <w:highlight w:val="none"/>
        </w:rPr>
        <w:fldChar w:fldCharType="end"/>
      </w:r>
    </w:p>
    <w:p>
      <w:pPr>
        <w:pStyle w:val="14"/>
        <w:tabs>
          <w:tab w:val="right" w:leader="dot" w:pos="8311"/>
        </w:tabs>
        <w:rPr>
          <w:rFonts w:hint="eastAsia" w:ascii="宋体" w:hAnsi="宋体" w:eastAsia="宋体" w:cs="宋体"/>
          <w:sz w:val="24"/>
          <w:szCs w:val="24"/>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kern w:val="2"/>
          <w:sz w:val="24"/>
          <w:szCs w:val="24"/>
          <w:highlight w:val="none"/>
        </w:rPr>
        <w:instrText xml:space="preserve"> HYPERLINK \l _Toc6404 </w:instrText>
      </w:r>
      <w:r>
        <w:rPr>
          <w:rFonts w:hint="eastAsia" w:ascii="宋体" w:hAnsi="宋体" w:eastAsia="宋体" w:cs="宋体"/>
          <w:kern w:val="2"/>
          <w:sz w:val="24"/>
          <w:szCs w:val="24"/>
          <w:highlight w:val="none"/>
        </w:rPr>
        <w:fldChar w:fldCharType="separate"/>
      </w:r>
      <w:r>
        <w:rPr>
          <w:rFonts w:hint="eastAsia" w:ascii="宋体" w:hAnsi="宋体" w:eastAsia="宋体" w:cs="宋体"/>
          <w:bCs/>
          <w:sz w:val="24"/>
          <w:szCs w:val="24"/>
          <w:highlight w:val="none"/>
          <w:lang w:val="en-US" w:eastAsia="zh-CN"/>
        </w:rPr>
        <w:t>12.供应商可提供有利于投标的其他资格证明材料。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_Toc6404 \h </w:instrText>
      </w:r>
      <w:r>
        <w:rPr>
          <w:rFonts w:hint="eastAsia" w:ascii="宋体" w:hAnsi="宋体" w:eastAsia="宋体" w:cs="宋体"/>
          <w:sz w:val="24"/>
          <w:szCs w:val="24"/>
        </w:rPr>
        <w:fldChar w:fldCharType="separate"/>
      </w:r>
      <w:r>
        <w:rPr>
          <w:rFonts w:hint="eastAsia" w:ascii="宋体" w:hAnsi="宋体" w:eastAsia="宋体" w:cs="宋体"/>
          <w:sz w:val="24"/>
          <w:szCs w:val="24"/>
        </w:rPr>
        <w:t>25</w:t>
      </w:r>
      <w:r>
        <w:rPr>
          <w:rFonts w:hint="eastAsia" w:ascii="宋体" w:hAnsi="宋体" w:eastAsia="宋体" w:cs="宋体"/>
          <w:sz w:val="24"/>
          <w:szCs w:val="24"/>
        </w:rPr>
        <w:fldChar w:fldCharType="end"/>
      </w:r>
      <w:r>
        <w:rPr>
          <w:rFonts w:hint="eastAsia" w:ascii="宋体" w:hAnsi="宋体" w:eastAsia="宋体" w:cs="宋体"/>
          <w:color w:val="auto"/>
          <w:kern w:val="2"/>
          <w:sz w:val="24"/>
          <w:szCs w:val="24"/>
          <w:highlight w:val="none"/>
        </w:rPr>
        <w:fldChar w:fldCharType="end"/>
      </w:r>
    </w:p>
    <w:p>
      <w:pPr>
        <w:pStyle w:val="23"/>
        <w:tabs>
          <w:tab w:val="right" w:leader="dot" w:pos="8311"/>
        </w:tabs>
        <w:rPr>
          <w:rFonts w:hint="eastAsia" w:ascii="宋体" w:hAnsi="宋体" w:eastAsia="宋体" w:cs="宋体"/>
          <w:sz w:val="24"/>
          <w:szCs w:val="24"/>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kern w:val="2"/>
          <w:sz w:val="24"/>
          <w:szCs w:val="24"/>
          <w:highlight w:val="none"/>
        </w:rPr>
        <w:instrText xml:space="preserve"> HYPERLINK \l _Toc24223 </w:instrText>
      </w:r>
      <w:r>
        <w:rPr>
          <w:rFonts w:hint="eastAsia" w:ascii="宋体" w:hAnsi="宋体" w:eastAsia="宋体" w:cs="宋体"/>
          <w:kern w:val="2"/>
          <w:sz w:val="24"/>
          <w:szCs w:val="24"/>
          <w:highlight w:val="none"/>
        </w:rPr>
        <w:fldChar w:fldCharType="separate"/>
      </w:r>
      <w:r>
        <w:rPr>
          <w:rFonts w:hint="eastAsia" w:ascii="宋体" w:hAnsi="宋体" w:eastAsia="宋体" w:cs="宋体"/>
          <w:sz w:val="24"/>
          <w:szCs w:val="24"/>
          <w:highlight w:val="none"/>
        </w:rPr>
        <w:t>第二部分  商务及技术文件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_Toc24223 \h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color w:val="auto"/>
          <w:kern w:val="2"/>
          <w:sz w:val="24"/>
          <w:szCs w:val="24"/>
          <w:highlight w:val="none"/>
        </w:rPr>
        <w:fldChar w:fldCharType="end"/>
      </w:r>
    </w:p>
    <w:p>
      <w:pPr>
        <w:pStyle w:val="14"/>
        <w:tabs>
          <w:tab w:val="right" w:leader="dot" w:pos="8311"/>
        </w:tabs>
        <w:rPr>
          <w:rFonts w:hint="eastAsia" w:ascii="宋体" w:hAnsi="宋体" w:eastAsia="宋体" w:cs="宋体"/>
          <w:sz w:val="24"/>
          <w:szCs w:val="24"/>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kern w:val="2"/>
          <w:sz w:val="24"/>
          <w:szCs w:val="24"/>
          <w:highlight w:val="none"/>
        </w:rPr>
        <w:instrText xml:space="preserve"> HYPERLINK \l _Toc29786 </w:instrText>
      </w:r>
      <w:r>
        <w:rPr>
          <w:rFonts w:hint="eastAsia" w:ascii="宋体" w:hAnsi="宋体" w:eastAsia="宋体" w:cs="宋体"/>
          <w:kern w:val="2"/>
          <w:sz w:val="24"/>
          <w:szCs w:val="24"/>
          <w:highlight w:val="none"/>
        </w:rPr>
        <w:fldChar w:fldCharType="separate"/>
      </w:r>
      <w:r>
        <w:rPr>
          <w:rFonts w:hint="eastAsia" w:ascii="宋体" w:hAnsi="宋体" w:eastAsia="宋体" w:cs="宋体"/>
          <w:bCs/>
          <w:sz w:val="24"/>
          <w:szCs w:val="24"/>
          <w:highlight w:val="none"/>
          <w:lang w:val="en-US" w:eastAsia="zh-CN"/>
        </w:rPr>
        <w:t>1.投标书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_Toc29786 \h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color w:val="auto"/>
          <w:kern w:val="2"/>
          <w:sz w:val="24"/>
          <w:szCs w:val="24"/>
          <w:highlight w:val="none"/>
        </w:rPr>
        <w:fldChar w:fldCharType="end"/>
      </w:r>
    </w:p>
    <w:p>
      <w:pPr>
        <w:pStyle w:val="14"/>
        <w:tabs>
          <w:tab w:val="right" w:leader="dot" w:pos="8311"/>
        </w:tabs>
        <w:rPr>
          <w:rFonts w:hint="eastAsia" w:ascii="宋体" w:hAnsi="宋体" w:eastAsia="宋体" w:cs="宋体"/>
          <w:sz w:val="24"/>
          <w:szCs w:val="24"/>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kern w:val="2"/>
          <w:sz w:val="24"/>
          <w:szCs w:val="24"/>
          <w:highlight w:val="none"/>
        </w:rPr>
        <w:instrText xml:space="preserve"> HYPERLINK \l _Toc28913 </w:instrText>
      </w:r>
      <w:r>
        <w:rPr>
          <w:rFonts w:hint="eastAsia" w:ascii="宋体" w:hAnsi="宋体" w:eastAsia="宋体" w:cs="宋体"/>
          <w:kern w:val="2"/>
          <w:sz w:val="24"/>
          <w:szCs w:val="24"/>
          <w:highlight w:val="none"/>
        </w:rPr>
        <w:fldChar w:fldCharType="separate"/>
      </w:r>
      <w:r>
        <w:rPr>
          <w:rFonts w:hint="eastAsia" w:ascii="宋体" w:hAnsi="宋体" w:eastAsia="宋体" w:cs="宋体"/>
          <w:bCs/>
          <w:sz w:val="24"/>
          <w:szCs w:val="24"/>
          <w:highlight w:val="none"/>
          <w:lang w:val="en-US" w:eastAsia="zh-CN"/>
        </w:rPr>
        <w:t>（标项一）2.投标分项报价表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_Toc28913 \h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color w:val="auto"/>
          <w:kern w:val="2"/>
          <w:sz w:val="24"/>
          <w:szCs w:val="24"/>
          <w:highlight w:val="none"/>
        </w:rPr>
        <w:fldChar w:fldCharType="end"/>
      </w:r>
    </w:p>
    <w:p>
      <w:pPr>
        <w:pStyle w:val="14"/>
        <w:tabs>
          <w:tab w:val="right" w:leader="dot" w:pos="8311"/>
        </w:tabs>
        <w:rPr>
          <w:rFonts w:hint="eastAsia" w:ascii="宋体" w:hAnsi="宋体" w:eastAsia="宋体" w:cs="宋体"/>
          <w:sz w:val="24"/>
          <w:szCs w:val="24"/>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kern w:val="2"/>
          <w:sz w:val="24"/>
          <w:szCs w:val="24"/>
          <w:highlight w:val="none"/>
        </w:rPr>
        <w:instrText xml:space="preserve"> HYPERLINK \l _Toc11653 </w:instrText>
      </w:r>
      <w:r>
        <w:rPr>
          <w:rFonts w:hint="eastAsia" w:ascii="宋体" w:hAnsi="宋体" w:eastAsia="宋体" w:cs="宋体"/>
          <w:kern w:val="2"/>
          <w:sz w:val="24"/>
          <w:szCs w:val="24"/>
          <w:highlight w:val="none"/>
        </w:rPr>
        <w:fldChar w:fldCharType="separate"/>
      </w:r>
      <w:r>
        <w:rPr>
          <w:rFonts w:hint="eastAsia" w:ascii="宋体" w:hAnsi="宋体" w:eastAsia="宋体" w:cs="宋体"/>
          <w:bCs/>
          <w:sz w:val="24"/>
          <w:szCs w:val="24"/>
          <w:highlight w:val="none"/>
          <w:lang w:val="en-US" w:eastAsia="zh-CN"/>
        </w:rPr>
        <w:t>（标项二）2.投标分项报价表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_Toc11653 \h </w:instrText>
      </w:r>
      <w:r>
        <w:rPr>
          <w:rFonts w:hint="eastAsia" w:ascii="宋体" w:hAnsi="宋体" w:eastAsia="宋体" w:cs="宋体"/>
          <w:sz w:val="24"/>
          <w:szCs w:val="24"/>
        </w:rPr>
        <w:fldChar w:fldCharType="separate"/>
      </w:r>
      <w:r>
        <w:rPr>
          <w:rFonts w:hint="eastAsia" w:ascii="宋体" w:hAnsi="宋体" w:eastAsia="宋体" w:cs="宋体"/>
          <w:sz w:val="24"/>
          <w:szCs w:val="24"/>
        </w:rPr>
        <w:t>29</w:t>
      </w:r>
      <w:r>
        <w:rPr>
          <w:rFonts w:hint="eastAsia" w:ascii="宋体" w:hAnsi="宋体" w:eastAsia="宋体" w:cs="宋体"/>
          <w:sz w:val="24"/>
          <w:szCs w:val="24"/>
        </w:rPr>
        <w:fldChar w:fldCharType="end"/>
      </w:r>
      <w:r>
        <w:rPr>
          <w:rFonts w:hint="eastAsia" w:ascii="宋体" w:hAnsi="宋体" w:eastAsia="宋体" w:cs="宋体"/>
          <w:color w:val="auto"/>
          <w:kern w:val="2"/>
          <w:sz w:val="24"/>
          <w:szCs w:val="24"/>
          <w:highlight w:val="none"/>
        </w:rPr>
        <w:fldChar w:fldCharType="end"/>
      </w:r>
    </w:p>
    <w:p>
      <w:pPr>
        <w:pStyle w:val="14"/>
        <w:tabs>
          <w:tab w:val="right" w:leader="dot" w:pos="8311"/>
        </w:tabs>
        <w:rPr>
          <w:rFonts w:hint="eastAsia" w:ascii="宋体" w:hAnsi="宋体" w:eastAsia="宋体" w:cs="宋体"/>
          <w:sz w:val="24"/>
          <w:szCs w:val="24"/>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kern w:val="2"/>
          <w:sz w:val="24"/>
          <w:szCs w:val="24"/>
          <w:highlight w:val="none"/>
        </w:rPr>
        <w:instrText xml:space="preserve"> HYPERLINK \l _Toc23978 </w:instrText>
      </w:r>
      <w:r>
        <w:rPr>
          <w:rFonts w:hint="eastAsia" w:ascii="宋体" w:hAnsi="宋体" w:eastAsia="宋体" w:cs="宋体"/>
          <w:kern w:val="2"/>
          <w:sz w:val="24"/>
          <w:szCs w:val="24"/>
          <w:highlight w:val="none"/>
        </w:rPr>
        <w:fldChar w:fldCharType="separate"/>
      </w:r>
      <w:r>
        <w:rPr>
          <w:rFonts w:hint="eastAsia" w:ascii="宋体" w:hAnsi="宋体" w:eastAsia="宋体" w:cs="宋体"/>
          <w:bCs/>
          <w:sz w:val="24"/>
          <w:szCs w:val="24"/>
          <w:highlight w:val="none"/>
          <w:lang w:val="en-US" w:eastAsia="zh-CN"/>
        </w:rPr>
        <w:t>3.货物说明一览表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_Toc23978 \h </w:instrText>
      </w:r>
      <w:r>
        <w:rPr>
          <w:rFonts w:hint="eastAsia" w:ascii="宋体" w:hAnsi="宋体" w:eastAsia="宋体" w:cs="宋体"/>
          <w:sz w:val="24"/>
          <w:szCs w:val="24"/>
        </w:rPr>
        <w:fldChar w:fldCharType="separate"/>
      </w:r>
      <w:r>
        <w:rPr>
          <w:rFonts w:hint="eastAsia" w:ascii="宋体" w:hAnsi="宋体" w:eastAsia="宋体" w:cs="宋体"/>
          <w:sz w:val="24"/>
          <w:szCs w:val="24"/>
        </w:rPr>
        <w:t>30</w:t>
      </w:r>
      <w:r>
        <w:rPr>
          <w:rFonts w:hint="eastAsia" w:ascii="宋体" w:hAnsi="宋体" w:eastAsia="宋体" w:cs="宋体"/>
          <w:sz w:val="24"/>
          <w:szCs w:val="24"/>
        </w:rPr>
        <w:fldChar w:fldCharType="end"/>
      </w:r>
      <w:r>
        <w:rPr>
          <w:rFonts w:hint="eastAsia" w:ascii="宋体" w:hAnsi="宋体" w:eastAsia="宋体" w:cs="宋体"/>
          <w:color w:val="auto"/>
          <w:kern w:val="2"/>
          <w:sz w:val="24"/>
          <w:szCs w:val="24"/>
          <w:highlight w:val="none"/>
        </w:rPr>
        <w:fldChar w:fldCharType="end"/>
      </w:r>
    </w:p>
    <w:p>
      <w:pPr>
        <w:pStyle w:val="14"/>
        <w:tabs>
          <w:tab w:val="right" w:leader="dot" w:pos="8311"/>
        </w:tabs>
        <w:rPr>
          <w:rFonts w:hint="eastAsia" w:ascii="宋体" w:hAnsi="宋体" w:eastAsia="宋体" w:cs="宋体"/>
          <w:sz w:val="24"/>
          <w:szCs w:val="24"/>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kern w:val="2"/>
          <w:sz w:val="24"/>
          <w:szCs w:val="24"/>
          <w:highlight w:val="none"/>
        </w:rPr>
        <w:instrText xml:space="preserve"> HYPERLINK \l _Toc25803 </w:instrText>
      </w:r>
      <w:r>
        <w:rPr>
          <w:rFonts w:hint="eastAsia" w:ascii="宋体" w:hAnsi="宋体" w:eastAsia="宋体" w:cs="宋体"/>
          <w:kern w:val="2"/>
          <w:sz w:val="24"/>
          <w:szCs w:val="24"/>
          <w:highlight w:val="none"/>
        </w:rPr>
        <w:fldChar w:fldCharType="separate"/>
      </w:r>
      <w:r>
        <w:rPr>
          <w:rFonts w:hint="eastAsia" w:ascii="宋体" w:hAnsi="宋体" w:eastAsia="宋体" w:cs="宋体"/>
          <w:bCs/>
          <w:sz w:val="24"/>
          <w:szCs w:val="24"/>
          <w:highlight w:val="none"/>
          <w:lang w:val="en-US" w:eastAsia="zh-CN"/>
        </w:rPr>
        <w:t>4.商务条款偏离表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_Toc25803 \h </w:instrText>
      </w:r>
      <w:r>
        <w:rPr>
          <w:rFonts w:hint="eastAsia" w:ascii="宋体" w:hAnsi="宋体" w:eastAsia="宋体" w:cs="宋体"/>
          <w:sz w:val="24"/>
          <w:szCs w:val="24"/>
        </w:rPr>
        <w:fldChar w:fldCharType="separate"/>
      </w:r>
      <w:r>
        <w:rPr>
          <w:rFonts w:hint="eastAsia" w:ascii="宋体" w:hAnsi="宋体" w:eastAsia="宋体" w:cs="宋体"/>
          <w:sz w:val="24"/>
          <w:szCs w:val="24"/>
        </w:rPr>
        <w:t>31</w:t>
      </w:r>
      <w:r>
        <w:rPr>
          <w:rFonts w:hint="eastAsia" w:ascii="宋体" w:hAnsi="宋体" w:eastAsia="宋体" w:cs="宋体"/>
          <w:sz w:val="24"/>
          <w:szCs w:val="24"/>
        </w:rPr>
        <w:fldChar w:fldCharType="end"/>
      </w:r>
      <w:r>
        <w:rPr>
          <w:rFonts w:hint="eastAsia" w:ascii="宋体" w:hAnsi="宋体" w:eastAsia="宋体" w:cs="宋体"/>
          <w:color w:val="auto"/>
          <w:kern w:val="2"/>
          <w:sz w:val="24"/>
          <w:szCs w:val="24"/>
          <w:highlight w:val="none"/>
        </w:rPr>
        <w:fldChar w:fldCharType="end"/>
      </w:r>
    </w:p>
    <w:p>
      <w:pPr>
        <w:pStyle w:val="14"/>
        <w:tabs>
          <w:tab w:val="right" w:leader="dot" w:pos="8311"/>
        </w:tabs>
        <w:rPr>
          <w:rFonts w:hint="eastAsia" w:ascii="宋体" w:hAnsi="宋体" w:eastAsia="宋体" w:cs="宋体"/>
          <w:sz w:val="24"/>
          <w:szCs w:val="24"/>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kern w:val="2"/>
          <w:sz w:val="24"/>
          <w:szCs w:val="24"/>
          <w:highlight w:val="none"/>
        </w:rPr>
        <w:instrText xml:space="preserve"> HYPERLINK \l _Toc27949 </w:instrText>
      </w:r>
      <w:r>
        <w:rPr>
          <w:rFonts w:hint="eastAsia" w:ascii="宋体" w:hAnsi="宋体" w:eastAsia="宋体" w:cs="宋体"/>
          <w:kern w:val="2"/>
          <w:sz w:val="24"/>
          <w:szCs w:val="24"/>
          <w:highlight w:val="none"/>
        </w:rPr>
        <w:fldChar w:fldCharType="separate"/>
      </w:r>
      <w:r>
        <w:rPr>
          <w:rFonts w:hint="eastAsia" w:ascii="宋体" w:hAnsi="宋体" w:eastAsia="宋体" w:cs="宋体"/>
          <w:bCs/>
          <w:sz w:val="24"/>
          <w:szCs w:val="24"/>
          <w:highlight w:val="none"/>
          <w:lang w:val="en-US" w:eastAsia="zh-CN"/>
        </w:rPr>
        <w:t>5-1中小企业声明函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_Toc27949 \h </w:instrText>
      </w:r>
      <w:r>
        <w:rPr>
          <w:rFonts w:hint="eastAsia" w:ascii="宋体" w:hAnsi="宋体" w:eastAsia="宋体" w:cs="宋体"/>
          <w:sz w:val="24"/>
          <w:szCs w:val="24"/>
        </w:rPr>
        <w:fldChar w:fldCharType="separate"/>
      </w:r>
      <w:r>
        <w:rPr>
          <w:rFonts w:hint="eastAsia" w:ascii="宋体" w:hAnsi="宋体" w:eastAsia="宋体" w:cs="宋体"/>
          <w:sz w:val="24"/>
          <w:szCs w:val="24"/>
        </w:rPr>
        <w:t>32</w:t>
      </w:r>
      <w:r>
        <w:rPr>
          <w:rFonts w:hint="eastAsia" w:ascii="宋体" w:hAnsi="宋体" w:eastAsia="宋体" w:cs="宋体"/>
          <w:sz w:val="24"/>
          <w:szCs w:val="24"/>
        </w:rPr>
        <w:fldChar w:fldCharType="end"/>
      </w:r>
      <w:r>
        <w:rPr>
          <w:rFonts w:hint="eastAsia" w:ascii="宋体" w:hAnsi="宋体" w:eastAsia="宋体" w:cs="宋体"/>
          <w:color w:val="auto"/>
          <w:kern w:val="2"/>
          <w:sz w:val="24"/>
          <w:szCs w:val="24"/>
          <w:highlight w:val="none"/>
        </w:rPr>
        <w:fldChar w:fldCharType="end"/>
      </w:r>
    </w:p>
    <w:p>
      <w:pPr>
        <w:pStyle w:val="14"/>
        <w:tabs>
          <w:tab w:val="right" w:leader="dot" w:pos="8311"/>
        </w:tabs>
        <w:rPr>
          <w:rFonts w:hint="eastAsia" w:ascii="宋体" w:hAnsi="宋体" w:eastAsia="宋体" w:cs="宋体"/>
          <w:sz w:val="24"/>
          <w:szCs w:val="24"/>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kern w:val="2"/>
          <w:sz w:val="24"/>
          <w:szCs w:val="24"/>
          <w:highlight w:val="none"/>
        </w:rPr>
        <w:instrText xml:space="preserve"> HYPERLINK \l _Toc3432 </w:instrText>
      </w:r>
      <w:r>
        <w:rPr>
          <w:rFonts w:hint="eastAsia" w:ascii="宋体" w:hAnsi="宋体" w:eastAsia="宋体" w:cs="宋体"/>
          <w:kern w:val="2"/>
          <w:sz w:val="24"/>
          <w:szCs w:val="24"/>
          <w:highlight w:val="none"/>
        </w:rPr>
        <w:fldChar w:fldCharType="separate"/>
      </w:r>
      <w:r>
        <w:rPr>
          <w:rFonts w:hint="eastAsia" w:ascii="宋体" w:hAnsi="宋体" w:eastAsia="宋体" w:cs="宋体"/>
          <w:bCs/>
          <w:sz w:val="24"/>
          <w:szCs w:val="24"/>
          <w:highlight w:val="none"/>
          <w:lang w:val="en-US" w:eastAsia="zh-CN"/>
        </w:rPr>
        <w:t>5-2 残疾人福利性单位声明函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_Toc3432 \h </w:instrText>
      </w:r>
      <w:r>
        <w:rPr>
          <w:rFonts w:hint="eastAsia" w:ascii="宋体" w:hAnsi="宋体" w:eastAsia="宋体" w:cs="宋体"/>
          <w:sz w:val="24"/>
          <w:szCs w:val="24"/>
        </w:rPr>
        <w:fldChar w:fldCharType="separate"/>
      </w:r>
      <w:r>
        <w:rPr>
          <w:rFonts w:hint="eastAsia" w:ascii="宋体" w:hAnsi="宋体" w:eastAsia="宋体" w:cs="宋体"/>
          <w:sz w:val="24"/>
          <w:szCs w:val="24"/>
        </w:rPr>
        <w:t>35</w:t>
      </w:r>
      <w:r>
        <w:rPr>
          <w:rFonts w:hint="eastAsia" w:ascii="宋体" w:hAnsi="宋体" w:eastAsia="宋体" w:cs="宋体"/>
          <w:sz w:val="24"/>
          <w:szCs w:val="24"/>
        </w:rPr>
        <w:fldChar w:fldCharType="end"/>
      </w:r>
      <w:r>
        <w:rPr>
          <w:rFonts w:hint="eastAsia" w:ascii="宋体" w:hAnsi="宋体" w:eastAsia="宋体" w:cs="宋体"/>
          <w:color w:val="auto"/>
          <w:kern w:val="2"/>
          <w:sz w:val="24"/>
          <w:szCs w:val="24"/>
          <w:highlight w:val="none"/>
        </w:rPr>
        <w:fldChar w:fldCharType="end"/>
      </w:r>
    </w:p>
    <w:p>
      <w:pPr>
        <w:pStyle w:val="14"/>
        <w:tabs>
          <w:tab w:val="right" w:leader="dot" w:pos="8311"/>
        </w:tabs>
        <w:rPr>
          <w:rFonts w:hint="eastAsia" w:ascii="宋体" w:hAnsi="宋体" w:eastAsia="宋体" w:cs="宋体"/>
          <w:sz w:val="24"/>
          <w:szCs w:val="24"/>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kern w:val="2"/>
          <w:sz w:val="24"/>
          <w:szCs w:val="24"/>
          <w:highlight w:val="none"/>
        </w:rPr>
        <w:instrText xml:space="preserve"> HYPERLINK \l _Toc2179 </w:instrText>
      </w:r>
      <w:r>
        <w:rPr>
          <w:rFonts w:hint="eastAsia" w:ascii="宋体" w:hAnsi="宋体" w:eastAsia="宋体" w:cs="宋体"/>
          <w:kern w:val="2"/>
          <w:sz w:val="24"/>
          <w:szCs w:val="24"/>
          <w:highlight w:val="none"/>
        </w:rPr>
        <w:fldChar w:fldCharType="separate"/>
      </w:r>
      <w:r>
        <w:rPr>
          <w:rFonts w:hint="eastAsia" w:ascii="宋体" w:hAnsi="宋体" w:eastAsia="宋体" w:cs="宋体"/>
          <w:bCs/>
          <w:sz w:val="24"/>
          <w:szCs w:val="24"/>
          <w:highlight w:val="none"/>
          <w:lang w:val="en-US" w:eastAsia="zh-CN"/>
        </w:rPr>
        <w:t>6.供应商关联单位的说明（格式自拟）</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_Toc2179 \h </w:instrText>
      </w:r>
      <w:r>
        <w:rPr>
          <w:rFonts w:hint="eastAsia" w:ascii="宋体" w:hAnsi="宋体" w:eastAsia="宋体" w:cs="宋体"/>
          <w:sz w:val="24"/>
          <w:szCs w:val="24"/>
        </w:rPr>
        <w:fldChar w:fldCharType="separate"/>
      </w:r>
      <w:r>
        <w:rPr>
          <w:rFonts w:hint="eastAsia" w:ascii="宋体" w:hAnsi="宋体" w:eastAsia="宋体" w:cs="宋体"/>
          <w:sz w:val="24"/>
          <w:szCs w:val="24"/>
        </w:rPr>
        <w:t>35</w:t>
      </w:r>
      <w:r>
        <w:rPr>
          <w:rFonts w:hint="eastAsia" w:ascii="宋体" w:hAnsi="宋体" w:eastAsia="宋体" w:cs="宋体"/>
          <w:sz w:val="24"/>
          <w:szCs w:val="24"/>
        </w:rPr>
        <w:fldChar w:fldCharType="end"/>
      </w:r>
      <w:r>
        <w:rPr>
          <w:rFonts w:hint="eastAsia" w:ascii="宋体" w:hAnsi="宋体" w:eastAsia="宋体" w:cs="宋体"/>
          <w:color w:val="auto"/>
          <w:kern w:val="2"/>
          <w:sz w:val="24"/>
          <w:szCs w:val="24"/>
          <w:highlight w:val="none"/>
        </w:rPr>
        <w:fldChar w:fldCharType="end"/>
      </w:r>
    </w:p>
    <w:p>
      <w:pPr>
        <w:pStyle w:val="14"/>
        <w:tabs>
          <w:tab w:val="right" w:leader="dot" w:pos="8311"/>
        </w:tabs>
        <w:rPr>
          <w:rFonts w:hint="eastAsia" w:ascii="宋体" w:hAnsi="宋体" w:eastAsia="宋体" w:cs="宋体"/>
          <w:sz w:val="24"/>
          <w:szCs w:val="24"/>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kern w:val="2"/>
          <w:sz w:val="24"/>
          <w:szCs w:val="24"/>
          <w:highlight w:val="none"/>
        </w:rPr>
        <w:instrText xml:space="preserve"> HYPERLINK \l _Toc11261 </w:instrText>
      </w:r>
      <w:r>
        <w:rPr>
          <w:rFonts w:hint="eastAsia" w:ascii="宋体" w:hAnsi="宋体" w:eastAsia="宋体" w:cs="宋体"/>
          <w:kern w:val="2"/>
          <w:sz w:val="24"/>
          <w:szCs w:val="24"/>
          <w:highlight w:val="none"/>
        </w:rPr>
        <w:fldChar w:fldCharType="separate"/>
      </w:r>
      <w:r>
        <w:rPr>
          <w:rFonts w:hint="eastAsia" w:ascii="宋体" w:hAnsi="宋体" w:eastAsia="宋体" w:cs="宋体"/>
          <w:bCs/>
          <w:sz w:val="24"/>
          <w:szCs w:val="24"/>
          <w:highlight w:val="none"/>
          <w:lang w:val="en-US" w:eastAsia="zh-CN"/>
        </w:rPr>
        <w:t>7.供应商可提供有利于投标的其他证明材料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_Toc11261 \h </w:instrText>
      </w:r>
      <w:r>
        <w:rPr>
          <w:rFonts w:hint="eastAsia" w:ascii="宋体" w:hAnsi="宋体" w:eastAsia="宋体" w:cs="宋体"/>
          <w:sz w:val="24"/>
          <w:szCs w:val="24"/>
        </w:rPr>
        <w:fldChar w:fldCharType="separate"/>
      </w:r>
      <w:r>
        <w:rPr>
          <w:rFonts w:hint="eastAsia" w:ascii="宋体" w:hAnsi="宋体" w:eastAsia="宋体" w:cs="宋体"/>
          <w:sz w:val="24"/>
          <w:szCs w:val="24"/>
        </w:rPr>
        <w:t>35</w:t>
      </w:r>
      <w:r>
        <w:rPr>
          <w:rFonts w:hint="eastAsia" w:ascii="宋体" w:hAnsi="宋体" w:eastAsia="宋体" w:cs="宋体"/>
          <w:sz w:val="24"/>
          <w:szCs w:val="24"/>
        </w:rPr>
        <w:fldChar w:fldCharType="end"/>
      </w:r>
      <w:r>
        <w:rPr>
          <w:rFonts w:hint="eastAsia" w:ascii="宋体" w:hAnsi="宋体" w:eastAsia="宋体" w:cs="宋体"/>
          <w:color w:val="auto"/>
          <w:kern w:val="2"/>
          <w:sz w:val="24"/>
          <w:szCs w:val="24"/>
          <w:highlight w:val="none"/>
        </w:rPr>
        <w:fldChar w:fldCharType="end"/>
      </w:r>
    </w:p>
    <w:p>
      <w:pPr>
        <w:pStyle w:val="14"/>
        <w:tabs>
          <w:tab w:val="right" w:leader="dot" w:pos="8311"/>
        </w:tabs>
        <w:rPr>
          <w:rFonts w:hint="eastAsia" w:ascii="宋体" w:hAnsi="宋体" w:eastAsia="宋体" w:cs="宋体"/>
          <w:sz w:val="24"/>
          <w:szCs w:val="24"/>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kern w:val="2"/>
          <w:sz w:val="24"/>
          <w:szCs w:val="24"/>
          <w:highlight w:val="none"/>
        </w:rPr>
        <w:instrText xml:space="preserve"> HYPERLINK \l _Toc19102 </w:instrText>
      </w:r>
      <w:r>
        <w:rPr>
          <w:rFonts w:hint="eastAsia" w:ascii="宋体" w:hAnsi="宋体" w:eastAsia="宋体" w:cs="宋体"/>
          <w:kern w:val="2"/>
          <w:sz w:val="24"/>
          <w:szCs w:val="24"/>
          <w:highlight w:val="none"/>
        </w:rPr>
        <w:fldChar w:fldCharType="separate"/>
      </w:r>
      <w:r>
        <w:rPr>
          <w:rFonts w:hint="eastAsia" w:ascii="宋体" w:hAnsi="宋体" w:eastAsia="宋体" w:cs="宋体"/>
          <w:bCs/>
          <w:sz w:val="24"/>
          <w:szCs w:val="24"/>
          <w:highlight w:val="none"/>
          <w:lang w:val="en-US" w:eastAsia="zh-CN"/>
        </w:rPr>
        <w:t>8.投标文件格式范本</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_Toc19102 \h </w:instrText>
      </w:r>
      <w:r>
        <w:rPr>
          <w:rFonts w:hint="eastAsia" w:ascii="宋体" w:hAnsi="宋体" w:eastAsia="宋体" w:cs="宋体"/>
          <w:sz w:val="24"/>
          <w:szCs w:val="24"/>
        </w:rPr>
        <w:fldChar w:fldCharType="separate"/>
      </w:r>
      <w:r>
        <w:rPr>
          <w:rFonts w:hint="eastAsia" w:ascii="宋体" w:hAnsi="宋体" w:eastAsia="宋体" w:cs="宋体"/>
          <w:sz w:val="24"/>
          <w:szCs w:val="24"/>
        </w:rPr>
        <w:t>36</w:t>
      </w:r>
      <w:r>
        <w:rPr>
          <w:rFonts w:hint="eastAsia" w:ascii="宋体" w:hAnsi="宋体" w:eastAsia="宋体" w:cs="宋体"/>
          <w:sz w:val="24"/>
          <w:szCs w:val="24"/>
        </w:rPr>
        <w:fldChar w:fldCharType="end"/>
      </w:r>
      <w:r>
        <w:rPr>
          <w:rFonts w:hint="eastAsia" w:ascii="宋体" w:hAnsi="宋体" w:eastAsia="宋体" w:cs="宋体"/>
          <w:color w:val="auto"/>
          <w:kern w:val="2"/>
          <w:sz w:val="24"/>
          <w:szCs w:val="24"/>
          <w:highlight w:val="none"/>
        </w:rPr>
        <w:fldChar w:fldCharType="end"/>
      </w:r>
    </w:p>
    <w:p>
      <w:pPr>
        <w:pStyle w:val="20"/>
        <w:tabs>
          <w:tab w:val="right" w:leader="dot" w:pos="8311"/>
        </w:tabs>
        <w:rPr>
          <w:rFonts w:hint="eastAsia" w:ascii="宋体" w:hAnsi="宋体" w:eastAsia="宋体" w:cs="宋体"/>
          <w:sz w:val="24"/>
          <w:szCs w:val="24"/>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kern w:val="2"/>
          <w:sz w:val="24"/>
          <w:szCs w:val="24"/>
          <w:highlight w:val="none"/>
        </w:rPr>
        <w:instrText xml:space="preserve"> HYPERLINK \l _Toc15678 </w:instrText>
      </w:r>
      <w:r>
        <w:rPr>
          <w:rFonts w:hint="eastAsia" w:ascii="宋体" w:hAnsi="宋体" w:eastAsia="宋体" w:cs="宋体"/>
          <w:kern w:val="2"/>
          <w:sz w:val="24"/>
          <w:szCs w:val="24"/>
          <w:highlight w:val="none"/>
        </w:rPr>
        <w:fldChar w:fldCharType="separate"/>
      </w:r>
      <w:r>
        <w:rPr>
          <w:rFonts w:hint="eastAsia" w:ascii="宋体" w:hAnsi="宋体" w:eastAsia="宋体" w:cs="宋体"/>
          <w:bCs/>
          <w:sz w:val="24"/>
          <w:szCs w:val="24"/>
          <w:highlight w:val="none"/>
          <w:lang w:val="en-US" w:eastAsia="zh-CN"/>
        </w:rPr>
        <w:t>第3章  投标邀请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_Toc15678 \h </w:instrText>
      </w:r>
      <w:r>
        <w:rPr>
          <w:rFonts w:hint="eastAsia" w:ascii="宋体" w:hAnsi="宋体" w:eastAsia="宋体" w:cs="宋体"/>
          <w:sz w:val="24"/>
          <w:szCs w:val="24"/>
        </w:rPr>
        <w:fldChar w:fldCharType="separate"/>
      </w:r>
      <w:r>
        <w:rPr>
          <w:rFonts w:hint="eastAsia" w:ascii="宋体" w:hAnsi="宋体" w:eastAsia="宋体" w:cs="宋体"/>
          <w:sz w:val="24"/>
          <w:szCs w:val="24"/>
        </w:rPr>
        <w:t>38</w:t>
      </w:r>
      <w:r>
        <w:rPr>
          <w:rFonts w:hint="eastAsia" w:ascii="宋体" w:hAnsi="宋体" w:eastAsia="宋体" w:cs="宋体"/>
          <w:sz w:val="24"/>
          <w:szCs w:val="24"/>
        </w:rPr>
        <w:fldChar w:fldCharType="end"/>
      </w:r>
      <w:r>
        <w:rPr>
          <w:rFonts w:hint="eastAsia" w:ascii="宋体" w:hAnsi="宋体" w:eastAsia="宋体" w:cs="宋体"/>
          <w:color w:val="auto"/>
          <w:kern w:val="2"/>
          <w:sz w:val="24"/>
          <w:szCs w:val="24"/>
          <w:highlight w:val="none"/>
        </w:rPr>
        <w:fldChar w:fldCharType="end"/>
      </w:r>
    </w:p>
    <w:p>
      <w:pPr>
        <w:pStyle w:val="20"/>
        <w:tabs>
          <w:tab w:val="right" w:leader="dot" w:pos="8311"/>
        </w:tabs>
        <w:rPr>
          <w:rFonts w:hint="eastAsia" w:ascii="宋体" w:hAnsi="宋体" w:eastAsia="宋体" w:cs="宋体"/>
          <w:sz w:val="24"/>
          <w:szCs w:val="24"/>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kern w:val="2"/>
          <w:sz w:val="24"/>
          <w:szCs w:val="24"/>
          <w:highlight w:val="none"/>
        </w:rPr>
        <w:instrText xml:space="preserve"> HYPERLINK \l _Toc31939 </w:instrText>
      </w:r>
      <w:r>
        <w:rPr>
          <w:rFonts w:hint="eastAsia" w:ascii="宋体" w:hAnsi="宋体" w:eastAsia="宋体" w:cs="宋体"/>
          <w:kern w:val="2"/>
          <w:sz w:val="24"/>
          <w:szCs w:val="24"/>
          <w:highlight w:val="none"/>
        </w:rPr>
        <w:fldChar w:fldCharType="separate"/>
      </w:r>
      <w:r>
        <w:rPr>
          <w:rFonts w:hint="eastAsia" w:ascii="宋体" w:hAnsi="宋体" w:eastAsia="宋体" w:cs="宋体"/>
          <w:bCs/>
          <w:sz w:val="24"/>
          <w:szCs w:val="24"/>
          <w:highlight w:val="none"/>
          <w:lang w:val="en-US" w:eastAsia="zh-CN"/>
        </w:rPr>
        <w:t>第4章  供应商须知资料表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_Toc31939 \h </w:instrText>
      </w:r>
      <w:r>
        <w:rPr>
          <w:rFonts w:hint="eastAsia" w:ascii="宋体" w:hAnsi="宋体" w:eastAsia="宋体" w:cs="宋体"/>
          <w:sz w:val="24"/>
          <w:szCs w:val="24"/>
        </w:rPr>
        <w:fldChar w:fldCharType="separate"/>
      </w:r>
      <w:r>
        <w:rPr>
          <w:rFonts w:hint="eastAsia" w:ascii="宋体" w:hAnsi="宋体" w:eastAsia="宋体" w:cs="宋体"/>
          <w:sz w:val="24"/>
          <w:szCs w:val="24"/>
        </w:rPr>
        <w:t>41</w:t>
      </w:r>
      <w:r>
        <w:rPr>
          <w:rFonts w:hint="eastAsia" w:ascii="宋体" w:hAnsi="宋体" w:eastAsia="宋体" w:cs="宋体"/>
          <w:sz w:val="24"/>
          <w:szCs w:val="24"/>
        </w:rPr>
        <w:fldChar w:fldCharType="end"/>
      </w:r>
      <w:r>
        <w:rPr>
          <w:rFonts w:hint="eastAsia" w:ascii="宋体" w:hAnsi="宋体" w:eastAsia="宋体" w:cs="宋体"/>
          <w:color w:val="auto"/>
          <w:kern w:val="2"/>
          <w:sz w:val="24"/>
          <w:szCs w:val="24"/>
          <w:highlight w:val="none"/>
        </w:rPr>
        <w:fldChar w:fldCharType="end"/>
      </w:r>
    </w:p>
    <w:p>
      <w:pPr>
        <w:pStyle w:val="20"/>
        <w:tabs>
          <w:tab w:val="right" w:leader="dot" w:pos="8311"/>
        </w:tabs>
        <w:rPr>
          <w:rFonts w:hint="eastAsia" w:ascii="宋体" w:hAnsi="宋体" w:eastAsia="宋体" w:cs="宋体"/>
          <w:sz w:val="24"/>
          <w:szCs w:val="24"/>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kern w:val="2"/>
          <w:sz w:val="24"/>
          <w:szCs w:val="24"/>
          <w:highlight w:val="none"/>
        </w:rPr>
        <w:instrText xml:space="preserve"> HYPERLINK \l _Toc12087 </w:instrText>
      </w:r>
      <w:r>
        <w:rPr>
          <w:rFonts w:hint="eastAsia" w:ascii="宋体" w:hAnsi="宋体" w:eastAsia="宋体" w:cs="宋体"/>
          <w:kern w:val="2"/>
          <w:sz w:val="24"/>
          <w:szCs w:val="24"/>
          <w:highlight w:val="none"/>
        </w:rPr>
        <w:fldChar w:fldCharType="separate"/>
      </w:r>
      <w:r>
        <w:rPr>
          <w:rFonts w:hint="eastAsia" w:ascii="宋体" w:hAnsi="宋体" w:eastAsia="宋体" w:cs="宋体"/>
          <w:bCs/>
          <w:kern w:val="0"/>
          <w:sz w:val="24"/>
          <w:szCs w:val="24"/>
          <w:lang w:val="en-US" w:eastAsia="zh-CN" w:bidi="ar-SA"/>
        </w:rPr>
        <w:t xml:space="preserve">第5章 </w:t>
      </w:r>
      <w:r>
        <w:rPr>
          <w:rFonts w:hint="eastAsia" w:ascii="宋体" w:hAnsi="宋体" w:eastAsia="宋体" w:cs="宋体"/>
          <w:bCs/>
          <w:kern w:val="0"/>
          <w:sz w:val="24"/>
          <w:szCs w:val="24"/>
          <w:highlight w:val="none"/>
          <w:lang w:val="en-US" w:eastAsia="zh-CN" w:bidi="ar-SA"/>
        </w:rPr>
        <w:t>货物内容及项目要求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_Toc12087 \h </w:instrText>
      </w:r>
      <w:r>
        <w:rPr>
          <w:rFonts w:hint="eastAsia" w:ascii="宋体" w:hAnsi="宋体" w:eastAsia="宋体" w:cs="宋体"/>
          <w:sz w:val="24"/>
          <w:szCs w:val="24"/>
        </w:rPr>
        <w:fldChar w:fldCharType="separate"/>
      </w:r>
      <w:r>
        <w:rPr>
          <w:rFonts w:hint="eastAsia" w:ascii="宋体" w:hAnsi="宋体" w:eastAsia="宋体" w:cs="宋体"/>
          <w:sz w:val="24"/>
          <w:szCs w:val="24"/>
        </w:rPr>
        <w:t>45</w:t>
      </w:r>
      <w:r>
        <w:rPr>
          <w:rFonts w:hint="eastAsia" w:ascii="宋体" w:hAnsi="宋体" w:eastAsia="宋体" w:cs="宋体"/>
          <w:sz w:val="24"/>
          <w:szCs w:val="24"/>
        </w:rPr>
        <w:fldChar w:fldCharType="end"/>
      </w:r>
      <w:r>
        <w:rPr>
          <w:rFonts w:hint="eastAsia" w:ascii="宋体" w:hAnsi="宋体" w:eastAsia="宋体" w:cs="宋体"/>
          <w:color w:val="auto"/>
          <w:kern w:val="2"/>
          <w:sz w:val="24"/>
          <w:szCs w:val="24"/>
          <w:highlight w:val="none"/>
        </w:rPr>
        <w:fldChar w:fldCharType="end"/>
      </w:r>
    </w:p>
    <w:p>
      <w:pPr>
        <w:pStyle w:val="23"/>
        <w:tabs>
          <w:tab w:val="right" w:leader="dot" w:pos="8311"/>
        </w:tabs>
        <w:rPr>
          <w:rFonts w:hint="eastAsia" w:ascii="宋体" w:hAnsi="宋体" w:eastAsia="宋体" w:cs="宋体"/>
          <w:sz w:val="24"/>
          <w:szCs w:val="24"/>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kern w:val="2"/>
          <w:sz w:val="24"/>
          <w:szCs w:val="24"/>
          <w:highlight w:val="none"/>
        </w:rPr>
        <w:instrText xml:space="preserve"> HYPERLINK \l _Toc27048 </w:instrText>
      </w:r>
      <w:r>
        <w:rPr>
          <w:rFonts w:hint="eastAsia" w:ascii="宋体" w:hAnsi="宋体" w:eastAsia="宋体" w:cs="宋体"/>
          <w:kern w:val="2"/>
          <w:sz w:val="24"/>
          <w:szCs w:val="24"/>
          <w:highlight w:val="none"/>
        </w:rPr>
        <w:fldChar w:fldCharType="separate"/>
      </w:r>
      <w:r>
        <w:rPr>
          <w:rFonts w:hint="eastAsia" w:ascii="宋体" w:hAnsi="宋体" w:eastAsia="宋体" w:cs="宋体"/>
          <w:bCs/>
          <w:kern w:val="0"/>
          <w:sz w:val="24"/>
          <w:szCs w:val="24"/>
          <w:highlight w:val="none"/>
          <w:lang w:val="en-US" w:eastAsia="zh-CN" w:bidi="ar-SA"/>
        </w:rPr>
        <w:t>标项一：</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_Toc27048 \h </w:instrText>
      </w:r>
      <w:r>
        <w:rPr>
          <w:rFonts w:hint="eastAsia" w:ascii="宋体" w:hAnsi="宋体" w:eastAsia="宋体" w:cs="宋体"/>
          <w:sz w:val="24"/>
          <w:szCs w:val="24"/>
        </w:rPr>
        <w:fldChar w:fldCharType="separate"/>
      </w:r>
      <w:r>
        <w:rPr>
          <w:rFonts w:hint="eastAsia" w:ascii="宋体" w:hAnsi="宋体" w:eastAsia="宋体" w:cs="宋体"/>
          <w:sz w:val="24"/>
          <w:szCs w:val="24"/>
        </w:rPr>
        <w:t>45</w:t>
      </w:r>
      <w:r>
        <w:rPr>
          <w:rFonts w:hint="eastAsia" w:ascii="宋体" w:hAnsi="宋体" w:eastAsia="宋体" w:cs="宋体"/>
          <w:sz w:val="24"/>
          <w:szCs w:val="24"/>
        </w:rPr>
        <w:fldChar w:fldCharType="end"/>
      </w:r>
      <w:r>
        <w:rPr>
          <w:rFonts w:hint="eastAsia" w:ascii="宋体" w:hAnsi="宋体" w:eastAsia="宋体" w:cs="宋体"/>
          <w:color w:val="auto"/>
          <w:kern w:val="2"/>
          <w:sz w:val="24"/>
          <w:szCs w:val="24"/>
          <w:highlight w:val="none"/>
        </w:rPr>
        <w:fldChar w:fldCharType="end"/>
      </w:r>
    </w:p>
    <w:p>
      <w:pPr>
        <w:pStyle w:val="23"/>
        <w:tabs>
          <w:tab w:val="right" w:leader="dot" w:pos="8311"/>
        </w:tabs>
        <w:rPr>
          <w:rFonts w:hint="eastAsia" w:ascii="宋体" w:hAnsi="宋体" w:eastAsia="宋体" w:cs="宋体"/>
          <w:sz w:val="24"/>
          <w:szCs w:val="24"/>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kern w:val="2"/>
          <w:sz w:val="24"/>
          <w:szCs w:val="24"/>
          <w:highlight w:val="none"/>
        </w:rPr>
        <w:instrText xml:space="preserve"> HYPERLINK \l _Toc1601 </w:instrText>
      </w:r>
      <w:r>
        <w:rPr>
          <w:rFonts w:hint="eastAsia" w:ascii="宋体" w:hAnsi="宋体" w:eastAsia="宋体" w:cs="宋体"/>
          <w:kern w:val="2"/>
          <w:sz w:val="24"/>
          <w:szCs w:val="24"/>
          <w:highlight w:val="none"/>
        </w:rPr>
        <w:fldChar w:fldCharType="separate"/>
      </w:r>
      <w:r>
        <w:rPr>
          <w:rFonts w:hint="eastAsia" w:ascii="宋体" w:hAnsi="宋体" w:eastAsia="宋体" w:cs="宋体"/>
          <w:bCs/>
          <w:sz w:val="24"/>
          <w:szCs w:val="24"/>
          <w:lang w:val="en-US" w:eastAsia="zh-CN"/>
        </w:rPr>
        <w:t>标项二：</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_Toc1601 \h </w:instrText>
      </w:r>
      <w:r>
        <w:rPr>
          <w:rFonts w:hint="eastAsia" w:ascii="宋体" w:hAnsi="宋体" w:eastAsia="宋体" w:cs="宋体"/>
          <w:sz w:val="24"/>
          <w:szCs w:val="24"/>
        </w:rPr>
        <w:fldChar w:fldCharType="separate"/>
      </w:r>
      <w:r>
        <w:rPr>
          <w:rFonts w:hint="eastAsia" w:ascii="宋体" w:hAnsi="宋体" w:eastAsia="宋体" w:cs="宋体"/>
          <w:sz w:val="24"/>
          <w:szCs w:val="24"/>
        </w:rPr>
        <w:t>47</w:t>
      </w:r>
      <w:r>
        <w:rPr>
          <w:rFonts w:hint="eastAsia" w:ascii="宋体" w:hAnsi="宋体" w:eastAsia="宋体" w:cs="宋体"/>
          <w:sz w:val="24"/>
          <w:szCs w:val="24"/>
        </w:rPr>
        <w:fldChar w:fldCharType="end"/>
      </w:r>
      <w:r>
        <w:rPr>
          <w:rFonts w:hint="eastAsia" w:ascii="宋体" w:hAnsi="宋体" w:eastAsia="宋体" w:cs="宋体"/>
          <w:color w:val="auto"/>
          <w:kern w:val="2"/>
          <w:sz w:val="24"/>
          <w:szCs w:val="24"/>
          <w:highlight w:val="none"/>
        </w:rPr>
        <w:fldChar w:fldCharType="end"/>
      </w:r>
    </w:p>
    <w:p>
      <w:pPr>
        <w:pStyle w:val="23"/>
        <w:tabs>
          <w:tab w:val="right" w:leader="dot" w:pos="8311"/>
        </w:tabs>
        <w:rPr>
          <w:rFonts w:hint="eastAsia" w:ascii="宋体" w:hAnsi="宋体" w:eastAsia="宋体" w:cs="宋体"/>
          <w:sz w:val="24"/>
          <w:szCs w:val="24"/>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kern w:val="2"/>
          <w:sz w:val="24"/>
          <w:szCs w:val="24"/>
          <w:highlight w:val="none"/>
        </w:rPr>
        <w:instrText xml:space="preserve"> HYPERLINK \l _Toc14988 </w:instrText>
      </w:r>
      <w:r>
        <w:rPr>
          <w:rFonts w:hint="eastAsia" w:ascii="宋体" w:hAnsi="宋体" w:eastAsia="宋体" w:cs="宋体"/>
          <w:kern w:val="2"/>
          <w:sz w:val="24"/>
          <w:szCs w:val="24"/>
          <w:highlight w:val="none"/>
        </w:rPr>
        <w:fldChar w:fldCharType="separate"/>
      </w:r>
      <w:r>
        <w:rPr>
          <w:rFonts w:hint="eastAsia" w:ascii="宋体" w:hAnsi="宋体" w:eastAsia="宋体" w:cs="宋体"/>
          <w:bCs/>
          <w:sz w:val="24"/>
          <w:szCs w:val="24"/>
          <w:lang w:val="en-US" w:eastAsia="zh-CN"/>
        </w:rPr>
        <w:t>三、其他要求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_Toc14988 \h </w:instrText>
      </w:r>
      <w:r>
        <w:rPr>
          <w:rFonts w:hint="eastAsia" w:ascii="宋体" w:hAnsi="宋体" w:eastAsia="宋体" w:cs="宋体"/>
          <w:sz w:val="24"/>
          <w:szCs w:val="24"/>
        </w:rPr>
        <w:fldChar w:fldCharType="separate"/>
      </w:r>
      <w:r>
        <w:rPr>
          <w:rFonts w:hint="eastAsia" w:ascii="宋体" w:hAnsi="宋体" w:eastAsia="宋体" w:cs="宋体"/>
          <w:sz w:val="24"/>
          <w:szCs w:val="24"/>
        </w:rPr>
        <w:t>50</w:t>
      </w:r>
      <w:r>
        <w:rPr>
          <w:rFonts w:hint="eastAsia" w:ascii="宋体" w:hAnsi="宋体" w:eastAsia="宋体" w:cs="宋体"/>
          <w:sz w:val="24"/>
          <w:szCs w:val="24"/>
        </w:rPr>
        <w:fldChar w:fldCharType="end"/>
      </w:r>
      <w:r>
        <w:rPr>
          <w:rFonts w:hint="eastAsia" w:ascii="宋体" w:hAnsi="宋体" w:eastAsia="宋体" w:cs="宋体"/>
          <w:color w:val="auto"/>
          <w:kern w:val="2"/>
          <w:sz w:val="24"/>
          <w:szCs w:val="24"/>
          <w:highlight w:val="none"/>
        </w:rPr>
        <w:fldChar w:fldCharType="end"/>
      </w:r>
    </w:p>
    <w:p>
      <w:pPr>
        <w:pStyle w:val="20"/>
        <w:tabs>
          <w:tab w:val="right" w:leader="dot" w:pos="8311"/>
        </w:tabs>
        <w:rPr>
          <w:rFonts w:hint="eastAsia" w:ascii="宋体" w:hAnsi="宋体" w:eastAsia="宋体" w:cs="宋体"/>
          <w:sz w:val="24"/>
          <w:szCs w:val="24"/>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kern w:val="2"/>
          <w:sz w:val="24"/>
          <w:szCs w:val="24"/>
          <w:highlight w:val="none"/>
        </w:rPr>
        <w:instrText xml:space="preserve"> HYPERLINK \l _Toc8137 </w:instrText>
      </w:r>
      <w:r>
        <w:rPr>
          <w:rFonts w:hint="eastAsia" w:ascii="宋体" w:hAnsi="宋体" w:eastAsia="宋体" w:cs="宋体"/>
          <w:kern w:val="2"/>
          <w:sz w:val="24"/>
          <w:szCs w:val="24"/>
          <w:highlight w:val="none"/>
        </w:rPr>
        <w:fldChar w:fldCharType="separate"/>
      </w:r>
      <w:r>
        <w:rPr>
          <w:rFonts w:hint="eastAsia" w:ascii="宋体" w:hAnsi="宋体" w:eastAsia="宋体" w:cs="宋体"/>
          <w:bCs/>
          <w:sz w:val="24"/>
          <w:szCs w:val="24"/>
          <w:highlight w:val="none"/>
          <w:lang w:val="en-US" w:eastAsia="zh-CN"/>
        </w:rPr>
        <w:t>第6章  评标方法和标准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_Toc8137 \h </w:instrText>
      </w:r>
      <w:r>
        <w:rPr>
          <w:rFonts w:hint="eastAsia" w:ascii="宋体" w:hAnsi="宋体" w:eastAsia="宋体" w:cs="宋体"/>
          <w:sz w:val="24"/>
          <w:szCs w:val="24"/>
        </w:rPr>
        <w:fldChar w:fldCharType="separate"/>
      </w:r>
      <w:r>
        <w:rPr>
          <w:rFonts w:hint="eastAsia" w:ascii="宋体" w:hAnsi="宋体" w:eastAsia="宋体" w:cs="宋体"/>
          <w:sz w:val="24"/>
          <w:szCs w:val="24"/>
        </w:rPr>
        <w:t>52</w:t>
      </w:r>
      <w:r>
        <w:rPr>
          <w:rFonts w:hint="eastAsia" w:ascii="宋体" w:hAnsi="宋体" w:eastAsia="宋体" w:cs="宋体"/>
          <w:sz w:val="24"/>
          <w:szCs w:val="24"/>
        </w:rPr>
        <w:fldChar w:fldCharType="end"/>
      </w:r>
      <w:r>
        <w:rPr>
          <w:rFonts w:hint="eastAsia" w:ascii="宋体" w:hAnsi="宋体" w:eastAsia="宋体" w:cs="宋体"/>
          <w:color w:val="auto"/>
          <w:kern w:val="2"/>
          <w:sz w:val="24"/>
          <w:szCs w:val="24"/>
          <w:highlight w:val="none"/>
        </w:rPr>
        <w:fldChar w:fldCharType="end"/>
      </w:r>
    </w:p>
    <w:p>
      <w:pPr>
        <w:pStyle w:val="23"/>
        <w:tabs>
          <w:tab w:val="right" w:leader="dot" w:pos="8311"/>
        </w:tabs>
        <w:rPr>
          <w:rFonts w:hint="eastAsia" w:ascii="宋体" w:hAnsi="宋体" w:eastAsia="宋体" w:cs="宋体"/>
          <w:sz w:val="24"/>
          <w:szCs w:val="24"/>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kern w:val="2"/>
          <w:sz w:val="24"/>
          <w:szCs w:val="24"/>
          <w:highlight w:val="none"/>
        </w:rPr>
        <w:instrText xml:space="preserve"> HYPERLINK \l _Toc12968 </w:instrText>
      </w:r>
      <w:r>
        <w:rPr>
          <w:rFonts w:hint="eastAsia" w:ascii="宋体" w:hAnsi="宋体" w:eastAsia="宋体" w:cs="宋体"/>
          <w:kern w:val="2"/>
          <w:sz w:val="24"/>
          <w:szCs w:val="24"/>
          <w:highlight w:val="none"/>
        </w:rPr>
        <w:fldChar w:fldCharType="separate"/>
      </w:r>
      <w:r>
        <w:rPr>
          <w:rFonts w:hint="eastAsia" w:ascii="宋体" w:hAnsi="宋体" w:eastAsia="宋体" w:cs="宋体"/>
          <w:sz w:val="24"/>
          <w:szCs w:val="24"/>
          <w:highlight w:val="none"/>
        </w:rPr>
        <w:t>初步评审—资格性审查表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_Toc12968 \h </w:instrText>
      </w:r>
      <w:r>
        <w:rPr>
          <w:rFonts w:hint="eastAsia" w:ascii="宋体" w:hAnsi="宋体" w:eastAsia="宋体" w:cs="宋体"/>
          <w:sz w:val="24"/>
          <w:szCs w:val="24"/>
        </w:rPr>
        <w:fldChar w:fldCharType="separate"/>
      </w:r>
      <w:r>
        <w:rPr>
          <w:rFonts w:hint="eastAsia" w:ascii="宋体" w:hAnsi="宋体" w:eastAsia="宋体" w:cs="宋体"/>
          <w:sz w:val="24"/>
          <w:szCs w:val="24"/>
        </w:rPr>
        <w:t>57</w:t>
      </w:r>
      <w:r>
        <w:rPr>
          <w:rFonts w:hint="eastAsia" w:ascii="宋体" w:hAnsi="宋体" w:eastAsia="宋体" w:cs="宋体"/>
          <w:sz w:val="24"/>
          <w:szCs w:val="24"/>
        </w:rPr>
        <w:fldChar w:fldCharType="end"/>
      </w:r>
      <w:r>
        <w:rPr>
          <w:rFonts w:hint="eastAsia" w:ascii="宋体" w:hAnsi="宋体" w:eastAsia="宋体" w:cs="宋体"/>
          <w:color w:val="auto"/>
          <w:kern w:val="2"/>
          <w:sz w:val="24"/>
          <w:szCs w:val="24"/>
          <w:highlight w:val="none"/>
        </w:rPr>
        <w:fldChar w:fldCharType="end"/>
      </w:r>
    </w:p>
    <w:p>
      <w:pPr>
        <w:pStyle w:val="23"/>
        <w:tabs>
          <w:tab w:val="right" w:leader="dot" w:pos="8311"/>
        </w:tabs>
        <w:rPr>
          <w:rFonts w:hint="eastAsia" w:ascii="宋体" w:hAnsi="宋体" w:eastAsia="宋体" w:cs="宋体"/>
          <w:sz w:val="24"/>
          <w:szCs w:val="24"/>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kern w:val="2"/>
          <w:sz w:val="24"/>
          <w:szCs w:val="24"/>
          <w:highlight w:val="none"/>
        </w:rPr>
        <w:instrText xml:space="preserve"> HYPERLINK \l _Toc6006 </w:instrText>
      </w:r>
      <w:r>
        <w:rPr>
          <w:rFonts w:hint="eastAsia" w:ascii="宋体" w:hAnsi="宋体" w:eastAsia="宋体" w:cs="宋体"/>
          <w:kern w:val="2"/>
          <w:sz w:val="24"/>
          <w:szCs w:val="24"/>
          <w:highlight w:val="none"/>
        </w:rPr>
        <w:fldChar w:fldCharType="separate"/>
      </w:r>
      <w:r>
        <w:rPr>
          <w:rFonts w:hint="eastAsia" w:ascii="宋体" w:hAnsi="宋体" w:eastAsia="宋体" w:cs="宋体"/>
          <w:sz w:val="24"/>
          <w:szCs w:val="24"/>
          <w:highlight w:val="none"/>
        </w:rPr>
        <w:t>初步评审—符合性审查表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_Toc6006 \h </w:instrText>
      </w:r>
      <w:r>
        <w:rPr>
          <w:rFonts w:hint="eastAsia" w:ascii="宋体" w:hAnsi="宋体" w:eastAsia="宋体" w:cs="宋体"/>
          <w:sz w:val="24"/>
          <w:szCs w:val="24"/>
        </w:rPr>
        <w:fldChar w:fldCharType="separate"/>
      </w:r>
      <w:r>
        <w:rPr>
          <w:rFonts w:hint="eastAsia" w:ascii="宋体" w:hAnsi="宋体" w:eastAsia="宋体" w:cs="宋体"/>
          <w:sz w:val="24"/>
          <w:szCs w:val="24"/>
        </w:rPr>
        <w:t>58</w:t>
      </w:r>
      <w:r>
        <w:rPr>
          <w:rFonts w:hint="eastAsia" w:ascii="宋体" w:hAnsi="宋体" w:eastAsia="宋体" w:cs="宋体"/>
          <w:sz w:val="24"/>
          <w:szCs w:val="24"/>
        </w:rPr>
        <w:fldChar w:fldCharType="end"/>
      </w:r>
      <w:r>
        <w:rPr>
          <w:rFonts w:hint="eastAsia" w:ascii="宋体" w:hAnsi="宋体" w:eastAsia="宋体" w:cs="宋体"/>
          <w:color w:val="auto"/>
          <w:kern w:val="2"/>
          <w:sz w:val="24"/>
          <w:szCs w:val="24"/>
          <w:highlight w:val="none"/>
        </w:rPr>
        <w:fldChar w:fldCharType="end"/>
      </w:r>
    </w:p>
    <w:p>
      <w:pPr>
        <w:pStyle w:val="23"/>
        <w:tabs>
          <w:tab w:val="right" w:leader="dot" w:pos="8311"/>
        </w:tabs>
        <w:rPr>
          <w:rFonts w:hint="eastAsia" w:ascii="宋体" w:hAnsi="宋体" w:eastAsia="宋体" w:cs="宋体"/>
          <w:sz w:val="24"/>
          <w:szCs w:val="24"/>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kern w:val="2"/>
          <w:sz w:val="24"/>
          <w:szCs w:val="24"/>
          <w:highlight w:val="none"/>
        </w:rPr>
        <w:instrText xml:space="preserve"> HYPERLINK \l _Toc8510 </w:instrText>
      </w:r>
      <w:r>
        <w:rPr>
          <w:rFonts w:hint="eastAsia" w:ascii="宋体" w:hAnsi="宋体" w:eastAsia="宋体" w:cs="宋体"/>
          <w:kern w:val="2"/>
          <w:sz w:val="24"/>
          <w:szCs w:val="24"/>
          <w:highlight w:val="none"/>
        </w:rPr>
        <w:fldChar w:fldCharType="separate"/>
      </w:r>
      <w:r>
        <w:rPr>
          <w:rFonts w:hint="eastAsia" w:ascii="宋体" w:hAnsi="宋体" w:eastAsia="宋体" w:cs="宋体"/>
          <w:kern w:val="0"/>
          <w:sz w:val="24"/>
          <w:szCs w:val="24"/>
          <w:highlight w:val="none"/>
          <w:lang w:val="en-US" w:eastAsia="zh-CN" w:bidi="ar-SA"/>
        </w:rPr>
        <w:t>（标项一）综合评分表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_Toc8510 \h </w:instrText>
      </w:r>
      <w:r>
        <w:rPr>
          <w:rFonts w:hint="eastAsia" w:ascii="宋体" w:hAnsi="宋体" w:eastAsia="宋体" w:cs="宋体"/>
          <w:sz w:val="24"/>
          <w:szCs w:val="24"/>
        </w:rPr>
        <w:fldChar w:fldCharType="separate"/>
      </w:r>
      <w:r>
        <w:rPr>
          <w:rFonts w:hint="eastAsia" w:ascii="宋体" w:hAnsi="宋体" w:eastAsia="宋体" w:cs="宋体"/>
          <w:sz w:val="24"/>
          <w:szCs w:val="24"/>
        </w:rPr>
        <w:t>59</w:t>
      </w:r>
      <w:r>
        <w:rPr>
          <w:rFonts w:hint="eastAsia" w:ascii="宋体" w:hAnsi="宋体" w:eastAsia="宋体" w:cs="宋体"/>
          <w:sz w:val="24"/>
          <w:szCs w:val="24"/>
        </w:rPr>
        <w:fldChar w:fldCharType="end"/>
      </w:r>
      <w:r>
        <w:rPr>
          <w:rFonts w:hint="eastAsia" w:ascii="宋体" w:hAnsi="宋体" w:eastAsia="宋体" w:cs="宋体"/>
          <w:color w:val="auto"/>
          <w:kern w:val="2"/>
          <w:sz w:val="24"/>
          <w:szCs w:val="24"/>
          <w:highlight w:val="none"/>
        </w:rPr>
        <w:fldChar w:fldCharType="end"/>
      </w:r>
    </w:p>
    <w:p>
      <w:pPr>
        <w:pStyle w:val="23"/>
        <w:tabs>
          <w:tab w:val="right" w:leader="dot" w:pos="8311"/>
        </w:tabs>
        <w:rPr>
          <w:rFonts w:hint="eastAsia" w:ascii="宋体" w:hAnsi="宋体" w:eastAsia="宋体" w:cs="宋体"/>
          <w:sz w:val="24"/>
          <w:szCs w:val="24"/>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kern w:val="2"/>
          <w:sz w:val="24"/>
          <w:szCs w:val="24"/>
          <w:highlight w:val="none"/>
        </w:rPr>
        <w:instrText xml:space="preserve"> HYPERLINK \l _Toc27131 </w:instrText>
      </w:r>
      <w:r>
        <w:rPr>
          <w:rFonts w:hint="eastAsia" w:ascii="宋体" w:hAnsi="宋体" w:eastAsia="宋体" w:cs="宋体"/>
          <w:kern w:val="2"/>
          <w:sz w:val="24"/>
          <w:szCs w:val="24"/>
          <w:highlight w:val="none"/>
        </w:rPr>
        <w:fldChar w:fldCharType="separate"/>
      </w:r>
      <w:r>
        <w:rPr>
          <w:rFonts w:hint="eastAsia" w:ascii="宋体" w:hAnsi="宋体" w:eastAsia="宋体" w:cs="宋体"/>
          <w:kern w:val="0"/>
          <w:sz w:val="24"/>
          <w:szCs w:val="24"/>
          <w:highlight w:val="none"/>
          <w:lang w:val="en-US" w:eastAsia="zh-CN" w:bidi="ar-SA"/>
        </w:rPr>
        <w:t>（标项二）综合评分表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_Toc27131 \h </w:instrText>
      </w:r>
      <w:r>
        <w:rPr>
          <w:rFonts w:hint="eastAsia" w:ascii="宋体" w:hAnsi="宋体" w:eastAsia="宋体" w:cs="宋体"/>
          <w:sz w:val="24"/>
          <w:szCs w:val="24"/>
        </w:rPr>
        <w:fldChar w:fldCharType="separate"/>
      </w:r>
      <w:r>
        <w:rPr>
          <w:rFonts w:hint="eastAsia" w:ascii="宋体" w:hAnsi="宋体" w:eastAsia="宋体" w:cs="宋体"/>
          <w:sz w:val="24"/>
          <w:szCs w:val="24"/>
        </w:rPr>
        <w:t>61</w:t>
      </w:r>
      <w:r>
        <w:rPr>
          <w:rFonts w:hint="eastAsia" w:ascii="宋体" w:hAnsi="宋体" w:eastAsia="宋体" w:cs="宋体"/>
          <w:sz w:val="24"/>
          <w:szCs w:val="24"/>
        </w:rPr>
        <w:fldChar w:fldCharType="end"/>
      </w:r>
      <w:r>
        <w:rPr>
          <w:rFonts w:hint="eastAsia" w:ascii="宋体" w:hAnsi="宋体" w:eastAsia="宋体" w:cs="宋体"/>
          <w:color w:val="auto"/>
          <w:kern w:val="2"/>
          <w:sz w:val="24"/>
          <w:szCs w:val="24"/>
          <w:highlight w:val="none"/>
        </w:rPr>
        <w:fldChar w:fldCharType="end"/>
      </w:r>
    </w:p>
    <w:p>
      <w:pPr>
        <w:pStyle w:val="20"/>
        <w:tabs>
          <w:tab w:val="right" w:leader="dot" w:pos="8311"/>
        </w:tabs>
        <w:rPr>
          <w:rFonts w:hint="eastAsia" w:ascii="宋体" w:hAnsi="宋体" w:eastAsia="宋体" w:cs="宋体"/>
          <w:sz w:val="24"/>
          <w:szCs w:val="24"/>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kern w:val="2"/>
          <w:sz w:val="24"/>
          <w:szCs w:val="24"/>
          <w:highlight w:val="none"/>
        </w:rPr>
        <w:instrText xml:space="preserve"> HYPERLINK \l _Toc29046 </w:instrText>
      </w:r>
      <w:r>
        <w:rPr>
          <w:rFonts w:hint="eastAsia" w:ascii="宋体" w:hAnsi="宋体" w:eastAsia="宋体" w:cs="宋体"/>
          <w:kern w:val="2"/>
          <w:sz w:val="24"/>
          <w:szCs w:val="24"/>
          <w:highlight w:val="none"/>
        </w:rPr>
        <w:fldChar w:fldCharType="separate"/>
      </w:r>
      <w:r>
        <w:rPr>
          <w:rFonts w:hint="eastAsia" w:ascii="宋体" w:hAnsi="宋体" w:eastAsia="宋体" w:cs="宋体"/>
          <w:bCs/>
          <w:sz w:val="24"/>
          <w:szCs w:val="24"/>
          <w:highlight w:val="none"/>
          <w:lang w:val="en-US" w:eastAsia="zh-CN"/>
        </w:rPr>
        <w:t>第7章  政府采购合同</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_Toc29046 \h </w:instrText>
      </w:r>
      <w:r>
        <w:rPr>
          <w:rFonts w:hint="eastAsia" w:ascii="宋体" w:hAnsi="宋体" w:eastAsia="宋体" w:cs="宋体"/>
          <w:sz w:val="24"/>
          <w:szCs w:val="24"/>
        </w:rPr>
        <w:fldChar w:fldCharType="separate"/>
      </w:r>
      <w:r>
        <w:rPr>
          <w:rFonts w:hint="eastAsia" w:ascii="宋体" w:hAnsi="宋体" w:eastAsia="宋体" w:cs="宋体"/>
          <w:sz w:val="24"/>
          <w:szCs w:val="24"/>
        </w:rPr>
        <w:t>64</w:t>
      </w:r>
      <w:r>
        <w:rPr>
          <w:rFonts w:hint="eastAsia" w:ascii="宋体" w:hAnsi="宋体" w:eastAsia="宋体" w:cs="宋体"/>
          <w:sz w:val="24"/>
          <w:szCs w:val="24"/>
        </w:rPr>
        <w:fldChar w:fldCharType="end"/>
      </w:r>
      <w:r>
        <w:rPr>
          <w:rFonts w:hint="eastAsia" w:ascii="宋体" w:hAnsi="宋体" w:eastAsia="宋体" w:cs="宋体"/>
          <w:color w:val="auto"/>
          <w:kern w:val="2"/>
          <w:sz w:val="24"/>
          <w:szCs w:val="24"/>
          <w:highlight w:val="none"/>
        </w:rPr>
        <w:fldChar w:fldCharType="end"/>
      </w:r>
    </w:p>
    <w:p>
      <w:pPr>
        <w:pStyle w:val="4"/>
        <w:keepNext w:val="0"/>
        <w:keepLines w:val="0"/>
        <w:pageBreakBefore w:val="0"/>
        <w:widowControl w:val="0"/>
        <w:kinsoku/>
        <w:wordWrap/>
        <w:overflowPunct/>
        <w:topLinePunct w:val="0"/>
        <w:bidi w:val="0"/>
        <w:snapToGrid/>
        <w:spacing w:line="360" w:lineRule="exact"/>
        <w:ind w:firstLine="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kern w:val="2"/>
          <w:sz w:val="24"/>
          <w:szCs w:val="24"/>
          <w:highlight w:val="none"/>
        </w:rPr>
        <w:fldChar w:fldCharType="end"/>
      </w:r>
      <w:bookmarkStart w:id="21" w:name="_Toc216582804"/>
      <w:bookmarkStart w:id="22" w:name="_Toc22782"/>
      <w:bookmarkStart w:id="23" w:name="_Toc17230"/>
      <w:bookmarkStart w:id="24" w:name="_Toc8627"/>
      <w:bookmarkStart w:id="25" w:name="_Toc1148"/>
      <w:bookmarkStart w:id="26" w:name="_Toc515647798"/>
      <w:bookmarkStart w:id="27" w:name="_Toc16548"/>
      <w:bookmarkStart w:id="28" w:name="_Toc25253"/>
      <w:bookmarkStart w:id="29" w:name="_Toc11115"/>
      <w:r>
        <w:rPr>
          <w:rFonts w:hint="eastAsia" w:ascii="宋体" w:hAnsi="宋体" w:eastAsia="宋体" w:cs="宋体"/>
          <w:color w:val="auto"/>
          <w:highlight w:val="none"/>
        </w:rPr>
        <w:t xml:space="preserve">      </w:t>
      </w: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spacing w:line="240" w:lineRule="atLeast"/>
        <w:jc w:val="center"/>
        <w:rPr>
          <w:rFonts w:hint="eastAsia" w:ascii="宋体" w:hAnsi="宋体" w:eastAsia="宋体" w:cs="宋体"/>
          <w:color w:val="auto"/>
          <w:sz w:val="32"/>
          <w:szCs w:val="32"/>
          <w:highlight w:val="none"/>
        </w:rPr>
      </w:pPr>
    </w:p>
    <w:p>
      <w:pPr>
        <w:spacing w:line="240" w:lineRule="atLeast"/>
        <w:jc w:val="center"/>
        <w:rPr>
          <w:rFonts w:hint="eastAsia" w:ascii="宋体" w:hAnsi="宋体" w:eastAsia="宋体" w:cs="宋体"/>
          <w:color w:val="auto"/>
          <w:sz w:val="32"/>
          <w:szCs w:val="32"/>
          <w:highlight w:val="none"/>
        </w:rPr>
      </w:pPr>
    </w:p>
    <w:p>
      <w:pPr>
        <w:spacing w:line="240" w:lineRule="atLeast"/>
        <w:jc w:val="center"/>
        <w:rPr>
          <w:rFonts w:hint="eastAsia" w:ascii="宋体" w:hAnsi="宋体" w:eastAsia="宋体" w:cs="宋体"/>
          <w:color w:val="auto"/>
          <w:sz w:val="32"/>
          <w:szCs w:val="32"/>
          <w:highlight w:val="none"/>
        </w:rPr>
      </w:pPr>
    </w:p>
    <w:p>
      <w:pPr>
        <w:spacing w:line="240" w:lineRule="atLeast"/>
        <w:jc w:val="center"/>
        <w:rPr>
          <w:rFonts w:hint="eastAsia" w:ascii="宋体" w:hAnsi="宋体" w:eastAsia="宋体" w:cs="宋体"/>
          <w:color w:val="auto"/>
          <w:sz w:val="32"/>
          <w:szCs w:val="32"/>
          <w:highlight w:val="none"/>
        </w:rPr>
      </w:pPr>
    </w:p>
    <w:p>
      <w:pPr>
        <w:spacing w:line="240" w:lineRule="atLeast"/>
        <w:jc w:val="center"/>
        <w:rPr>
          <w:rFonts w:hint="eastAsia" w:ascii="宋体" w:hAnsi="宋体" w:eastAsia="宋体" w:cs="宋体"/>
          <w:color w:val="auto"/>
          <w:sz w:val="32"/>
          <w:szCs w:val="32"/>
          <w:highlight w:val="none"/>
        </w:rPr>
      </w:pPr>
    </w:p>
    <w:p>
      <w:pPr>
        <w:spacing w:line="240" w:lineRule="atLeast"/>
        <w:jc w:val="center"/>
        <w:rPr>
          <w:rFonts w:hint="eastAsia" w:ascii="宋体" w:hAnsi="宋体" w:eastAsia="宋体" w:cs="宋体"/>
          <w:color w:val="auto"/>
          <w:sz w:val="32"/>
          <w:szCs w:val="32"/>
          <w:highlight w:val="none"/>
        </w:rPr>
      </w:pPr>
    </w:p>
    <w:p>
      <w:pPr>
        <w:spacing w:line="240" w:lineRule="atLeast"/>
        <w:jc w:val="center"/>
        <w:rPr>
          <w:rFonts w:hint="eastAsia" w:ascii="宋体" w:hAnsi="宋体" w:eastAsia="宋体" w:cs="宋体"/>
          <w:color w:val="auto"/>
          <w:sz w:val="32"/>
          <w:szCs w:val="32"/>
          <w:highlight w:val="none"/>
        </w:rPr>
      </w:pPr>
    </w:p>
    <w:p>
      <w:pPr>
        <w:spacing w:line="240" w:lineRule="atLeast"/>
        <w:jc w:val="center"/>
        <w:rPr>
          <w:rFonts w:hint="eastAsia" w:ascii="宋体" w:hAnsi="宋体" w:eastAsia="宋体" w:cs="宋体"/>
          <w:color w:val="auto"/>
          <w:sz w:val="32"/>
          <w:szCs w:val="32"/>
          <w:highlight w:val="none"/>
        </w:rPr>
      </w:pPr>
    </w:p>
    <w:p>
      <w:pPr>
        <w:spacing w:line="240" w:lineRule="atLeast"/>
        <w:jc w:val="center"/>
        <w:rPr>
          <w:rFonts w:hint="eastAsia" w:ascii="宋体" w:hAnsi="宋体" w:eastAsia="宋体" w:cs="宋体"/>
          <w:color w:val="auto"/>
          <w:sz w:val="32"/>
          <w:szCs w:val="32"/>
          <w:highlight w:val="none"/>
        </w:rPr>
      </w:pPr>
    </w:p>
    <w:p>
      <w:pPr>
        <w:spacing w:line="240" w:lineRule="atLeast"/>
        <w:jc w:val="center"/>
        <w:rPr>
          <w:rFonts w:hint="eastAsia" w:ascii="宋体" w:hAnsi="宋体" w:eastAsia="宋体" w:cs="宋体"/>
          <w:color w:val="auto"/>
          <w:sz w:val="32"/>
          <w:szCs w:val="32"/>
          <w:highlight w:val="none"/>
        </w:rPr>
      </w:pPr>
    </w:p>
    <w:p>
      <w:pPr>
        <w:spacing w:line="240" w:lineRule="atLeast"/>
        <w:jc w:val="center"/>
        <w:rPr>
          <w:rFonts w:hint="eastAsia" w:ascii="宋体" w:hAnsi="宋体" w:eastAsia="宋体" w:cs="宋体"/>
          <w:color w:val="auto"/>
          <w:sz w:val="32"/>
          <w:szCs w:val="32"/>
          <w:highlight w:val="none"/>
        </w:rPr>
      </w:pPr>
    </w:p>
    <w:p>
      <w:pPr>
        <w:spacing w:line="240" w:lineRule="atLeast"/>
        <w:jc w:val="center"/>
        <w:outlineLvl w:val="9"/>
        <w:rPr>
          <w:rFonts w:hint="eastAsia" w:ascii="宋体" w:hAnsi="宋体" w:eastAsia="宋体" w:cs="宋体"/>
          <w:b/>
          <w:color w:val="auto"/>
          <w:sz w:val="44"/>
          <w:szCs w:val="44"/>
          <w:highlight w:val="none"/>
        </w:rPr>
      </w:pPr>
      <w:r>
        <w:rPr>
          <w:rFonts w:hint="eastAsia" w:ascii="宋体" w:hAnsi="宋体" w:eastAsia="宋体" w:cs="宋体"/>
          <w:color w:val="auto"/>
          <w:sz w:val="32"/>
          <w:szCs w:val="32"/>
          <w:highlight w:val="none"/>
        </w:rPr>
        <w:t xml:space="preserve"> </w:t>
      </w:r>
      <w:r>
        <w:rPr>
          <w:rFonts w:hint="eastAsia" w:ascii="宋体" w:hAnsi="宋体" w:eastAsia="宋体" w:cs="宋体"/>
          <w:b/>
          <w:color w:val="auto"/>
          <w:sz w:val="44"/>
          <w:szCs w:val="44"/>
          <w:highlight w:val="none"/>
        </w:rPr>
        <w:t>招 标 文 件</w:t>
      </w:r>
    </w:p>
    <w:p>
      <w:pPr>
        <w:spacing w:line="360" w:lineRule="auto"/>
        <w:outlineLvl w:val="9"/>
        <w:rPr>
          <w:rFonts w:hint="eastAsia" w:ascii="宋体" w:hAnsi="宋体" w:eastAsia="宋体" w:cs="宋体"/>
          <w:b/>
          <w:color w:val="auto"/>
          <w:sz w:val="40"/>
          <w:szCs w:val="40"/>
          <w:highlight w:val="none"/>
        </w:rPr>
      </w:pPr>
    </w:p>
    <w:p>
      <w:pPr>
        <w:spacing w:line="360" w:lineRule="auto"/>
        <w:jc w:val="center"/>
        <w:outlineLvl w:val="9"/>
        <w:rPr>
          <w:rFonts w:hint="eastAsia" w:ascii="宋体" w:hAnsi="宋体" w:eastAsia="宋体" w:cs="宋体"/>
          <w:b/>
          <w:color w:val="auto"/>
          <w:sz w:val="40"/>
          <w:szCs w:val="40"/>
          <w:highlight w:val="none"/>
          <w:lang w:val="en-US" w:eastAsia="zh-CN"/>
        </w:rPr>
      </w:pPr>
      <w:r>
        <w:rPr>
          <w:rFonts w:hint="eastAsia" w:ascii="宋体" w:hAnsi="宋体" w:eastAsia="宋体" w:cs="宋体"/>
          <w:b/>
          <w:color w:val="auto"/>
          <w:sz w:val="40"/>
          <w:szCs w:val="40"/>
          <w:highlight w:val="none"/>
        </w:rPr>
        <w:t>项目编号：</w:t>
      </w:r>
      <w:r>
        <w:rPr>
          <w:rFonts w:hint="eastAsia" w:ascii="宋体" w:hAnsi="宋体" w:cs="宋体"/>
          <w:b/>
          <w:color w:val="auto"/>
          <w:sz w:val="40"/>
          <w:szCs w:val="40"/>
          <w:highlight w:val="none"/>
          <w:lang w:eastAsia="zh-CN"/>
        </w:rPr>
        <w:t>ZPDL(2023)032-2</w:t>
      </w:r>
    </w:p>
    <w:p>
      <w:pPr>
        <w:spacing w:line="240" w:lineRule="atLeast"/>
        <w:jc w:val="center"/>
        <w:outlineLvl w:val="9"/>
        <w:rPr>
          <w:rFonts w:hint="eastAsia" w:ascii="宋体" w:hAnsi="宋体" w:eastAsia="宋体" w:cs="宋体"/>
          <w:b/>
          <w:color w:val="auto"/>
          <w:sz w:val="32"/>
          <w:highlight w:val="none"/>
        </w:rPr>
      </w:pPr>
    </w:p>
    <w:p>
      <w:pPr>
        <w:spacing w:line="240" w:lineRule="atLeast"/>
        <w:jc w:val="center"/>
        <w:outlineLvl w:val="9"/>
        <w:rPr>
          <w:rFonts w:hint="eastAsia" w:ascii="宋体" w:hAnsi="宋体" w:eastAsia="宋体" w:cs="宋体"/>
          <w:b/>
          <w:color w:val="auto"/>
          <w:sz w:val="32"/>
          <w:highlight w:val="none"/>
        </w:rPr>
      </w:pPr>
    </w:p>
    <w:p>
      <w:pPr>
        <w:pStyle w:val="4"/>
        <w:ind w:firstLine="0"/>
        <w:jc w:val="center"/>
        <w:outlineLvl w:val="9"/>
        <w:rPr>
          <w:rFonts w:hint="eastAsia" w:ascii="宋体" w:hAnsi="宋体" w:eastAsia="宋体" w:cs="宋体"/>
          <w:b/>
          <w:color w:val="auto"/>
          <w:sz w:val="44"/>
          <w:szCs w:val="36"/>
          <w:highlight w:val="none"/>
        </w:rPr>
      </w:pPr>
      <w:r>
        <w:rPr>
          <w:rFonts w:hint="eastAsia" w:ascii="宋体" w:hAnsi="宋体" w:eastAsia="宋体" w:cs="宋体"/>
          <w:b/>
          <w:color w:val="auto"/>
          <w:sz w:val="44"/>
          <w:szCs w:val="36"/>
          <w:highlight w:val="none"/>
        </w:rPr>
        <w:t xml:space="preserve">第 </w:t>
      </w:r>
      <w:r>
        <w:rPr>
          <w:rFonts w:hint="eastAsia" w:ascii="宋体" w:hAnsi="宋体" w:eastAsia="宋体" w:cs="宋体"/>
          <w:b/>
          <w:color w:val="auto"/>
          <w:sz w:val="44"/>
          <w:szCs w:val="36"/>
          <w:highlight w:val="none"/>
          <w:lang w:val="en-US" w:eastAsia="zh-CN"/>
        </w:rPr>
        <w:t>一</w:t>
      </w:r>
      <w:r>
        <w:rPr>
          <w:rFonts w:hint="eastAsia" w:ascii="宋体" w:hAnsi="宋体" w:eastAsia="宋体" w:cs="宋体"/>
          <w:b/>
          <w:color w:val="auto"/>
          <w:sz w:val="44"/>
          <w:szCs w:val="36"/>
          <w:highlight w:val="none"/>
        </w:rPr>
        <w:t xml:space="preserve"> 册</w:t>
      </w:r>
    </w:p>
    <w:p>
      <w:pPr>
        <w:outlineLvl w:val="9"/>
        <w:rPr>
          <w:rFonts w:hint="eastAsia" w:ascii="宋体" w:hAnsi="宋体" w:eastAsia="宋体" w:cs="宋体"/>
          <w:b/>
          <w:color w:val="auto"/>
          <w:sz w:val="44"/>
          <w:szCs w:val="36"/>
          <w:highlight w:val="none"/>
        </w:rPr>
      </w:pPr>
      <w:r>
        <w:rPr>
          <w:rFonts w:hint="eastAsia" w:ascii="宋体" w:hAnsi="宋体" w:eastAsia="宋体" w:cs="宋体"/>
          <w:b/>
          <w:color w:val="auto"/>
          <w:sz w:val="44"/>
          <w:szCs w:val="36"/>
          <w:highlight w:val="none"/>
        </w:rPr>
        <w:br w:type="page"/>
      </w:r>
    </w:p>
    <w:p>
      <w:pPr>
        <w:pStyle w:val="4"/>
        <w:ind w:firstLine="0"/>
        <w:jc w:val="center"/>
        <w:outlineLvl w:val="0"/>
        <w:rPr>
          <w:rFonts w:hint="eastAsia" w:ascii="宋体" w:hAnsi="宋体" w:eastAsia="宋体" w:cs="宋体"/>
          <w:color w:val="auto"/>
          <w:sz w:val="32"/>
          <w:szCs w:val="32"/>
          <w:highlight w:val="none"/>
        </w:rPr>
      </w:pPr>
      <w:bookmarkStart w:id="30" w:name="_Toc17619"/>
      <w:r>
        <w:rPr>
          <w:rFonts w:hint="eastAsia" w:ascii="宋体" w:hAnsi="宋体" w:eastAsia="宋体" w:cs="宋体"/>
          <w:b/>
          <w:bCs/>
          <w:color w:val="auto"/>
          <w:sz w:val="32"/>
          <w:szCs w:val="32"/>
          <w:highlight w:val="none"/>
        </w:rPr>
        <w:t>第1章</w:t>
      </w:r>
      <w:bookmarkStart w:id="31" w:name="_Toc515647756"/>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lang w:eastAsia="zh-CN"/>
        </w:rPr>
        <w:t>供应商</w:t>
      </w:r>
      <w:r>
        <w:rPr>
          <w:rFonts w:hint="eastAsia" w:ascii="宋体" w:hAnsi="宋体" w:eastAsia="宋体" w:cs="宋体"/>
          <w:b/>
          <w:bCs/>
          <w:color w:val="auto"/>
          <w:sz w:val="32"/>
          <w:szCs w:val="32"/>
          <w:highlight w:val="none"/>
        </w:rPr>
        <w:t>须知</w:t>
      </w:r>
      <w:bookmarkEnd w:id="21"/>
      <w:bookmarkEnd w:id="22"/>
      <w:bookmarkEnd w:id="23"/>
      <w:bookmarkEnd w:id="24"/>
      <w:bookmarkEnd w:id="30"/>
      <w:bookmarkEnd w:id="31"/>
    </w:p>
    <w:p>
      <w:pPr>
        <w:pStyle w:val="7"/>
        <w:pageBreakBefore w:val="0"/>
        <w:kinsoku/>
        <w:wordWrap/>
        <w:overflowPunct/>
        <w:topLinePunct w:val="0"/>
        <w:bidi w:val="0"/>
        <w:spacing w:before="0" w:line="360" w:lineRule="exact"/>
        <w:ind w:left="1080" w:leftChars="257" w:hanging="540"/>
        <w:rPr>
          <w:rFonts w:hint="eastAsia" w:ascii="宋体" w:hAnsi="宋体" w:eastAsia="宋体" w:cs="宋体"/>
          <w:color w:val="auto"/>
          <w:sz w:val="24"/>
          <w:szCs w:val="24"/>
          <w:highlight w:val="none"/>
        </w:rPr>
      </w:pPr>
      <w:bookmarkStart w:id="32" w:name="_Toc520356143"/>
      <w:bookmarkStart w:id="33" w:name="_Toc216582805"/>
      <w:bookmarkStart w:id="34" w:name="_Toc515647757"/>
      <w:bookmarkStart w:id="35" w:name="_Toc21215"/>
      <w:bookmarkStart w:id="36" w:name="_Toc21015"/>
      <w:bookmarkStart w:id="37" w:name="_Toc7996"/>
      <w:bookmarkStart w:id="38" w:name="_Toc11227"/>
      <w:r>
        <w:rPr>
          <w:rFonts w:hint="eastAsia" w:ascii="宋体" w:hAnsi="宋体" w:eastAsia="宋体" w:cs="宋体"/>
          <w:color w:val="auto"/>
          <w:sz w:val="24"/>
          <w:szCs w:val="24"/>
          <w:highlight w:val="none"/>
        </w:rPr>
        <w:t xml:space="preserve">一   </w:t>
      </w:r>
      <w:bookmarkEnd w:id="32"/>
      <w:bookmarkEnd w:id="33"/>
      <w:bookmarkEnd w:id="34"/>
      <w:r>
        <w:rPr>
          <w:rFonts w:hint="eastAsia" w:ascii="宋体" w:hAnsi="宋体" w:eastAsia="宋体" w:cs="宋体"/>
          <w:color w:val="auto"/>
          <w:sz w:val="24"/>
          <w:szCs w:val="24"/>
          <w:highlight w:val="none"/>
        </w:rPr>
        <w:t>总 则</w:t>
      </w:r>
      <w:bookmarkEnd w:id="35"/>
      <w:bookmarkEnd w:id="36"/>
      <w:bookmarkEnd w:id="37"/>
      <w:bookmarkEnd w:id="38"/>
    </w:p>
    <w:p>
      <w:pPr>
        <w:pStyle w:val="8"/>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39" w:name="_Toc23985"/>
      <w:bookmarkStart w:id="40" w:name="_Toc32189"/>
      <w:bookmarkStart w:id="41" w:name="_Toc12861"/>
      <w:bookmarkStart w:id="42" w:name="_Toc520356144"/>
      <w:bookmarkStart w:id="43" w:name="_Toc28967"/>
      <w:bookmarkStart w:id="44" w:name="_Toc11808"/>
      <w:bookmarkStart w:id="45" w:name="_Toc4880"/>
      <w:bookmarkStart w:id="46" w:name="_Toc31685"/>
      <w:bookmarkStart w:id="47" w:name="_Toc333"/>
      <w:bookmarkStart w:id="48" w:name="_Toc515647758"/>
      <w:bookmarkStart w:id="49" w:name="_Toc29554"/>
      <w:bookmarkStart w:id="50" w:name="_Toc32623"/>
      <w:bookmarkStart w:id="51" w:name="_Toc24386"/>
      <w:bookmarkStart w:id="52" w:name="_Toc18532"/>
      <w:bookmarkStart w:id="53" w:name="_Toc15873"/>
      <w:bookmarkStart w:id="54" w:name="_Toc1104"/>
      <w:bookmarkStart w:id="55" w:name="_Toc9452"/>
      <w:bookmarkStart w:id="56" w:name="_Toc25783"/>
      <w:bookmarkStart w:id="57" w:name="_Toc32450"/>
      <w:bookmarkStart w:id="58" w:name="_Toc5164"/>
      <w:bookmarkStart w:id="59" w:name="_Toc16377"/>
      <w:bookmarkStart w:id="60" w:name="_Toc18135"/>
      <w:bookmarkStart w:id="61" w:name="_Toc2442"/>
      <w:bookmarkStart w:id="62" w:name="_Toc5049"/>
      <w:bookmarkStart w:id="63" w:name="_Toc13732"/>
      <w:bookmarkStart w:id="64" w:name="_Toc15043"/>
      <w:bookmarkStart w:id="65" w:name="_Toc32742"/>
      <w:bookmarkStart w:id="66" w:name="_Toc15234"/>
      <w:bookmarkStart w:id="67" w:name="_Toc12038"/>
      <w:bookmarkStart w:id="68" w:name="_Toc8320"/>
      <w:bookmarkStart w:id="69" w:name="_Toc16228"/>
      <w:bookmarkStart w:id="70" w:name="_Toc29164"/>
      <w:bookmarkStart w:id="71" w:name="_Toc30123"/>
      <w:bookmarkStart w:id="72" w:name="_Toc32697"/>
      <w:bookmarkStart w:id="73" w:name="_Toc9712"/>
      <w:bookmarkStart w:id="74" w:name="_Toc18221"/>
      <w:bookmarkStart w:id="75" w:name="_Toc6329"/>
      <w:bookmarkStart w:id="76" w:name="_Toc17014"/>
      <w:r>
        <w:rPr>
          <w:rFonts w:hint="eastAsia" w:ascii="宋体" w:hAnsi="宋体" w:eastAsia="宋体" w:cs="宋体"/>
          <w:b/>
          <w:bCs/>
          <w:color w:val="auto"/>
          <w:sz w:val="24"/>
          <w:szCs w:val="24"/>
          <w:highlight w:val="none"/>
          <w:u w:val="none"/>
        </w:rPr>
        <w:t>采购人、采购代理机构及</w:t>
      </w:r>
      <w:bookmarkEnd w:id="39"/>
      <w:bookmarkEnd w:id="40"/>
      <w:bookmarkEnd w:id="41"/>
      <w:bookmarkEnd w:id="42"/>
      <w:bookmarkEnd w:id="43"/>
      <w:bookmarkEnd w:id="44"/>
      <w:bookmarkEnd w:id="45"/>
      <w:bookmarkEnd w:id="46"/>
      <w:bookmarkEnd w:id="47"/>
      <w:bookmarkEnd w:id="48"/>
      <w:bookmarkEnd w:id="49"/>
      <w:bookmarkEnd w:id="50"/>
      <w:r>
        <w:rPr>
          <w:rFonts w:hint="eastAsia" w:ascii="宋体" w:hAnsi="宋体" w:eastAsia="宋体" w:cs="宋体"/>
          <w:b/>
          <w:bCs/>
          <w:color w:val="auto"/>
          <w:sz w:val="24"/>
          <w:szCs w:val="24"/>
          <w:highlight w:val="none"/>
          <w:u w:val="none"/>
          <w:lang w:eastAsia="zh-CN"/>
        </w:rPr>
        <w:t>供应商</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ageBreakBefore w:val="0"/>
        <w:widowControl w:val="0"/>
        <w:numPr>
          <w:ilvl w:val="0"/>
          <w:numId w:val="0"/>
        </w:numPr>
        <w:tabs>
          <w:tab w:val="left" w:pos="0"/>
        </w:tabs>
        <w:kinsoku/>
        <w:wordWrap/>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rPr>
        <w:t xml:space="preserve">   采购人：是指依法开展政府采购活动的国家机关、事业单位、团体组织。</w:t>
      </w:r>
    </w:p>
    <w:p>
      <w:pPr>
        <w:pageBreakBefore w:val="0"/>
        <w:widowControl w:val="0"/>
        <w:tabs>
          <w:tab w:val="left" w:pos="0"/>
        </w:tabs>
        <w:kinsoku/>
        <w:wordWrap/>
        <w:overflowPunct/>
        <w:topLinePunct w:val="0"/>
        <w:bidi w:val="0"/>
        <w:spacing w:line="360" w:lineRule="exact"/>
        <w:ind w:firstLine="720" w:firstLine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本项目的采购人见</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w:t>
      </w:r>
    </w:p>
    <w:p>
      <w:pPr>
        <w:pageBreakBefore w:val="0"/>
        <w:widowControl w:val="0"/>
        <w:numPr>
          <w:ilvl w:val="0"/>
          <w:numId w:val="0"/>
        </w:numPr>
        <w:tabs>
          <w:tab w:val="left" w:pos="0"/>
        </w:tabs>
        <w:kinsoku/>
        <w:wordWrap/>
        <w:overflowPunct/>
        <w:topLinePunct w:val="0"/>
        <w:bidi w:val="0"/>
        <w:spacing w:line="360" w:lineRule="exact"/>
        <w:ind w:left="720" w:hanging="720" w:hanging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 xml:space="preserve">   采购代理机构：是指在集中采购机构或从事采购代理业务的社会中介机构。本项目的采购代理机构见</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w:t>
      </w:r>
    </w:p>
    <w:p>
      <w:pPr>
        <w:pageBreakBefore w:val="0"/>
        <w:widowControl w:val="0"/>
        <w:numPr>
          <w:ilvl w:val="0"/>
          <w:numId w:val="0"/>
        </w:numPr>
        <w:kinsoku/>
        <w:wordWrap/>
        <w:overflowPunct/>
        <w:topLinePunct w:val="0"/>
        <w:bidi w:val="0"/>
        <w:spacing w:line="360" w:lineRule="exact"/>
        <w:ind w:left="960" w:hanging="960" w:hanging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1.3</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：是指向采购人提供货物、工程或者服务的法人、非法人组织或者自然人。本项目的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及其投标货物须满足以下条件：</w:t>
      </w:r>
    </w:p>
    <w:p>
      <w:pPr>
        <w:pageBreakBefore w:val="0"/>
        <w:widowControl w:val="0"/>
        <w:kinsoku/>
        <w:wordWrap/>
        <w:overflowPunct/>
        <w:topLinePunct w:val="0"/>
        <w:bidi w:val="0"/>
        <w:spacing w:line="360" w:lineRule="exact"/>
        <w:ind w:left="849" w:leftChars="0" w:hanging="849" w:hangingChars="35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   在中华人民共和国境内注册，能够独立承担民事责任，有生产或供应能力的本国供应商。</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   具备《中华人民共和国政府采购法》第二十二条关于供应商条件的规定，遵守本项目采购人本级和上级财政部门政府采购的有关规定。</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1.3.3   以采购代理机构认可的方式获得了本项目的招标文件。</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1.3.4   符合</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中规定的其他要求。</w:t>
      </w:r>
    </w:p>
    <w:p>
      <w:pPr>
        <w:pageBreakBefore w:val="0"/>
        <w:widowControl w:val="0"/>
        <w:kinsoku/>
        <w:wordWrap/>
        <w:overflowPunct/>
        <w:topLinePunct w:val="0"/>
        <w:bidi w:val="0"/>
        <w:spacing w:line="360" w:lineRule="exact"/>
        <w:ind w:left="840" w:leftChars="0" w:hanging="840" w:hangingChars="3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1.3.5   若</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中写明专门面向中小企业采购的，如</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为非中小企业且所投产品为非中小企业产品，其投标将被认定为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    如</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中允许联合体投标，对联合体规定如下：</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   两个以上供应商可以组成一个投标联合体，以一个</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的身份投标。</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   联合体各方均应符合《中华人民共和国政府采购法》第二十二条规定的条件。</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1.4.3   采购人根据采购项目对</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的特殊要求，联合体中至少应当有一方符合相关规定。</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1.4.4   联合体各方应签订共同投标协议，明确约定联合体各方承担的工作和相应的责任，并将共同投标协议连同作为投标文件第一部分的内容提交。</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1.4.5   大中型企业、其他自然人、法人或者非法人组织与小型、微型企业组成联合体共同参加投标，共同投标协议中应写明小型、微型企业的协议合同金额占到共同投标协议投标总金额的比例。</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1.4.6  联合体中有同类资质的供应商按照联合体分工承担相同工作的，按照较低的资质等级确定联合体的资质等级。</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1.4.7  以联合体形式参加政府采购活动的，联合体各方不得再单独参加或者与其他供应商另外组成联合体参加本项目投标，否则相关投标将被认定为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1.4.8   对联合体投标的其他资格要求见</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    单位负责人为同一人或者存在直接控股、管理关系的不同供应商，其相关投标将被认定为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1.6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在投标过程中不得向采购人提供、给予任何有价值的物品，影响其正常决策行为。一经发现，其将被认定为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Style w:val="8"/>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77" w:name="_Toc7800"/>
      <w:bookmarkStart w:id="78" w:name="_Toc4016"/>
      <w:bookmarkStart w:id="79" w:name="_Toc1973"/>
      <w:bookmarkStart w:id="80" w:name="_Toc31805"/>
      <w:bookmarkStart w:id="81" w:name="_Toc13272"/>
      <w:bookmarkStart w:id="82" w:name="_Toc19043"/>
      <w:bookmarkStart w:id="83" w:name="_Toc3095"/>
      <w:bookmarkStart w:id="84" w:name="_Toc2078"/>
      <w:bookmarkStart w:id="85" w:name="_Toc10699"/>
      <w:bookmarkStart w:id="86" w:name="_Toc8203"/>
      <w:bookmarkStart w:id="87" w:name="_Toc1760"/>
      <w:bookmarkStart w:id="88" w:name="_Toc12139"/>
      <w:bookmarkStart w:id="89" w:name="_Toc515647759"/>
      <w:bookmarkStart w:id="90" w:name="_Toc13814"/>
      <w:bookmarkStart w:id="91" w:name="_Toc5286"/>
      <w:bookmarkStart w:id="92" w:name="_Toc18986"/>
      <w:bookmarkStart w:id="93" w:name="_Toc11032"/>
      <w:bookmarkStart w:id="94" w:name="_Toc30940"/>
      <w:bookmarkStart w:id="95" w:name="_Toc17190"/>
      <w:bookmarkStart w:id="96" w:name="_Toc11068"/>
      <w:bookmarkStart w:id="97" w:name="_Toc16369"/>
      <w:bookmarkStart w:id="98" w:name="_Toc19970"/>
      <w:bookmarkStart w:id="99" w:name="_Toc1403"/>
      <w:bookmarkStart w:id="100" w:name="_Toc4311"/>
      <w:bookmarkStart w:id="101" w:name="_Toc28511"/>
      <w:bookmarkStart w:id="102" w:name="_Toc28008"/>
      <w:bookmarkStart w:id="103" w:name="_Toc15091"/>
      <w:bookmarkStart w:id="104" w:name="_Toc4816"/>
      <w:bookmarkStart w:id="105" w:name="_Toc10189"/>
      <w:bookmarkStart w:id="106" w:name="_Toc23235"/>
      <w:bookmarkStart w:id="107" w:name="_Toc246"/>
      <w:bookmarkStart w:id="108" w:name="_Toc27615"/>
      <w:bookmarkStart w:id="109" w:name="_Toc21286"/>
      <w:bookmarkStart w:id="110" w:name="_Toc9599"/>
      <w:bookmarkStart w:id="111" w:name="_Toc13065"/>
      <w:bookmarkStart w:id="112" w:name="_Toc27814"/>
      <w:bookmarkStart w:id="113" w:name="_Toc16726"/>
      <w:r>
        <w:rPr>
          <w:rFonts w:hint="eastAsia" w:ascii="宋体" w:hAnsi="宋体" w:eastAsia="宋体" w:cs="宋体"/>
          <w:b/>
          <w:bCs/>
          <w:color w:val="auto"/>
          <w:sz w:val="24"/>
          <w:szCs w:val="24"/>
          <w:highlight w:val="none"/>
          <w:u w:val="none"/>
        </w:rPr>
        <w:t>资金来源</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本项目的采购人已获得足以支付本次招标后所签订的合同项下的资金（包括财政性资金和本项目采购中无法与财政性资金分割的非财政性资金）。</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    项目预算金额和分项或分包最高限价</w:t>
      </w:r>
      <w:r>
        <w:rPr>
          <w:rFonts w:hint="eastAsia" w:ascii="宋体" w:hAnsi="宋体" w:eastAsia="宋体" w:cs="宋体"/>
          <w:color w:val="auto"/>
          <w:sz w:val="24"/>
          <w:szCs w:val="24"/>
          <w:highlight w:val="none"/>
          <w:u w:val="single"/>
        </w:rPr>
        <w:t>见</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2.3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报价超过招标文件规定的预算金额或者分项、分包最高限价的，其投标将被认定为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Style w:val="8"/>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114" w:name="_Toc26559"/>
      <w:bookmarkStart w:id="115" w:name="_Toc10963"/>
      <w:bookmarkStart w:id="116" w:name="_Toc5757"/>
      <w:bookmarkStart w:id="117" w:name="_Toc15518"/>
      <w:bookmarkStart w:id="118" w:name="_Toc19481"/>
      <w:bookmarkStart w:id="119" w:name="_Toc25621"/>
      <w:bookmarkStart w:id="120" w:name="_Toc30650"/>
      <w:bookmarkStart w:id="121" w:name="_Toc515647760"/>
      <w:bookmarkStart w:id="122" w:name="_Toc15936"/>
      <w:bookmarkStart w:id="123" w:name="_Toc27479"/>
      <w:bookmarkStart w:id="124" w:name="_Toc27044"/>
      <w:bookmarkStart w:id="125" w:name="_Toc1383"/>
      <w:bookmarkStart w:id="126" w:name="_Toc6301"/>
      <w:bookmarkStart w:id="127" w:name="_Toc6415"/>
      <w:bookmarkStart w:id="128" w:name="_Toc26059"/>
      <w:bookmarkStart w:id="129" w:name="_Toc5207"/>
      <w:bookmarkStart w:id="130" w:name="_Toc11196"/>
      <w:bookmarkStart w:id="131" w:name="_Toc20044"/>
      <w:bookmarkStart w:id="132" w:name="_Toc30708"/>
      <w:bookmarkStart w:id="133" w:name="_Toc20526"/>
      <w:bookmarkStart w:id="134" w:name="_Toc3603"/>
      <w:bookmarkStart w:id="135" w:name="_Toc903"/>
      <w:bookmarkStart w:id="136" w:name="_Toc29504"/>
      <w:bookmarkStart w:id="137" w:name="_Toc16396"/>
      <w:bookmarkStart w:id="138" w:name="_Toc26504"/>
      <w:bookmarkStart w:id="139" w:name="_Toc29481"/>
      <w:bookmarkStart w:id="140" w:name="_Toc14612"/>
      <w:bookmarkStart w:id="141" w:name="_Toc17819"/>
      <w:bookmarkStart w:id="142" w:name="_Toc29041"/>
      <w:bookmarkStart w:id="143" w:name="_Toc20799"/>
      <w:bookmarkStart w:id="144" w:name="_Toc22731"/>
      <w:bookmarkStart w:id="145" w:name="_Toc3348"/>
      <w:bookmarkStart w:id="146" w:name="_Toc520356145"/>
      <w:bookmarkStart w:id="147" w:name="_Toc28592"/>
      <w:bookmarkStart w:id="148" w:name="_Toc144"/>
      <w:bookmarkStart w:id="149" w:name="_Toc6389"/>
      <w:bookmarkStart w:id="150" w:name="_Toc12188"/>
      <w:bookmarkStart w:id="151" w:name="_Toc17457"/>
      <w:r>
        <w:rPr>
          <w:rFonts w:hint="eastAsia" w:ascii="宋体" w:hAnsi="宋体" w:eastAsia="宋体" w:cs="宋体"/>
          <w:b/>
          <w:bCs/>
          <w:color w:val="auto"/>
          <w:sz w:val="24"/>
          <w:szCs w:val="24"/>
          <w:highlight w:val="none"/>
          <w:u w:val="none"/>
        </w:rPr>
        <w:t>投标费用</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不论投标的结果如何，</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应承担所有与准备和参加投标有关的费用。</w:t>
      </w:r>
    </w:p>
    <w:p>
      <w:pPr>
        <w:pStyle w:val="8"/>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152" w:name="_Toc18699"/>
      <w:bookmarkStart w:id="153" w:name="_Toc11505"/>
      <w:bookmarkStart w:id="154" w:name="_Toc6759"/>
      <w:bookmarkStart w:id="155" w:name="_Toc15600"/>
      <w:bookmarkStart w:id="156" w:name="_Toc515647761"/>
      <w:bookmarkStart w:id="157" w:name="_Toc5094"/>
      <w:bookmarkStart w:id="158" w:name="_Toc6116"/>
      <w:bookmarkStart w:id="159" w:name="_Toc5853"/>
      <w:bookmarkStart w:id="160" w:name="_Toc26349"/>
      <w:bookmarkStart w:id="161" w:name="_Toc32103"/>
      <w:bookmarkStart w:id="162" w:name="_Toc16751"/>
      <w:bookmarkStart w:id="163" w:name="_Toc7071"/>
      <w:bookmarkStart w:id="164" w:name="_Toc17308"/>
      <w:bookmarkStart w:id="165" w:name="_Toc5551"/>
      <w:bookmarkStart w:id="166" w:name="_Toc16328"/>
      <w:bookmarkStart w:id="167" w:name="_Toc11355"/>
      <w:bookmarkStart w:id="168" w:name="_Toc1198"/>
      <w:bookmarkStart w:id="169" w:name="_Toc4463"/>
      <w:bookmarkStart w:id="170" w:name="_Toc21641"/>
      <w:bookmarkStart w:id="171" w:name="_Toc29011"/>
      <w:bookmarkStart w:id="172" w:name="_Toc12920"/>
      <w:bookmarkStart w:id="173" w:name="_Toc22377"/>
      <w:bookmarkStart w:id="174" w:name="_Toc9956"/>
      <w:bookmarkStart w:id="175" w:name="_Toc17646"/>
      <w:bookmarkStart w:id="176" w:name="_Toc3831"/>
      <w:bookmarkStart w:id="177" w:name="_Toc2839"/>
      <w:bookmarkStart w:id="178" w:name="_Toc13524"/>
      <w:bookmarkStart w:id="179" w:name="_Toc2389"/>
      <w:bookmarkStart w:id="180" w:name="_Toc24881"/>
      <w:bookmarkStart w:id="181" w:name="_Toc29435"/>
      <w:bookmarkStart w:id="182" w:name="_Toc7511"/>
      <w:bookmarkStart w:id="183" w:name="_Toc9033"/>
      <w:bookmarkStart w:id="184" w:name="_Toc21314"/>
      <w:bookmarkStart w:id="185" w:name="_Toc4654"/>
      <w:bookmarkStart w:id="186" w:name="_Toc27687"/>
      <w:bookmarkStart w:id="187" w:name="_Toc29403"/>
      <w:bookmarkStart w:id="188" w:name="_Toc25242"/>
      <w:r>
        <w:rPr>
          <w:rFonts w:hint="eastAsia" w:ascii="宋体" w:hAnsi="宋体" w:eastAsia="宋体" w:cs="宋体"/>
          <w:b/>
          <w:bCs/>
          <w:color w:val="auto"/>
          <w:sz w:val="24"/>
          <w:szCs w:val="24"/>
          <w:highlight w:val="none"/>
          <w:u w:val="none"/>
        </w:rPr>
        <w:t>适用法律</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本项目采购人、采购代理机构、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、评标委员会的相关行为均受《中华人民共和国政府采购法》、《中华人民共和国政府采购法实施条例》</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中华人民共和国财政部令第87号--政府采购货物和货物招标投标管理办法</w:t>
      </w:r>
      <w:r>
        <w:rPr>
          <w:rFonts w:hint="eastAsia" w:ascii="宋体" w:hAnsi="宋体" w:eastAsia="宋体" w:cs="宋体"/>
          <w:color w:val="auto"/>
          <w:sz w:val="24"/>
          <w:szCs w:val="24"/>
          <w:highlight w:val="none"/>
        </w:rPr>
        <w:t>》及本项目本级和上级财政部门政府采购有关规定的约束，其权利受到上述法律法规的保护。</w:t>
      </w:r>
    </w:p>
    <w:p>
      <w:pPr>
        <w:pageBreakBefore w:val="0"/>
        <w:widowControl w:val="0"/>
        <w:kinsoku/>
        <w:wordWrap/>
        <w:overflowPunct/>
        <w:topLinePunct w:val="0"/>
        <w:bidi w:val="0"/>
        <w:spacing w:line="360" w:lineRule="exact"/>
        <w:ind w:left="0" w:leftChars="0"/>
        <w:textAlignment w:val="auto"/>
        <w:rPr>
          <w:rFonts w:hint="eastAsia" w:ascii="宋体" w:hAnsi="宋体" w:eastAsia="宋体" w:cs="宋体"/>
          <w:color w:val="auto"/>
          <w:sz w:val="24"/>
          <w:szCs w:val="24"/>
          <w:highlight w:val="none"/>
        </w:rPr>
      </w:pPr>
    </w:p>
    <w:p>
      <w:pPr>
        <w:pStyle w:val="7"/>
        <w:pageBreakBefore w:val="0"/>
        <w:widowControl w:val="0"/>
        <w:kinsoku/>
        <w:wordWrap/>
        <w:overflowPunct/>
        <w:topLinePunct w:val="0"/>
        <w:bidi w:val="0"/>
        <w:spacing w:before="0" w:line="360" w:lineRule="exact"/>
        <w:ind w:left="0" w:leftChars="0"/>
        <w:textAlignment w:val="auto"/>
        <w:rPr>
          <w:rFonts w:hint="eastAsia" w:ascii="宋体" w:hAnsi="宋体" w:eastAsia="宋体" w:cs="宋体"/>
          <w:color w:val="auto"/>
          <w:sz w:val="24"/>
          <w:szCs w:val="24"/>
          <w:highlight w:val="none"/>
        </w:rPr>
      </w:pPr>
      <w:bookmarkStart w:id="189" w:name="_Toc16779"/>
      <w:bookmarkStart w:id="190" w:name="_Toc515647762"/>
      <w:bookmarkStart w:id="191" w:name="_Toc6385"/>
      <w:bookmarkStart w:id="192" w:name="_Toc4365"/>
      <w:bookmarkStart w:id="193" w:name="_Toc21566"/>
      <w:bookmarkStart w:id="194" w:name="_Toc520356146"/>
      <w:bookmarkStart w:id="195" w:name="_Toc216582806"/>
      <w:r>
        <w:rPr>
          <w:rFonts w:hint="eastAsia" w:ascii="宋体" w:hAnsi="宋体" w:eastAsia="宋体" w:cs="宋体"/>
          <w:color w:val="auto"/>
          <w:sz w:val="24"/>
          <w:szCs w:val="24"/>
          <w:highlight w:val="none"/>
        </w:rPr>
        <w:t>二   招标文件</w:t>
      </w:r>
      <w:bookmarkEnd w:id="189"/>
      <w:bookmarkEnd w:id="190"/>
      <w:bookmarkEnd w:id="191"/>
      <w:bookmarkEnd w:id="192"/>
      <w:bookmarkEnd w:id="193"/>
      <w:bookmarkEnd w:id="194"/>
      <w:bookmarkEnd w:id="195"/>
    </w:p>
    <w:p>
      <w:pPr>
        <w:pStyle w:val="8"/>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196" w:name="_Toc29550"/>
      <w:bookmarkStart w:id="197" w:name="_Toc27288"/>
      <w:bookmarkStart w:id="198" w:name="_Toc19355"/>
      <w:bookmarkStart w:id="199" w:name="_Toc32267"/>
      <w:bookmarkStart w:id="200" w:name="_Toc31313"/>
      <w:bookmarkStart w:id="201" w:name="_Toc17343"/>
      <w:bookmarkStart w:id="202" w:name="_Toc28727"/>
      <w:bookmarkStart w:id="203" w:name="_Toc515647763"/>
      <w:bookmarkStart w:id="204" w:name="_Toc21275"/>
      <w:bookmarkStart w:id="205" w:name="_Toc21020"/>
      <w:bookmarkStart w:id="206" w:name="_Toc3900"/>
      <w:bookmarkStart w:id="207" w:name="_Toc12831"/>
      <w:bookmarkStart w:id="208" w:name="_Toc520356147"/>
      <w:bookmarkStart w:id="209" w:name="_Toc27186"/>
      <w:bookmarkStart w:id="210" w:name="_Toc25743"/>
      <w:bookmarkStart w:id="211" w:name="_Toc21734"/>
      <w:bookmarkStart w:id="212" w:name="_Toc23958"/>
      <w:bookmarkStart w:id="213" w:name="_Toc18714"/>
      <w:bookmarkStart w:id="214" w:name="_Toc3517"/>
      <w:bookmarkStart w:id="215" w:name="_Toc16595"/>
      <w:bookmarkStart w:id="216" w:name="_Toc2876"/>
      <w:bookmarkStart w:id="217" w:name="_Toc31902"/>
      <w:bookmarkStart w:id="218" w:name="_Toc8166"/>
      <w:bookmarkStart w:id="219" w:name="_Toc31428"/>
      <w:bookmarkStart w:id="220" w:name="_Toc5479"/>
      <w:bookmarkStart w:id="221" w:name="_Toc5875"/>
      <w:bookmarkStart w:id="222" w:name="_Toc14084"/>
      <w:bookmarkStart w:id="223" w:name="_Toc26996"/>
      <w:bookmarkStart w:id="224" w:name="_Toc30280"/>
      <w:bookmarkStart w:id="225" w:name="_Toc27237"/>
      <w:bookmarkStart w:id="226" w:name="_Toc1044"/>
      <w:bookmarkStart w:id="227" w:name="_Toc18213"/>
      <w:bookmarkStart w:id="228" w:name="_Toc16182"/>
      <w:bookmarkStart w:id="229" w:name="_Toc3153"/>
      <w:bookmarkStart w:id="230" w:name="_Toc7177"/>
      <w:bookmarkStart w:id="231" w:name="_Toc31526"/>
      <w:bookmarkStart w:id="232" w:name="_Toc15203"/>
      <w:bookmarkStart w:id="233" w:name="_Toc24971"/>
      <w:r>
        <w:rPr>
          <w:rFonts w:hint="eastAsia" w:ascii="宋体" w:hAnsi="宋体" w:eastAsia="宋体" w:cs="宋体"/>
          <w:b/>
          <w:bCs/>
          <w:color w:val="auto"/>
          <w:sz w:val="24"/>
          <w:szCs w:val="24"/>
          <w:highlight w:val="none"/>
          <w:u w:val="none"/>
        </w:rPr>
        <w:t>招标文件构成</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招标文件分为三册共7章，内容如下：</w:t>
      </w:r>
    </w:p>
    <w:p>
      <w:pPr>
        <w:pageBreakBefore w:val="0"/>
        <w:widowControl w:val="0"/>
        <w:kinsoku/>
        <w:wordWrap/>
        <w:overflowPunct/>
        <w:topLinePunct w:val="0"/>
        <w:bidi w:val="0"/>
        <w:spacing w:line="360" w:lineRule="exact"/>
        <w:ind w:left="0" w:leftChars="0" w:firstLine="60" w:firstLineChars="2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第一册</w:t>
      </w:r>
    </w:p>
    <w:p>
      <w:pPr>
        <w:pageBreakBefore w:val="0"/>
        <w:widowControl w:val="0"/>
        <w:tabs>
          <w:tab w:val="left" w:pos="0"/>
        </w:tabs>
        <w:kinsoku/>
        <w:wordWrap/>
        <w:overflowPunct/>
        <w:topLinePunct w:val="0"/>
        <w:bidi w:val="0"/>
        <w:spacing w:line="360" w:lineRule="exact"/>
        <w:ind w:left="0" w:leftChars="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第</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章</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w:t>
      </w:r>
    </w:p>
    <w:p>
      <w:pPr>
        <w:pageBreakBefore w:val="0"/>
        <w:widowControl w:val="0"/>
        <w:kinsoku/>
        <w:wordWrap/>
        <w:overflowPunct/>
        <w:topLinePunct w:val="0"/>
        <w:bidi w:val="0"/>
        <w:spacing w:line="360" w:lineRule="exact"/>
        <w:ind w:left="0" w:leftChars="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第</w:t>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章</w:t>
      </w:r>
      <w:r>
        <w:rPr>
          <w:rFonts w:hint="eastAsia" w:ascii="宋体" w:hAnsi="宋体" w:eastAsia="宋体" w:cs="宋体"/>
          <w:color w:val="auto"/>
          <w:sz w:val="24"/>
          <w:szCs w:val="24"/>
          <w:highlight w:val="none"/>
        </w:rPr>
        <w:t xml:space="preserve"> 投标文件格式</w:t>
      </w:r>
    </w:p>
    <w:p>
      <w:pPr>
        <w:pageBreakBefore w:val="0"/>
        <w:widowControl w:val="0"/>
        <w:kinsoku/>
        <w:wordWrap/>
        <w:overflowPunct/>
        <w:topLinePunct w:val="0"/>
        <w:bidi w:val="0"/>
        <w:spacing w:line="360" w:lineRule="exact"/>
        <w:ind w:left="0" w:leftChars="0" w:firstLine="33" w:firstLineChars="1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第二册</w:t>
      </w:r>
    </w:p>
    <w:p>
      <w:pPr>
        <w:pageBreakBefore w:val="0"/>
        <w:widowControl w:val="0"/>
        <w:kinsoku/>
        <w:wordWrap/>
        <w:overflowPunct/>
        <w:topLinePunct w:val="0"/>
        <w:bidi w:val="0"/>
        <w:spacing w:line="360" w:lineRule="exact"/>
        <w:ind w:left="0" w:leftChars="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第</w:t>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章</w:t>
      </w:r>
      <w:r>
        <w:rPr>
          <w:rFonts w:hint="eastAsia" w:ascii="宋体" w:hAnsi="宋体" w:eastAsia="宋体" w:cs="宋体"/>
          <w:color w:val="auto"/>
          <w:sz w:val="24"/>
          <w:szCs w:val="24"/>
          <w:highlight w:val="none"/>
        </w:rPr>
        <w:t xml:space="preserve"> 投标邀请</w:t>
      </w:r>
    </w:p>
    <w:p>
      <w:pPr>
        <w:pageBreakBefore w:val="0"/>
        <w:widowControl w:val="0"/>
        <w:kinsoku/>
        <w:wordWrap/>
        <w:overflowPunct/>
        <w:topLinePunct w:val="0"/>
        <w:bidi w:val="0"/>
        <w:spacing w:line="360" w:lineRule="exact"/>
        <w:ind w:left="0" w:leftChars="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第</w:t>
      </w: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val="en-US" w:eastAsia="zh-CN"/>
        </w:rPr>
        <w:t>章</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须知资料表</w:t>
      </w:r>
    </w:p>
    <w:p>
      <w:pPr>
        <w:pageBreakBefore w:val="0"/>
        <w:widowControl w:val="0"/>
        <w:kinsoku/>
        <w:wordWrap/>
        <w:overflowPunct/>
        <w:topLinePunct w:val="0"/>
        <w:bidi w:val="0"/>
        <w:spacing w:line="360" w:lineRule="exact"/>
        <w:ind w:left="0" w:leftChars="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第</w:t>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val="en-US" w:eastAsia="zh-CN"/>
        </w:rPr>
        <w:t>章</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采购需求及项目要求</w:t>
      </w:r>
      <w:r>
        <w:rPr>
          <w:rFonts w:hint="eastAsia" w:ascii="宋体" w:hAnsi="宋体" w:eastAsia="宋体" w:cs="宋体"/>
          <w:color w:val="auto"/>
          <w:sz w:val="24"/>
          <w:szCs w:val="24"/>
          <w:highlight w:val="none"/>
        </w:rPr>
        <w:t xml:space="preserve"> </w:t>
      </w:r>
    </w:p>
    <w:p>
      <w:pPr>
        <w:pageBreakBefore w:val="0"/>
        <w:widowControl w:val="0"/>
        <w:kinsoku/>
        <w:wordWrap/>
        <w:overflowPunct/>
        <w:topLinePunct w:val="0"/>
        <w:bidi w:val="0"/>
        <w:spacing w:line="360" w:lineRule="exact"/>
        <w:ind w:left="0" w:leftChars="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第</w:t>
      </w: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lang w:val="en-US" w:eastAsia="zh-CN"/>
        </w:rPr>
        <w:t>章</w:t>
      </w:r>
      <w:r>
        <w:rPr>
          <w:rFonts w:hint="eastAsia" w:ascii="宋体" w:hAnsi="宋体" w:eastAsia="宋体" w:cs="宋体"/>
          <w:color w:val="auto"/>
          <w:sz w:val="24"/>
          <w:szCs w:val="24"/>
          <w:highlight w:val="none"/>
        </w:rPr>
        <w:t xml:space="preserve"> 评标方法和标准</w:t>
      </w:r>
    </w:p>
    <w:p>
      <w:pPr>
        <w:pageBreakBefore w:val="0"/>
        <w:widowControl w:val="0"/>
        <w:kinsoku/>
        <w:wordWrap/>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第三册</w:t>
      </w:r>
    </w:p>
    <w:p>
      <w:pPr>
        <w:pageBreakBefore w:val="0"/>
        <w:widowControl w:val="0"/>
        <w:kinsoku/>
        <w:wordWrap/>
        <w:overflowPunct/>
        <w:topLinePunct w:val="0"/>
        <w:bidi w:val="0"/>
        <w:spacing w:line="360" w:lineRule="exact"/>
        <w:ind w:left="0" w:leftChars="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第</w:t>
      </w:r>
      <w:r>
        <w:rPr>
          <w:rFonts w:hint="eastAsia" w:ascii="宋体" w:hAnsi="宋体" w:eastAsia="宋体" w:cs="宋体"/>
          <w:color w:val="auto"/>
          <w:sz w:val="24"/>
          <w:szCs w:val="24"/>
          <w:highlight w:val="none"/>
        </w:rPr>
        <w:t>7</w:t>
      </w:r>
      <w:r>
        <w:rPr>
          <w:rFonts w:hint="eastAsia" w:ascii="宋体" w:hAnsi="宋体" w:eastAsia="宋体" w:cs="宋体"/>
          <w:color w:val="auto"/>
          <w:sz w:val="24"/>
          <w:szCs w:val="24"/>
          <w:highlight w:val="none"/>
          <w:lang w:val="en-US" w:eastAsia="zh-CN"/>
        </w:rPr>
        <w:t>章</w:t>
      </w:r>
      <w:r>
        <w:rPr>
          <w:rFonts w:hint="eastAsia" w:ascii="宋体" w:hAnsi="宋体" w:eastAsia="宋体" w:cs="宋体"/>
          <w:color w:val="auto"/>
          <w:sz w:val="24"/>
          <w:szCs w:val="24"/>
          <w:highlight w:val="none"/>
        </w:rPr>
        <w:t xml:space="preserve"> 政府采购合同格式</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如本文件的前后内容不一致，以最后描述为准。</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5.3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应认真阅读招标文件所有的事项、格式、条款和技术规范等。如</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没有按照招标文件要求提交全部资料，或者投标文件没有对招标文件在各方面都做出实质性响应，可能导致其投标将被认定为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Style w:val="8"/>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234" w:name="_Toc515904805"/>
      <w:bookmarkStart w:id="235" w:name="_Toc520356148"/>
      <w:bookmarkStart w:id="236" w:name="_Toc20556"/>
      <w:bookmarkStart w:id="237" w:name="_Toc12813"/>
      <w:bookmarkStart w:id="238" w:name="_Toc5991"/>
      <w:bookmarkStart w:id="239" w:name="_Toc28987"/>
      <w:bookmarkStart w:id="240" w:name="_Toc10034"/>
      <w:bookmarkStart w:id="241" w:name="_Toc28731"/>
      <w:bookmarkStart w:id="242" w:name="_Toc26044"/>
      <w:bookmarkStart w:id="243" w:name="_Toc19551"/>
      <w:bookmarkStart w:id="244" w:name="_Toc20202"/>
      <w:bookmarkStart w:id="245" w:name="_Toc11642"/>
      <w:bookmarkStart w:id="246" w:name="_Toc21165"/>
      <w:bookmarkStart w:id="247" w:name="_Toc20825"/>
      <w:bookmarkStart w:id="248" w:name="_Toc19275"/>
      <w:bookmarkStart w:id="249" w:name="_Toc13020"/>
      <w:bookmarkStart w:id="250" w:name="_Toc32688"/>
      <w:bookmarkStart w:id="251" w:name="_Toc20995"/>
      <w:bookmarkStart w:id="252" w:name="_Toc20604"/>
      <w:bookmarkStart w:id="253" w:name="_Toc29804"/>
      <w:bookmarkStart w:id="254" w:name="_Toc1117"/>
      <w:bookmarkStart w:id="255" w:name="_Toc4410"/>
      <w:bookmarkStart w:id="256" w:name="_Toc32479"/>
      <w:bookmarkStart w:id="257" w:name="_Toc15595"/>
      <w:bookmarkStart w:id="258" w:name="_Toc10213"/>
      <w:bookmarkStart w:id="259" w:name="_Toc31838"/>
      <w:bookmarkStart w:id="260" w:name="_Toc2990"/>
      <w:bookmarkStart w:id="261" w:name="_Toc25866"/>
      <w:bookmarkStart w:id="262" w:name="_Toc7764"/>
      <w:bookmarkStart w:id="263" w:name="_Toc340"/>
      <w:bookmarkStart w:id="264" w:name="_Toc32213"/>
      <w:bookmarkStart w:id="265" w:name="_Toc7013"/>
      <w:bookmarkStart w:id="266" w:name="_Toc27465"/>
      <w:bookmarkStart w:id="267" w:name="_Toc12945"/>
      <w:bookmarkStart w:id="268" w:name="_Toc21285"/>
      <w:bookmarkStart w:id="269" w:name="_Toc21098"/>
      <w:bookmarkStart w:id="270" w:name="_Toc9232"/>
      <w:bookmarkStart w:id="271" w:name="_Toc17631"/>
      <w:r>
        <w:rPr>
          <w:rFonts w:hint="eastAsia" w:ascii="宋体" w:hAnsi="宋体" w:eastAsia="宋体" w:cs="宋体"/>
          <w:b/>
          <w:bCs/>
          <w:color w:val="auto"/>
          <w:sz w:val="24"/>
          <w:szCs w:val="24"/>
          <w:highlight w:val="none"/>
          <w:u w:val="none"/>
        </w:rPr>
        <w:t>招标文件的澄清</w:t>
      </w:r>
      <w:bookmarkEnd w:id="234"/>
      <w:bookmarkEnd w:id="235"/>
      <w:r>
        <w:rPr>
          <w:rFonts w:hint="eastAsia" w:ascii="宋体" w:hAnsi="宋体" w:eastAsia="宋体" w:cs="宋体"/>
          <w:b/>
          <w:bCs/>
          <w:color w:val="auto"/>
          <w:sz w:val="24"/>
          <w:szCs w:val="24"/>
          <w:highlight w:val="none"/>
          <w:u w:val="none"/>
        </w:rPr>
        <w:t>与修改</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4"/>
        <w:pageBreakBefore w:val="0"/>
        <w:widowControl w:val="0"/>
        <w:kinsoku/>
        <w:wordWrap/>
        <w:overflowPunct/>
        <w:topLinePunct w:val="0"/>
        <w:bidi w:val="0"/>
        <w:spacing w:line="360" w:lineRule="exact"/>
        <w:ind w:left="840" w:leftChars="0" w:hanging="840" w:hangingChars="3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    为了保证对招标文件的澄清和修改满足法律的时限要求，任何要求对招标文件进行澄清的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，均应在投标截止期十五日前，以书面形式将澄清要求通知采购人或采购代理机构。</w:t>
      </w:r>
    </w:p>
    <w:p>
      <w:pPr>
        <w:pStyle w:val="4"/>
        <w:pageBreakBefore w:val="0"/>
        <w:widowControl w:val="0"/>
        <w:kinsoku/>
        <w:wordWrap/>
        <w:overflowPunct/>
        <w:topLinePunct w:val="0"/>
        <w:bidi w:val="0"/>
        <w:spacing w:line="360" w:lineRule="exact"/>
        <w:ind w:left="840" w:leftChars="0" w:hanging="840" w:hangingChars="350"/>
        <w:textAlignment w:val="auto"/>
        <w:rPr>
          <w:rFonts w:hint="eastAsia" w:ascii="宋体" w:hAnsi="宋体" w:eastAsia="宋体" w:cs="宋体"/>
          <w:color w:val="auto"/>
          <w:sz w:val="24"/>
          <w:szCs w:val="24"/>
          <w:highlight w:val="none"/>
        </w:rPr>
      </w:pPr>
      <w:bookmarkStart w:id="272" w:name="_Toc515904806"/>
      <w:bookmarkStart w:id="273" w:name="_Ref467378678"/>
      <w:bookmarkStart w:id="274" w:name="_Toc520356149"/>
      <w:r>
        <w:rPr>
          <w:rFonts w:hint="eastAsia" w:ascii="宋体" w:hAnsi="宋体" w:eastAsia="宋体" w:cs="宋体"/>
          <w:color w:val="auto"/>
          <w:sz w:val="24"/>
          <w:szCs w:val="24"/>
          <w:highlight w:val="none"/>
        </w:rPr>
        <w:t>6.2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采购人可主动地或在解答</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提出的澄清问题时对招标文件进行澄清或修改。采购代理机构将以发布澄清（更正）公告的方式，澄清或修改招标文件，澄清或修改内容作为招标文件的组成部分。</w:t>
      </w:r>
    </w:p>
    <w:p>
      <w:pPr>
        <w:pStyle w:val="4"/>
        <w:pageBreakBefore w:val="0"/>
        <w:widowControl w:val="0"/>
        <w:kinsoku/>
        <w:wordWrap/>
        <w:overflowPunct/>
        <w:topLinePunct w:val="0"/>
        <w:bidi w:val="0"/>
        <w:spacing w:line="360" w:lineRule="exact"/>
        <w:ind w:left="840" w:leftChars="0" w:hanging="840" w:hangingChars="3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澄清或者修改的内容可能影响投标文件编制的，采购代理机构将以书面形式通知所有购买招标文件的潜在</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，并对其具有约束力。</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在收到上述通知后，应及时向采购代理机构回函确认。</w:t>
      </w:r>
    </w:p>
    <w:bookmarkEnd w:id="272"/>
    <w:bookmarkEnd w:id="273"/>
    <w:bookmarkEnd w:id="274"/>
    <w:p>
      <w:pPr>
        <w:pStyle w:val="8"/>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275" w:name="_Toc14220"/>
      <w:bookmarkStart w:id="276" w:name="_Toc28126"/>
      <w:bookmarkStart w:id="277" w:name="_Toc4368"/>
      <w:bookmarkStart w:id="278" w:name="_Toc9080"/>
      <w:bookmarkStart w:id="279" w:name="_Toc19212"/>
      <w:bookmarkStart w:id="280" w:name="_Toc25635"/>
      <w:bookmarkStart w:id="281" w:name="_Toc7919"/>
      <w:bookmarkStart w:id="282" w:name="_Toc14569"/>
      <w:bookmarkStart w:id="283" w:name="_Toc5103"/>
      <w:bookmarkStart w:id="284" w:name="_Toc978"/>
      <w:bookmarkStart w:id="285" w:name="_Toc32529"/>
      <w:bookmarkStart w:id="286" w:name="_Toc27811"/>
      <w:bookmarkStart w:id="287" w:name="_Toc24028"/>
      <w:bookmarkStart w:id="288" w:name="_Toc9463"/>
      <w:bookmarkStart w:id="289" w:name="_Toc13249"/>
      <w:bookmarkStart w:id="290" w:name="_Toc1073"/>
      <w:bookmarkStart w:id="291" w:name="_Toc30435"/>
      <w:bookmarkStart w:id="292" w:name="_Toc1665"/>
      <w:bookmarkStart w:id="293" w:name="_Toc72"/>
      <w:bookmarkStart w:id="294" w:name="_Toc10446"/>
      <w:bookmarkStart w:id="295" w:name="_Toc517"/>
      <w:bookmarkStart w:id="296" w:name="_Toc11082"/>
      <w:bookmarkStart w:id="297" w:name="_Toc14901"/>
      <w:bookmarkStart w:id="298" w:name="_Toc22155"/>
      <w:bookmarkStart w:id="299" w:name="_Toc2915"/>
      <w:bookmarkStart w:id="300" w:name="_Toc21187"/>
      <w:bookmarkStart w:id="301" w:name="_Toc22107"/>
      <w:bookmarkStart w:id="302" w:name="_Toc7468"/>
      <w:bookmarkStart w:id="303" w:name="_Toc24043"/>
      <w:bookmarkStart w:id="304" w:name="_Toc6936"/>
      <w:bookmarkStart w:id="305" w:name="_Toc10823"/>
      <w:bookmarkStart w:id="306" w:name="_Toc5258"/>
      <w:bookmarkStart w:id="307" w:name="_Toc6199"/>
      <w:bookmarkStart w:id="308" w:name="_Toc32714"/>
      <w:bookmarkStart w:id="309" w:name="_Toc32592"/>
      <w:bookmarkStart w:id="310" w:name="_Toc1926"/>
      <w:r>
        <w:rPr>
          <w:rFonts w:hint="eastAsia" w:ascii="宋体" w:hAnsi="宋体" w:eastAsia="宋体" w:cs="宋体"/>
          <w:b/>
          <w:bCs/>
          <w:color w:val="auto"/>
          <w:sz w:val="24"/>
          <w:szCs w:val="24"/>
          <w:highlight w:val="none"/>
          <w:u w:val="none"/>
        </w:rPr>
        <w:t>投标截止时间的顺延</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为使</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准备投标时有足够的时间对招标文件的澄清或者修改部分进行研究，采购人将依法决定是否顺延投标截止时间。</w:t>
      </w:r>
      <w:bookmarkStart w:id="311" w:name="_Toc516367020"/>
      <w:bookmarkStart w:id="312" w:name="_Toc30808"/>
      <w:bookmarkStart w:id="313" w:name="_Toc7636"/>
      <w:bookmarkStart w:id="314" w:name="_Toc520356150"/>
      <w:bookmarkStart w:id="315" w:name="_Toc515647766"/>
      <w:bookmarkStart w:id="316" w:name="_Toc216582807"/>
    </w:p>
    <w:p>
      <w:pPr>
        <w:pageBreakBefore w:val="0"/>
        <w:widowControl w:val="0"/>
        <w:tabs>
          <w:tab w:val="left" w:pos="900"/>
        </w:tabs>
        <w:kinsoku/>
        <w:wordWrap/>
        <w:overflowPunct/>
        <w:topLinePunct w:val="0"/>
        <w:bidi w:val="0"/>
        <w:spacing w:line="360" w:lineRule="exact"/>
        <w:ind w:left="0" w:leftChars="0" w:hanging="540"/>
        <w:textAlignment w:val="auto"/>
        <w:rPr>
          <w:rFonts w:hint="eastAsia" w:ascii="宋体" w:hAnsi="宋体" w:eastAsia="宋体" w:cs="宋体"/>
          <w:color w:val="auto"/>
          <w:sz w:val="24"/>
          <w:szCs w:val="24"/>
          <w:highlight w:val="none"/>
        </w:rPr>
      </w:pPr>
    </w:p>
    <w:p>
      <w:pPr>
        <w:pStyle w:val="7"/>
        <w:pageBreakBefore w:val="0"/>
        <w:widowControl w:val="0"/>
        <w:tabs>
          <w:tab w:val="left" w:pos="900"/>
        </w:tabs>
        <w:kinsoku/>
        <w:wordWrap/>
        <w:overflowPunct/>
        <w:topLinePunct w:val="0"/>
        <w:bidi w:val="0"/>
        <w:spacing w:before="0" w:line="360" w:lineRule="exact"/>
        <w:ind w:left="0" w:leftChars="0" w:hanging="540"/>
        <w:textAlignment w:val="auto"/>
        <w:rPr>
          <w:rFonts w:hint="eastAsia" w:ascii="宋体" w:hAnsi="宋体" w:eastAsia="宋体" w:cs="宋体"/>
          <w:color w:val="auto"/>
          <w:sz w:val="24"/>
          <w:szCs w:val="24"/>
          <w:highlight w:val="none"/>
        </w:rPr>
      </w:pPr>
      <w:bookmarkStart w:id="317" w:name="_Toc29522"/>
      <w:bookmarkStart w:id="318" w:name="_Toc4358"/>
      <w:r>
        <w:rPr>
          <w:rFonts w:hint="eastAsia" w:ascii="宋体" w:hAnsi="宋体" w:eastAsia="宋体" w:cs="宋体"/>
          <w:color w:val="auto"/>
          <w:sz w:val="24"/>
          <w:szCs w:val="24"/>
          <w:highlight w:val="none"/>
        </w:rPr>
        <w:t>三   投标文件</w:t>
      </w:r>
      <w:bookmarkEnd w:id="311"/>
      <w:r>
        <w:rPr>
          <w:rFonts w:hint="eastAsia" w:ascii="宋体" w:hAnsi="宋体" w:eastAsia="宋体" w:cs="宋体"/>
          <w:color w:val="auto"/>
          <w:sz w:val="24"/>
          <w:szCs w:val="24"/>
          <w:highlight w:val="none"/>
        </w:rPr>
        <w:t>的编制</w:t>
      </w:r>
      <w:bookmarkEnd w:id="312"/>
      <w:bookmarkEnd w:id="313"/>
      <w:bookmarkEnd w:id="314"/>
      <w:bookmarkEnd w:id="315"/>
      <w:bookmarkEnd w:id="316"/>
      <w:bookmarkEnd w:id="317"/>
      <w:bookmarkEnd w:id="318"/>
    </w:p>
    <w:p>
      <w:pPr>
        <w:pStyle w:val="4"/>
        <w:pageBreakBefore w:val="0"/>
        <w:widowControl w:val="0"/>
        <w:kinsoku/>
        <w:wordWrap/>
        <w:overflowPunct/>
        <w:topLinePunct w:val="0"/>
        <w:bidi w:val="0"/>
        <w:spacing w:line="360" w:lineRule="exact"/>
        <w:ind w:left="0" w:leftChars="0"/>
        <w:textAlignment w:val="auto"/>
        <w:rPr>
          <w:rFonts w:hint="eastAsia" w:ascii="宋体" w:hAnsi="宋体" w:eastAsia="宋体" w:cs="宋体"/>
          <w:color w:val="auto"/>
          <w:sz w:val="24"/>
          <w:szCs w:val="24"/>
          <w:highlight w:val="none"/>
        </w:rPr>
      </w:pPr>
    </w:p>
    <w:p>
      <w:pPr>
        <w:pStyle w:val="8"/>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319" w:name="_Toc18081"/>
      <w:bookmarkStart w:id="320" w:name="_Toc16526"/>
      <w:bookmarkStart w:id="321" w:name="_Toc32077"/>
      <w:bookmarkStart w:id="322" w:name="_Toc5025"/>
      <w:bookmarkStart w:id="323" w:name="_Toc10810"/>
      <w:bookmarkStart w:id="324" w:name="_Toc13375"/>
      <w:bookmarkStart w:id="325" w:name="_Toc18835"/>
      <w:bookmarkStart w:id="326" w:name="_Toc17004"/>
      <w:bookmarkStart w:id="327" w:name="_Toc8148"/>
      <w:bookmarkStart w:id="328" w:name="_Toc31987"/>
      <w:bookmarkStart w:id="329" w:name="_Toc9725"/>
      <w:bookmarkStart w:id="330" w:name="_Toc14739"/>
      <w:bookmarkStart w:id="331" w:name="_Toc7224"/>
      <w:bookmarkStart w:id="332" w:name="_Toc2420"/>
      <w:bookmarkStart w:id="333" w:name="_Toc2688"/>
      <w:bookmarkStart w:id="334" w:name="_Toc18719"/>
      <w:bookmarkStart w:id="335" w:name="_Toc516367021"/>
      <w:bookmarkStart w:id="336" w:name="_Toc2129"/>
      <w:bookmarkStart w:id="337" w:name="_Toc15642"/>
      <w:bookmarkStart w:id="338" w:name="_Toc12390"/>
      <w:bookmarkStart w:id="339" w:name="_Toc18295"/>
      <w:bookmarkStart w:id="340" w:name="_Toc29965"/>
      <w:bookmarkStart w:id="341" w:name="_Toc28653"/>
      <w:bookmarkStart w:id="342" w:name="_Toc2539"/>
      <w:bookmarkStart w:id="343" w:name="_Toc14086"/>
      <w:bookmarkStart w:id="344" w:name="_Toc1632"/>
      <w:bookmarkStart w:id="345" w:name="_Toc30652"/>
      <w:bookmarkStart w:id="346" w:name="_Toc7786"/>
      <w:bookmarkStart w:id="347" w:name="_Toc28980"/>
      <w:bookmarkStart w:id="348" w:name="_Toc3553"/>
      <w:bookmarkStart w:id="349" w:name="_Toc1030"/>
      <w:bookmarkStart w:id="350" w:name="_Toc515647767"/>
      <w:bookmarkStart w:id="351" w:name="_Toc20486"/>
      <w:bookmarkStart w:id="352" w:name="_Toc7120"/>
      <w:bookmarkStart w:id="353" w:name="_Toc10748"/>
      <w:bookmarkStart w:id="354" w:name="_Toc32487"/>
      <w:bookmarkStart w:id="355" w:name="_Toc520356151"/>
      <w:bookmarkStart w:id="356" w:name="_Toc31071"/>
      <w:bookmarkStart w:id="357" w:name="_Toc4514"/>
      <w:r>
        <w:rPr>
          <w:rFonts w:hint="eastAsia" w:ascii="宋体" w:hAnsi="宋体" w:eastAsia="宋体" w:cs="宋体"/>
          <w:b/>
          <w:bCs/>
          <w:color w:val="auto"/>
          <w:sz w:val="24"/>
          <w:szCs w:val="24"/>
          <w:highlight w:val="none"/>
          <w:u w:val="none"/>
        </w:rPr>
        <w:t>投标范围及投标文件中标准和计量单位的使用</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项目有分包的，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可对招标文件其中某一个或几个分包</w:t>
      </w:r>
      <w:r>
        <w:rPr>
          <w:rFonts w:hint="eastAsia" w:ascii="宋体" w:hAnsi="宋体" w:eastAsia="宋体" w:cs="宋体"/>
          <w:color w:val="auto"/>
          <w:sz w:val="24"/>
          <w:szCs w:val="24"/>
          <w:highlight w:val="none"/>
          <w:lang w:eastAsia="zh-CN"/>
        </w:rPr>
        <w:t>货物</w:t>
      </w:r>
      <w:r>
        <w:rPr>
          <w:rFonts w:hint="eastAsia" w:ascii="宋体" w:hAnsi="宋体" w:eastAsia="宋体" w:cs="宋体"/>
          <w:color w:val="auto"/>
          <w:sz w:val="24"/>
          <w:szCs w:val="24"/>
          <w:highlight w:val="none"/>
        </w:rPr>
        <w:t>进行投标，除非在</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中另有规定。</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8.2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应当对所投分包招标文件中“</w:t>
      </w:r>
      <w:r>
        <w:rPr>
          <w:rFonts w:hint="eastAsia" w:ascii="宋体" w:hAnsi="宋体" w:eastAsia="宋体" w:cs="宋体"/>
          <w:color w:val="auto"/>
          <w:sz w:val="24"/>
          <w:szCs w:val="24"/>
          <w:highlight w:val="none"/>
          <w:lang w:val="en-US" w:eastAsia="zh-CN"/>
        </w:rPr>
        <w:t>采购需求及项目要求</w:t>
      </w:r>
      <w:r>
        <w:rPr>
          <w:rFonts w:hint="eastAsia" w:ascii="宋体" w:hAnsi="宋体" w:eastAsia="宋体" w:cs="宋体"/>
          <w:color w:val="auto"/>
          <w:sz w:val="24"/>
          <w:szCs w:val="24"/>
          <w:highlight w:val="none"/>
        </w:rPr>
        <w:t>”所列的所有内容进行投标，如仅响应某一包中的部分内容，其该包投标将被认定为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8.3     除招标文件中有特殊要求外，投标文件中所使用的计量单位，应采用中华人民共和国法定计量单位。</w:t>
      </w:r>
    </w:p>
    <w:p>
      <w:pPr>
        <w:pStyle w:val="8"/>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358" w:name="_Ref467306195"/>
      <w:bookmarkStart w:id="359" w:name="_Ref467306676"/>
      <w:bookmarkStart w:id="360" w:name="_Toc516367022"/>
      <w:bookmarkStart w:id="361" w:name="_Toc12220"/>
      <w:bookmarkStart w:id="362" w:name="_Toc11888"/>
      <w:bookmarkStart w:id="363" w:name="_Toc839"/>
      <w:bookmarkStart w:id="364" w:name="_Toc29634"/>
      <w:bookmarkStart w:id="365" w:name="_Toc27550"/>
      <w:bookmarkStart w:id="366" w:name="_Toc515647768"/>
      <w:bookmarkStart w:id="367" w:name="_Toc23291"/>
      <w:bookmarkStart w:id="368" w:name="_Toc18673"/>
      <w:bookmarkStart w:id="369" w:name="_Toc13425"/>
      <w:bookmarkStart w:id="370" w:name="_Toc15740"/>
      <w:bookmarkStart w:id="371" w:name="_Toc9950"/>
      <w:bookmarkStart w:id="372" w:name="_Toc20932"/>
      <w:bookmarkStart w:id="373" w:name="_Toc30989"/>
      <w:bookmarkStart w:id="374" w:name="_Toc28307"/>
      <w:bookmarkStart w:id="375" w:name="_Toc10364"/>
      <w:bookmarkStart w:id="376" w:name="_Toc6152"/>
      <w:bookmarkStart w:id="377" w:name="_Toc3144"/>
      <w:bookmarkStart w:id="378" w:name="_Toc9418"/>
      <w:bookmarkStart w:id="379" w:name="_Toc24338"/>
      <w:bookmarkStart w:id="380" w:name="_Toc14230"/>
      <w:bookmarkStart w:id="381" w:name="_Toc29706"/>
      <w:bookmarkStart w:id="382" w:name="_Toc258"/>
      <w:bookmarkStart w:id="383" w:name="_Toc22417"/>
      <w:bookmarkStart w:id="384" w:name="_Toc520356152"/>
      <w:bookmarkStart w:id="385" w:name="_Toc22897"/>
      <w:bookmarkStart w:id="386" w:name="_Toc31788"/>
      <w:bookmarkStart w:id="387" w:name="_Toc16016"/>
      <w:bookmarkStart w:id="388" w:name="_Toc10992"/>
      <w:bookmarkStart w:id="389" w:name="_Toc10428"/>
      <w:bookmarkStart w:id="390" w:name="_Toc25596"/>
      <w:bookmarkStart w:id="391" w:name="_Toc12343"/>
      <w:bookmarkStart w:id="392" w:name="_Toc9298"/>
      <w:bookmarkStart w:id="393" w:name="_Toc28065"/>
      <w:bookmarkStart w:id="394" w:name="_Toc20101"/>
      <w:bookmarkStart w:id="395" w:name="_Toc1485"/>
      <w:bookmarkStart w:id="396" w:name="_Toc22958"/>
      <w:bookmarkStart w:id="397" w:name="_Toc21278"/>
      <w:bookmarkStart w:id="398" w:name="_Toc3591"/>
      <w:r>
        <w:rPr>
          <w:rFonts w:hint="eastAsia" w:ascii="宋体" w:hAnsi="宋体" w:eastAsia="宋体" w:cs="宋体"/>
          <w:b/>
          <w:bCs/>
          <w:color w:val="auto"/>
          <w:sz w:val="24"/>
          <w:szCs w:val="24"/>
          <w:highlight w:val="none"/>
          <w:u w:val="none"/>
        </w:rPr>
        <w:t>投标文件</w:t>
      </w:r>
      <w:bookmarkEnd w:id="358"/>
      <w:bookmarkEnd w:id="359"/>
      <w:bookmarkEnd w:id="360"/>
      <w:r>
        <w:rPr>
          <w:rFonts w:hint="eastAsia" w:ascii="宋体" w:hAnsi="宋体" w:eastAsia="宋体" w:cs="宋体"/>
          <w:b/>
          <w:bCs/>
          <w:color w:val="auto"/>
          <w:sz w:val="24"/>
          <w:szCs w:val="24"/>
          <w:highlight w:val="none"/>
          <w:u w:val="none"/>
        </w:rPr>
        <w:t>构成</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ageBreakBefore w:val="0"/>
        <w:widowControl w:val="0"/>
        <w:tabs>
          <w:tab w:val="left" w:pos="900"/>
          <w:tab w:val="left" w:pos="5580"/>
        </w:tabs>
        <w:kinsoku/>
        <w:wordWrap/>
        <w:overflowPunct/>
        <w:topLinePunct w:val="0"/>
        <w:bidi w:val="0"/>
        <w:spacing w:line="360" w:lineRule="exact"/>
        <w:ind w:left="960" w:leftChars="0" w:hanging="960" w:hangingChars="400"/>
        <w:jc w:val="left"/>
        <w:textAlignment w:val="auto"/>
        <w:rPr>
          <w:rFonts w:hint="eastAsia" w:ascii="宋体" w:hAnsi="宋体" w:eastAsia="宋体" w:cs="宋体"/>
          <w:color w:val="auto"/>
          <w:sz w:val="24"/>
          <w:szCs w:val="24"/>
          <w:highlight w:val="none"/>
          <w:u w:val="single"/>
        </w:rPr>
      </w:pPr>
      <w:bookmarkStart w:id="399" w:name="_Ref467052588"/>
      <w:r>
        <w:rPr>
          <w:rFonts w:hint="eastAsia" w:ascii="宋体" w:hAnsi="宋体" w:eastAsia="宋体" w:cs="宋体"/>
          <w:color w:val="auto"/>
          <w:sz w:val="24"/>
          <w:szCs w:val="24"/>
          <w:highlight w:val="none"/>
        </w:rPr>
        <w:t xml:space="preserve">9.1    </w:t>
      </w:r>
      <w:r>
        <w:rPr>
          <w:rFonts w:hint="eastAsia" w:ascii="宋体" w:hAnsi="宋体" w:eastAsia="宋体" w:cs="宋体"/>
          <w:color w:val="auto"/>
          <w:sz w:val="24"/>
          <w:szCs w:val="24"/>
          <w:highlight w:val="none"/>
          <w:u w:val="single"/>
        </w:rPr>
        <w:t xml:space="preserve"> </w:t>
      </w:r>
      <w:r>
        <w:rPr>
          <w:rFonts w:hint="eastAsia" w:ascii="宋体" w:hAnsi="宋体" w:eastAsia="宋体" w:cs="宋体"/>
          <w:b/>
          <w:bCs/>
          <w:color w:val="auto"/>
          <w:sz w:val="24"/>
          <w:szCs w:val="24"/>
          <w:highlight w:val="none"/>
          <w:u w:val="single"/>
          <w:lang w:eastAsia="zh-CN"/>
        </w:rPr>
        <w:t>供应商</w:t>
      </w:r>
      <w:r>
        <w:rPr>
          <w:rFonts w:hint="eastAsia" w:ascii="宋体" w:hAnsi="宋体" w:eastAsia="宋体" w:cs="宋体"/>
          <w:b/>
          <w:bCs/>
          <w:color w:val="auto"/>
          <w:sz w:val="24"/>
          <w:szCs w:val="24"/>
          <w:highlight w:val="none"/>
          <w:u w:val="single"/>
        </w:rPr>
        <w:t>应完整地按招标文件提供的投标文件格式及要求</w:t>
      </w:r>
      <w:r>
        <w:rPr>
          <w:rFonts w:hint="eastAsia" w:ascii="宋体" w:hAnsi="宋体" w:eastAsia="宋体" w:cs="宋体"/>
          <w:b/>
          <w:bCs/>
          <w:color w:val="auto"/>
          <w:sz w:val="24"/>
          <w:szCs w:val="24"/>
          <w:highlight w:val="none"/>
          <w:u w:val="single"/>
          <w:lang w:eastAsia="zh-CN"/>
        </w:rPr>
        <w:t>编</w:t>
      </w:r>
      <w:r>
        <w:rPr>
          <w:rFonts w:hint="eastAsia" w:ascii="宋体" w:hAnsi="宋体" w:eastAsia="宋体" w:cs="宋体"/>
          <w:b/>
          <w:bCs/>
          <w:color w:val="auto"/>
          <w:sz w:val="24"/>
          <w:szCs w:val="24"/>
          <w:highlight w:val="none"/>
          <w:u w:val="single"/>
        </w:rPr>
        <w:t>写投标文件，投标文件应包括“开标一览表及资格证明文件”和“商务及技术文件”两部分，两部分合成一册，</w:t>
      </w:r>
      <w:r>
        <w:rPr>
          <w:rFonts w:hint="eastAsia" w:ascii="宋体" w:hAnsi="宋体" w:eastAsia="宋体" w:cs="宋体"/>
          <w:b/>
          <w:bCs/>
          <w:color w:val="auto"/>
          <w:sz w:val="24"/>
          <w:szCs w:val="24"/>
          <w:highlight w:val="none"/>
          <w:u w:val="single"/>
          <w:lang w:eastAsia="zh-CN"/>
        </w:rPr>
        <w:t>上传至政采云平台</w:t>
      </w:r>
      <w:r>
        <w:rPr>
          <w:rFonts w:hint="eastAsia" w:ascii="宋体" w:hAnsi="宋体" w:eastAsia="宋体" w:cs="宋体"/>
          <w:b/>
          <w:bCs/>
          <w:color w:val="auto"/>
          <w:sz w:val="24"/>
          <w:szCs w:val="24"/>
          <w:highlight w:val="none"/>
          <w:u w:val="singl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9.2    上述文件应按照招标文件规定的格式填写、签署和盖章。</w:t>
      </w:r>
      <w:bookmarkEnd w:id="399"/>
    </w:p>
    <w:p>
      <w:pPr>
        <w:pStyle w:val="8"/>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lang w:eastAsia="zh-CN"/>
        </w:rPr>
      </w:pPr>
      <w:bookmarkStart w:id="400" w:name="_Toc6978"/>
      <w:bookmarkStart w:id="401" w:name="_Toc10379"/>
      <w:bookmarkStart w:id="402" w:name="_Toc515647769"/>
      <w:bookmarkStart w:id="403" w:name="_Toc520356153"/>
      <w:bookmarkStart w:id="404" w:name="_Toc30354"/>
      <w:bookmarkStart w:id="405" w:name="_Toc17150"/>
      <w:bookmarkStart w:id="406" w:name="_Toc14035"/>
      <w:bookmarkStart w:id="407" w:name="_Toc12121"/>
      <w:bookmarkStart w:id="408" w:name="_Toc17715"/>
      <w:bookmarkStart w:id="409" w:name="_Toc15151"/>
      <w:bookmarkStart w:id="410" w:name="_Toc22195"/>
      <w:bookmarkStart w:id="411" w:name="_Toc516367023"/>
      <w:bookmarkStart w:id="412" w:name="_Toc4601"/>
      <w:bookmarkStart w:id="413" w:name="_Toc2056"/>
      <w:bookmarkStart w:id="414" w:name="_Toc12338"/>
      <w:bookmarkStart w:id="415" w:name="_Toc10584"/>
      <w:bookmarkStart w:id="416" w:name="_Toc11164"/>
      <w:bookmarkStart w:id="417" w:name="_Toc17365"/>
      <w:bookmarkStart w:id="418" w:name="_Toc1845"/>
      <w:bookmarkStart w:id="419" w:name="_Toc8260"/>
      <w:bookmarkStart w:id="420" w:name="_Toc31213"/>
      <w:bookmarkStart w:id="421" w:name="_Toc18045"/>
      <w:bookmarkStart w:id="422" w:name="_Toc32613"/>
      <w:bookmarkStart w:id="423" w:name="_Toc479"/>
      <w:bookmarkStart w:id="424" w:name="_Toc2684"/>
      <w:bookmarkStart w:id="425" w:name="_Toc23028"/>
      <w:bookmarkStart w:id="426" w:name="_Toc10487"/>
      <w:bookmarkStart w:id="427" w:name="_Toc20154"/>
      <w:bookmarkStart w:id="428" w:name="_Toc26648"/>
      <w:bookmarkStart w:id="429" w:name="_Toc12755"/>
      <w:bookmarkStart w:id="430" w:name="_Toc1879"/>
      <w:bookmarkStart w:id="431" w:name="_Toc17390"/>
      <w:bookmarkStart w:id="432" w:name="_Toc10531"/>
      <w:bookmarkStart w:id="433" w:name="_Toc16715"/>
      <w:bookmarkStart w:id="434" w:name="_Toc25894"/>
      <w:bookmarkStart w:id="435" w:name="_Toc12957"/>
      <w:bookmarkStart w:id="436" w:name="_Toc2503"/>
      <w:bookmarkStart w:id="437" w:name="_Toc5422"/>
      <w:bookmarkStart w:id="438" w:name="_Toc2348"/>
      <w:r>
        <w:rPr>
          <w:rFonts w:hint="eastAsia" w:ascii="宋体" w:hAnsi="宋体" w:eastAsia="宋体" w:cs="宋体"/>
          <w:b/>
          <w:bCs/>
          <w:color w:val="auto"/>
          <w:sz w:val="24"/>
          <w:szCs w:val="24"/>
          <w:highlight w:val="none"/>
          <w:u w:val="none"/>
        </w:rPr>
        <w:t>证明投标的的合格性和符合招标文件规定的技术文件</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rFonts w:hint="eastAsia" w:ascii="宋体" w:hAnsi="宋体" w:eastAsia="宋体" w:cs="宋体"/>
          <w:b/>
          <w:bCs/>
          <w:color w:val="auto"/>
          <w:sz w:val="24"/>
          <w:szCs w:val="24"/>
          <w:highlight w:val="none"/>
          <w:u w:val="none"/>
          <w:lang w:eastAsia="zh-CN"/>
        </w:rPr>
        <w:t>。</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应提交证明文件，证明其投标内容符合招标文件规定。该证明文件是投标文件的一部分。</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bookmarkStart w:id="439" w:name="_Ref467306244"/>
      <w:r>
        <w:rPr>
          <w:rFonts w:hint="eastAsia" w:ascii="宋体" w:hAnsi="宋体" w:eastAsia="宋体" w:cs="宋体"/>
          <w:color w:val="auto"/>
          <w:sz w:val="24"/>
          <w:szCs w:val="24"/>
          <w:highlight w:val="none"/>
        </w:rPr>
        <w:t>10.2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上款所述的证明文件，可以是文字资料、图纸和数据，</w:t>
      </w:r>
      <w:bookmarkEnd w:id="439"/>
      <w:r>
        <w:rPr>
          <w:rFonts w:hint="eastAsia" w:ascii="宋体" w:hAnsi="宋体" w:eastAsia="宋体" w:cs="宋体"/>
          <w:color w:val="auto"/>
          <w:sz w:val="24"/>
          <w:szCs w:val="24"/>
          <w:highlight w:val="none"/>
        </w:rPr>
        <w:t>它包括：</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设备主要技术指标的详细说明；</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货物从买方开始使用至</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文件规定的保质期内正常、连续地使用所必须的备件和专用工具清单，包括备件和专用工具的货源及现行价格；</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10.2.3</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对照招标文件技术规格，逐条说明所提供</w:t>
      </w:r>
      <w:r>
        <w:rPr>
          <w:rFonts w:hint="eastAsia" w:ascii="宋体" w:hAnsi="宋体" w:eastAsia="宋体" w:cs="宋体"/>
          <w:color w:val="auto"/>
          <w:sz w:val="24"/>
          <w:szCs w:val="24"/>
          <w:highlight w:val="none"/>
          <w:lang w:val="en-US" w:eastAsia="zh-CN"/>
        </w:rPr>
        <w:t>货物</w:t>
      </w:r>
      <w:r>
        <w:rPr>
          <w:rFonts w:hint="eastAsia" w:ascii="宋体" w:hAnsi="宋体" w:eastAsia="宋体" w:cs="宋体"/>
          <w:color w:val="auto"/>
          <w:sz w:val="24"/>
          <w:szCs w:val="24"/>
          <w:highlight w:val="none"/>
        </w:rPr>
        <w:t>及伴随的工程和</w:t>
      </w:r>
      <w:r>
        <w:rPr>
          <w:rFonts w:hint="eastAsia" w:ascii="宋体" w:hAnsi="宋体" w:eastAsia="宋体" w:cs="宋体"/>
          <w:color w:val="auto"/>
          <w:sz w:val="24"/>
          <w:szCs w:val="24"/>
          <w:highlight w:val="none"/>
          <w:lang w:val="en-US" w:eastAsia="zh-CN"/>
        </w:rPr>
        <w:t>货物</w:t>
      </w:r>
      <w:r>
        <w:rPr>
          <w:rFonts w:hint="eastAsia" w:ascii="宋体" w:hAnsi="宋体" w:eastAsia="宋体" w:cs="宋体"/>
          <w:color w:val="auto"/>
          <w:sz w:val="24"/>
          <w:szCs w:val="24"/>
          <w:highlight w:val="none"/>
        </w:rPr>
        <w:t>已对招标文件的技术规格做出了实质性的响应，或申明与技术规格条文的偏差和例外。</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10.3</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在投标中可以选用替代牌号或分类号，但这些替代要实质上相当于技术规格的要求。采购人、采购代理机构承诺不以上述参照品牌型号或分类号作为评标时判定其投标是否有效的标准。</w:t>
      </w:r>
    </w:p>
    <w:p>
      <w:pPr>
        <w:pStyle w:val="8"/>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440" w:name="_Toc25118"/>
      <w:bookmarkStart w:id="441" w:name="_Toc27885"/>
      <w:bookmarkStart w:id="442" w:name="_Toc24468"/>
      <w:bookmarkStart w:id="443" w:name="_Toc24261"/>
      <w:bookmarkStart w:id="444" w:name="_Toc16383"/>
      <w:bookmarkStart w:id="445" w:name="_Toc1794"/>
      <w:bookmarkStart w:id="446" w:name="_Toc29204"/>
      <w:bookmarkStart w:id="447" w:name="_Toc27456"/>
      <w:bookmarkStart w:id="448" w:name="_Toc8305"/>
      <w:bookmarkStart w:id="449" w:name="_Toc3868"/>
      <w:bookmarkStart w:id="450" w:name="_Toc23231"/>
      <w:bookmarkStart w:id="451" w:name="_Toc7731"/>
      <w:bookmarkStart w:id="452" w:name="_Toc5930"/>
      <w:bookmarkStart w:id="453" w:name="_Toc11160"/>
      <w:bookmarkStart w:id="454" w:name="_Toc29220"/>
      <w:bookmarkStart w:id="455" w:name="_Toc5144"/>
      <w:bookmarkStart w:id="456" w:name="_Toc28480"/>
      <w:bookmarkStart w:id="457" w:name="_Toc2005"/>
      <w:bookmarkStart w:id="458" w:name="_Toc21396"/>
      <w:bookmarkStart w:id="459" w:name="_Toc710"/>
      <w:bookmarkStart w:id="460" w:name="_Toc13111"/>
      <w:bookmarkStart w:id="461" w:name="_Toc25641"/>
      <w:bookmarkStart w:id="462" w:name="_Toc30792"/>
      <w:bookmarkStart w:id="463" w:name="_Toc25685"/>
      <w:bookmarkStart w:id="464" w:name="_Toc515647770"/>
      <w:bookmarkStart w:id="465" w:name="_Toc15670"/>
      <w:bookmarkStart w:id="466" w:name="_Toc23918"/>
      <w:bookmarkStart w:id="467" w:name="_Toc301"/>
      <w:bookmarkStart w:id="468" w:name="_Toc30467"/>
      <w:bookmarkStart w:id="469" w:name="_Toc28077"/>
      <w:bookmarkStart w:id="470" w:name="_Toc13352"/>
      <w:bookmarkStart w:id="471" w:name="_Toc2248"/>
      <w:bookmarkStart w:id="472" w:name="_Toc3229"/>
      <w:bookmarkStart w:id="473" w:name="_Toc26795"/>
      <w:bookmarkStart w:id="474" w:name="_Toc26145"/>
      <w:bookmarkStart w:id="475" w:name="_Toc520356155"/>
      <w:bookmarkStart w:id="476" w:name="_Toc11288"/>
      <w:bookmarkStart w:id="477" w:name="_Toc2311"/>
      <w:r>
        <w:rPr>
          <w:rFonts w:hint="eastAsia" w:ascii="宋体" w:hAnsi="宋体" w:eastAsia="宋体" w:cs="宋体"/>
          <w:b/>
          <w:bCs/>
          <w:color w:val="auto"/>
          <w:sz w:val="24"/>
          <w:szCs w:val="24"/>
          <w:highlight w:val="none"/>
          <w:u w:val="none"/>
        </w:rPr>
        <w:t>投标报价</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所有投标均以人民币报价。</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的投标报价应遵守《中华人民共和国价格法》。同时，根据《中华人民共和国政府采购法》第二条的规定，为保证公平竞争，如有主体部分的赠与行为，其投标将被认定为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应在投标分项报价表上标明投标相关</w:t>
      </w:r>
      <w:r>
        <w:rPr>
          <w:rFonts w:hint="eastAsia" w:ascii="宋体" w:hAnsi="宋体" w:eastAsia="宋体" w:cs="宋体"/>
          <w:color w:val="auto"/>
          <w:sz w:val="24"/>
          <w:szCs w:val="24"/>
          <w:highlight w:val="none"/>
          <w:lang w:val="en-US" w:eastAsia="zh-CN"/>
        </w:rPr>
        <w:t>货物</w:t>
      </w:r>
      <w:r>
        <w:rPr>
          <w:rFonts w:hint="eastAsia" w:ascii="宋体" w:hAnsi="宋体" w:eastAsia="宋体" w:cs="宋体"/>
          <w:color w:val="auto"/>
          <w:sz w:val="24"/>
          <w:szCs w:val="24"/>
          <w:highlight w:val="none"/>
        </w:rPr>
        <w:t>的单价（如适用）和总价，并由法定代表人或其授权代表签署。</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投标分项报价表上的价格应按下列方式填写；</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11.4</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所报的各分项投标单价在合同履行过程中是固定不变的，不得以任何理由予以变更。任何包含价格调整要求的投标，其投标将被认定为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11.5</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每种</w:t>
      </w:r>
      <w:r>
        <w:rPr>
          <w:rFonts w:hint="eastAsia" w:ascii="宋体" w:hAnsi="宋体" w:eastAsia="宋体" w:cs="宋体"/>
          <w:color w:val="auto"/>
          <w:sz w:val="24"/>
          <w:szCs w:val="24"/>
          <w:highlight w:val="none"/>
          <w:lang w:val="en-US" w:eastAsia="zh-CN"/>
        </w:rPr>
        <w:t>货物</w:t>
      </w:r>
      <w:r>
        <w:rPr>
          <w:rFonts w:hint="eastAsia" w:ascii="宋体" w:hAnsi="宋体" w:eastAsia="宋体" w:cs="宋体"/>
          <w:color w:val="auto"/>
          <w:sz w:val="24"/>
          <w:szCs w:val="24"/>
          <w:highlight w:val="none"/>
        </w:rPr>
        <w:t>只能有一个投标报价。采购人不接受具有附加条件的报价。</w:t>
      </w:r>
    </w:p>
    <w:p>
      <w:pPr>
        <w:pStyle w:val="8"/>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478" w:name="_Toc21776"/>
      <w:bookmarkStart w:id="479" w:name="_Toc15022"/>
      <w:bookmarkStart w:id="480" w:name="_Toc515647771"/>
      <w:bookmarkStart w:id="481" w:name="_Toc27869"/>
      <w:bookmarkStart w:id="482" w:name="_Toc17788"/>
      <w:bookmarkStart w:id="483" w:name="_Toc6678"/>
      <w:bookmarkStart w:id="484" w:name="_Toc30071"/>
      <w:bookmarkStart w:id="485" w:name="_Toc25003"/>
      <w:bookmarkStart w:id="486" w:name="_Toc30245"/>
      <w:bookmarkStart w:id="487" w:name="_Toc11514"/>
      <w:bookmarkStart w:id="488" w:name="_Toc5799"/>
      <w:bookmarkStart w:id="489" w:name="_Toc22618"/>
      <w:bookmarkStart w:id="490" w:name="_Toc13010"/>
      <w:bookmarkStart w:id="491" w:name="_Toc26222"/>
      <w:bookmarkStart w:id="492" w:name="_Toc21719"/>
      <w:bookmarkStart w:id="493" w:name="_Toc31139"/>
      <w:bookmarkStart w:id="494" w:name="_Toc23784"/>
      <w:bookmarkStart w:id="495" w:name="_Toc1683"/>
      <w:bookmarkStart w:id="496" w:name="_Toc106"/>
      <w:bookmarkStart w:id="497" w:name="_Toc12354"/>
      <w:bookmarkStart w:id="498" w:name="_Toc28730"/>
      <w:bookmarkStart w:id="499" w:name="_Toc23833"/>
      <w:bookmarkStart w:id="500" w:name="_Toc3670"/>
      <w:bookmarkStart w:id="501" w:name="_Toc10329"/>
      <w:bookmarkStart w:id="502" w:name="_Toc24283"/>
      <w:bookmarkStart w:id="503" w:name="_Toc28149"/>
      <w:bookmarkStart w:id="504" w:name="_Toc1271"/>
      <w:bookmarkStart w:id="505" w:name="_Toc30249"/>
      <w:bookmarkStart w:id="506" w:name="_Toc15349"/>
      <w:bookmarkStart w:id="507" w:name="_Toc18556"/>
      <w:bookmarkStart w:id="508" w:name="_Toc14189"/>
      <w:bookmarkStart w:id="509" w:name="_Toc7628"/>
      <w:bookmarkStart w:id="510" w:name="_Ref467306513"/>
      <w:bookmarkStart w:id="511" w:name="_Toc7022"/>
      <w:bookmarkStart w:id="512" w:name="_Toc31323"/>
      <w:bookmarkStart w:id="513" w:name="_Toc13637"/>
      <w:bookmarkStart w:id="514" w:name="_Toc23666"/>
      <w:bookmarkStart w:id="515" w:name="_Toc5648"/>
      <w:bookmarkStart w:id="516" w:name="_Toc520356156"/>
      <w:r>
        <w:rPr>
          <w:rFonts w:hint="eastAsia" w:ascii="宋体" w:hAnsi="宋体" w:eastAsia="宋体" w:cs="宋体"/>
          <w:b/>
          <w:bCs/>
          <w:color w:val="auto"/>
          <w:sz w:val="24"/>
          <w:szCs w:val="24"/>
          <w:highlight w:val="none"/>
          <w:u w:val="none"/>
        </w:rPr>
        <w:t>投标保证金</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bookmarkStart w:id="517" w:name="_Ref467306302"/>
      <w:r>
        <w:rPr>
          <w:rFonts w:hint="eastAsia" w:ascii="宋体" w:hAnsi="宋体" w:eastAsia="宋体" w:cs="宋体"/>
          <w:color w:val="auto"/>
          <w:sz w:val="24"/>
          <w:szCs w:val="24"/>
          <w:highlight w:val="none"/>
        </w:rPr>
        <w:t>12.1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应提交</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中规定的投标保证金</w:t>
      </w:r>
      <w:bookmarkEnd w:id="517"/>
      <w:r>
        <w:rPr>
          <w:rFonts w:hint="eastAsia" w:ascii="宋体" w:hAnsi="宋体" w:eastAsia="宋体" w:cs="宋体"/>
          <w:color w:val="auto"/>
          <w:sz w:val="24"/>
          <w:szCs w:val="24"/>
          <w:highlight w:val="none"/>
        </w:rPr>
        <w:t>，并作为其投标的一部分。</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存在下列情形的，投标保证金不予退还：</w:t>
      </w:r>
    </w:p>
    <w:p>
      <w:pPr>
        <w:pStyle w:val="15"/>
        <w:pageBreakBefore w:val="0"/>
        <w:widowControl w:val="0"/>
        <w:tabs>
          <w:tab w:val="left" w:pos="2240"/>
        </w:tabs>
        <w:kinsoku/>
        <w:wordWrap/>
        <w:overflowPunct/>
        <w:topLinePunct w:val="0"/>
        <w:bidi w:val="0"/>
        <w:spacing w:line="360" w:lineRule="exact"/>
        <w:ind w:left="300" w:leftChars="0" w:hanging="300" w:hangingChars="12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（1）在投标有效期内，撤销投标的；</w:t>
      </w:r>
    </w:p>
    <w:p>
      <w:pPr>
        <w:pStyle w:val="15"/>
        <w:pageBreakBefore w:val="0"/>
        <w:widowControl w:val="0"/>
        <w:tabs>
          <w:tab w:val="left" w:pos="2240"/>
        </w:tabs>
        <w:kinsoku/>
        <w:wordWrap/>
        <w:overflowPunct/>
        <w:topLinePunct w:val="0"/>
        <w:bidi w:val="0"/>
        <w:spacing w:line="360" w:lineRule="exact"/>
        <w:ind w:left="300" w:leftChars="0" w:hanging="300" w:hangingChars="12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（2）中标后不按本须知第30条的规定与采购人签订合同的；</w:t>
      </w:r>
    </w:p>
    <w:p>
      <w:pPr>
        <w:pStyle w:val="15"/>
        <w:pageBreakBefore w:val="0"/>
        <w:widowControl w:val="0"/>
        <w:tabs>
          <w:tab w:val="left" w:pos="2240"/>
        </w:tabs>
        <w:kinsoku/>
        <w:wordWrap/>
        <w:overflowPunct/>
        <w:topLinePunct w:val="0"/>
        <w:bidi w:val="0"/>
        <w:spacing w:line="360" w:lineRule="exact"/>
        <w:ind w:left="300" w:leftChars="0" w:hanging="300" w:hangingChars="12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（3）中标后不按本须知第31条的规定提交履约保证金的；</w:t>
      </w:r>
    </w:p>
    <w:p>
      <w:pPr>
        <w:pStyle w:val="15"/>
        <w:pageBreakBefore w:val="0"/>
        <w:widowControl w:val="0"/>
        <w:tabs>
          <w:tab w:val="left" w:pos="2240"/>
        </w:tabs>
        <w:kinsoku/>
        <w:wordWrap/>
        <w:overflowPunct/>
        <w:topLinePunct w:val="0"/>
        <w:bidi w:val="0"/>
        <w:spacing w:line="360" w:lineRule="exact"/>
        <w:ind w:left="300" w:leftChars="0" w:hanging="300" w:hangingChars="12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（4）中标后不按本须知第32条的规定缴纳中标服务费的；</w:t>
      </w:r>
    </w:p>
    <w:p>
      <w:pPr>
        <w:pStyle w:val="15"/>
        <w:pageBreakBefore w:val="0"/>
        <w:widowControl w:val="0"/>
        <w:tabs>
          <w:tab w:val="left" w:pos="2240"/>
        </w:tabs>
        <w:kinsoku/>
        <w:wordWrap/>
        <w:overflowPunct/>
        <w:topLinePunct w:val="0"/>
        <w:bidi w:val="0"/>
        <w:spacing w:line="360" w:lineRule="exact"/>
        <w:ind w:left="300" w:leftChars="0" w:hanging="300" w:hangingChars="12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（5）存在其他违法违规行为的。</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bookmarkStart w:id="518" w:name="_Ref467306336"/>
      <w:r>
        <w:rPr>
          <w:rFonts w:hint="eastAsia" w:ascii="宋体" w:hAnsi="宋体" w:eastAsia="宋体" w:cs="宋体"/>
          <w:color w:val="auto"/>
          <w:sz w:val="24"/>
          <w:szCs w:val="24"/>
          <w:highlight w:val="none"/>
        </w:rPr>
        <w:t>12.3</w:t>
      </w:r>
      <w:r>
        <w:rPr>
          <w:rFonts w:hint="eastAsia" w:ascii="宋体" w:hAnsi="宋体" w:eastAsia="宋体" w:cs="宋体"/>
          <w:color w:val="auto"/>
          <w:sz w:val="24"/>
          <w:szCs w:val="24"/>
          <w:highlight w:val="none"/>
        </w:rPr>
        <w:tab/>
      </w:r>
      <w:bookmarkEnd w:id="518"/>
      <w:r>
        <w:rPr>
          <w:rFonts w:hint="eastAsia" w:ascii="宋体" w:hAnsi="宋体" w:eastAsia="宋体" w:cs="宋体"/>
          <w:color w:val="auto"/>
          <w:sz w:val="24"/>
          <w:szCs w:val="24"/>
          <w:highlight w:val="none"/>
        </w:rPr>
        <w:t>政府采购信用担保试点范围内的项目，接受符合财政部门规定的政府采购投标担</w:t>
      </w:r>
      <w:r>
        <w:rPr>
          <w:rFonts w:hint="eastAsia" w:ascii="宋体" w:hAnsi="宋体" w:eastAsia="宋体" w:cs="宋体"/>
          <w:color w:val="auto"/>
          <w:sz w:val="24"/>
          <w:szCs w:val="24"/>
          <w:highlight w:val="none"/>
          <w:lang w:eastAsia="zh-CN"/>
        </w:rPr>
        <w:t>开户行银行保函</w:t>
      </w:r>
      <w:r>
        <w:rPr>
          <w:rFonts w:hint="eastAsia" w:ascii="宋体" w:hAnsi="宋体" w:eastAsia="宋体" w:cs="宋体"/>
          <w:color w:val="auto"/>
          <w:sz w:val="24"/>
          <w:szCs w:val="24"/>
          <w:highlight w:val="none"/>
        </w:rPr>
        <w:t>原件。</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12.4</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未按本须知第12.1和12.3条规定提交投标保证金的，其投标将被认定为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ageBreakBefore w:val="0"/>
        <w:widowControl w:val="0"/>
        <w:kinsoku/>
        <w:wordWrap/>
        <w:overflowPunct/>
        <w:topLinePunct w:val="0"/>
        <w:bidi w:val="0"/>
        <w:spacing w:line="36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12.4.1  采用电汇形式的，一般可以实时入账。</w:t>
      </w:r>
    </w:p>
    <w:p>
      <w:pPr>
        <w:pageBreakBefore w:val="0"/>
        <w:widowControl w:val="0"/>
        <w:kinsoku/>
        <w:wordWrap/>
        <w:overflowPunct/>
        <w:topLinePunct w:val="0"/>
        <w:bidi w:val="0"/>
        <w:spacing w:line="360" w:lineRule="exact"/>
        <w:ind w:left="960" w:leftChars="0" w:hanging="960" w:hangingChars="4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12.4.2  采用支票形式的，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则应充分考虑支票入账时间，以确保投标保证金能按时进入指定账户。根据银行信息交换和付款时间，支票从递交至实际入账一般需要4-5个工作日。如</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未及时提交支票或支票不符合银行委托收款要求（如污损、折叠、胶装等），导致投标保证金不能按时进入指定账户的，将按照招标文件的第22.2条相关规定处理。</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12.5   联合体投标的，可以由联合体中的一方或者共同提交投标保证金。以一方名义提交投标保证金的，对联合体各方均具有约束力。</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12.6</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投标保证金的退还</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12.6.1  中标人应在与采购人签订合同之日起5个工作日内，及时联系保证金收受机构办理投标保证金无息退还手续。</w:t>
      </w:r>
    </w:p>
    <w:p>
      <w:pPr>
        <w:pageBreakBefore w:val="0"/>
        <w:widowControl w:val="0"/>
        <w:kinsoku/>
        <w:wordWrap/>
        <w:overflowPunct/>
        <w:topLinePunct w:val="0"/>
        <w:bidi w:val="0"/>
        <w:spacing w:line="360" w:lineRule="exact"/>
        <w:ind w:left="960" w:leftChars="0" w:hanging="960" w:hanging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12.6.2  未中标</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的投标保证金将在中标通知书发出之日暨中标结果公告公布之日起5个工作日内无息退还。</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应及时联系保证金收受机构办理退还投标保证金手续。</w:t>
      </w:r>
    </w:p>
    <w:p>
      <w:pPr>
        <w:pageBreakBefore w:val="0"/>
        <w:widowControl w:val="0"/>
        <w:kinsoku/>
        <w:wordWrap/>
        <w:overflowPunct/>
        <w:topLinePunct w:val="0"/>
        <w:bidi w:val="0"/>
        <w:spacing w:line="36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12.6.3  政府采购投标担</w:t>
      </w:r>
      <w:r>
        <w:rPr>
          <w:rFonts w:hint="eastAsia" w:ascii="宋体" w:hAnsi="宋体" w:eastAsia="宋体" w:cs="宋体"/>
          <w:color w:val="auto"/>
          <w:sz w:val="24"/>
          <w:szCs w:val="24"/>
          <w:highlight w:val="none"/>
          <w:lang w:eastAsia="zh-CN"/>
        </w:rPr>
        <w:t>开户行银行保函</w:t>
      </w:r>
      <w:r>
        <w:rPr>
          <w:rFonts w:hint="eastAsia" w:ascii="宋体" w:hAnsi="宋体" w:eastAsia="宋体" w:cs="宋体"/>
          <w:color w:val="auto"/>
          <w:sz w:val="24"/>
          <w:szCs w:val="24"/>
          <w:highlight w:val="none"/>
        </w:rPr>
        <w:t>不予退回。</w:t>
      </w:r>
    </w:p>
    <w:p>
      <w:pPr>
        <w:pageBreakBefore w:val="0"/>
        <w:widowControl w:val="0"/>
        <w:kinsoku/>
        <w:wordWrap/>
        <w:overflowPunct/>
        <w:topLinePunct w:val="0"/>
        <w:bidi w:val="0"/>
        <w:spacing w:line="360" w:lineRule="exact"/>
        <w:ind w:left="960" w:leftChars="0" w:hanging="960" w:hanging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12.7    因</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自身原因导致无法及时退还的，采购人或采购代理机构将不承担相应责任。</w:t>
      </w:r>
    </w:p>
    <w:p>
      <w:pPr>
        <w:pStyle w:val="8"/>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519" w:name="_Toc11132"/>
      <w:bookmarkStart w:id="520" w:name="_Toc28650"/>
      <w:bookmarkStart w:id="521" w:name="_Toc32477"/>
      <w:bookmarkStart w:id="522" w:name="_Toc27999"/>
      <w:bookmarkStart w:id="523" w:name="_Toc927"/>
      <w:bookmarkStart w:id="524" w:name="_Toc17927"/>
      <w:bookmarkStart w:id="525" w:name="_Toc25261"/>
      <w:bookmarkStart w:id="526" w:name="_Toc30122"/>
      <w:bookmarkStart w:id="527" w:name="_Toc4526"/>
      <w:bookmarkStart w:id="528" w:name="_Toc19931"/>
      <w:bookmarkStart w:id="529" w:name="_Toc32062"/>
      <w:bookmarkStart w:id="530" w:name="_Toc520356157"/>
      <w:bookmarkStart w:id="531" w:name="_Toc26603"/>
      <w:bookmarkStart w:id="532" w:name="_Toc5678"/>
      <w:bookmarkStart w:id="533" w:name="_Toc32569"/>
      <w:bookmarkStart w:id="534" w:name="_Toc1719"/>
      <w:bookmarkStart w:id="535" w:name="_Toc30519"/>
      <w:bookmarkStart w:id="536" w:name="_Toc13507"/>
      <w:bookmarkStart w:id="537" w:name="_Toc24973"/>
      <w:bookmarkStart w:id="538" w:name="_Toc953"/>
      <w:bookmarkStart w:id="539" w:name="_Toc12620"/>
      <w:bookmarkStart w:id="540" w:name="_Toc32391"/>
      <w:bookmarkStart w:id="541" w:name="_Toc7796"/>
      <w:bookmarkStart w:id="542" w:name="_Toc15827"/>
      <w:bookmarkStart w:id="543" w:name="_Toc31306"/>
      <w:bookmarkStart w:id="544" w:name="_Toc7349"/>
      <w:bookmarkStart w:id="545" w:name="_Toc8299"/>
      <w:bookmarkStart w:id="546" w:name="_Toc9333"/>
      <w:bookmarkStart w:id="547" w:name="_Toc23657"/>
      <w:bookmarkStart w:id="548" w:name="_Toc19152"/>
      <w:bookmarkStart w:id="549" w:name="_Toc14639"/>
      <w:bookmarkStart w:id="550" w:name="_Toc1255"/>
      <w:bookmarkStart w:id="551" w:name="_Toc20588"/>
      <w:bookmarkStart w:id="552" w:name="_Toc3015"/>
      <w:bookmarkStart w:id="553" w:name="_Toc515647772"/>
      <w:bookmarkStart w:id="554" w:name="_Toc9008"/>
      <w:bookmarkStart w:id="555" w:name="_Toc23590"/>
      <w:bookmarkStart w:id="556" w:name="_Toc12947"/>
      <w:r>
        <w:rPr>
          <w:rFonts w:hint="eastAsia" w:ascii="宋体" w:hAnsi="宋体" w:eastAsia="宋体" w:cs="宋体"/>
          <w:b/>
          <w:bCs/>
          <w:color w:val="auto"/>
          <w:sz w:val="24"/>
          <w:szCs w:val="24"/>
          <w:highlight w:val="none"/>
          <w:u w:val="none"/>
        </w:rPr>
        <w:t>投标有效期</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投标应在</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中规定时间内保持有效。投标有效期不满足要求的投标，其投标将被认定为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auto"/>
          <w:sz w:val="24"/>
          <w:szCs w:val="24"/>
          <w:highlight w:val="none"/>
        </w:rPr>
        <w:t>13.2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为保证有充分时间签订合同，采购人或采购代理机构可根据实际情况，在原投标有效期截止之前，要求</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延长投标文件的有效期。接受该要求的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将不会被要求和允许修正其投标，且本须知中有关投标保证金的要求须在延长的有效期内继续有效。</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可以拒绝延长投标有效期的要求，其投标保证金将及时无息退还。上述要求和答复都应以书</w:t>
      </w:r>
      <w:r>
        <w:rPr>
          <w:rFonts w:hint="eastAsia" w:ascii="宋体" w:hAnsi="宋体" w:eastAsia="宋体" w:cs="宋体"/>
          <w:color w:val="000000" w:themeColor="text1"/>
          <w:sz w:val="24"/>
          <w:szCs w:val="24"/>
          <w:highlight w:val="none"/>
          <w14:textFill>
            <w14:solidFill>
              <w14:schemeClr w14:val="tx1"/>
            </w14:solidFill>
          </w14:textFill>
        </w:rPr>
        <w:t>面形式提交。</w:t>
      </w:r>
    </w:p>
    <w:p>
      <w:pPr>
        <w:pStyle w:val="8"/>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000000" w:themeColor="text1"/>
          <w:sz w:val="24"/>
          <w:szCs w:val="24"/>
          <w:highlight w:val="none"/>
          <w:u w:val="none"/>
          <w14:textFill>
            <w14:solidFill>
              <w14:schemeClr w14:val="tx1"/>
            </w14:solidFill>
          </w14:textFill>
        </w:rPr>
      </w:pPr>
      <w:bookmarkStart w:id="557" w:name="_Toc520356158"/>
      <w:bookmarkStart w:id="558" w:name="_Toc3040"/>
      <w:bookmarkStart w:id="559" w:name="_Toc16718"/>
      <w:bookmarkStart w:id="560" w:name="_Toc12276"/>
      <w:bookmarkStart w:id="561" w:name="_Toc18546"/>
      <w:bookmarkStart w:id="562" w:name="_Toc12203"/>
      <w:bookmarkStart w:id="563" w:name="_Toc10391"/>
      <w:bookmarkStart w:id="564" w:name="_Toc3558"/>
      <w:bookmarkStart w:id="565" w:name="_Toc8162"/>
      <w:bookmarkStart w:id="566" w:name="_Toc1080"/>
      <w:bookmarkStart w:id="567" w:name="_Toc21504"/>
      <w:bookmarkStart w:id="568" w:name="_Toc28338"/>
      <w:bookmarkStart w:id="569" w:name="_Toc4425"/>
      <w:bookmarkStart w:id="570" w:name="_Toc9672"/>
      <w:bookmarkStart w:id="571" w:name="_Toc24787"/>
      <w:bookmarkStart w:id="572" w:name="_Toc2812"/>
      <w:bookmarkStart w:id="573" w:name="_Toc11669"/>
      <w:bookmarkStart w:id="574" w:name="_Toc6041"/>
      <w:bookmarkStart w:id="575" w:name="_Toc5874"/>
      <w:bookmarkStart w:id="576" w:name="_Toc29619"/>
      <w:bookmarkStart w:id="577" w:name="_Toc17074"/>
      <w:bookmarkStart w:id="578" w:name="_Toc16503"/>
      <w:bookmarkStart w:id="579" w:name="_Toc31098"/>
      <w:bookmarkStart w:id="580" w:name="_Toc15768"/>
      <w:bookmarkStart w:id="581" w:name="_Toc6286"/>
      <w:bookmarkStart w:id="582" w:name="_Toc8296"/>
      <w:bookmarkStart w:id="583" w:name="_Toc515647773"/>
      <w:bookmarkStart w:id="584" w:name="_Toc30127"/>
      <w:bookmarkStart w:id="585" w:name="_Toc493"/>
      <w:bookmarkStart w:id="586" w:name="_Toc2300"/>
      <w:bookmarkStart w:id="587" w:name="_Toc8275"/>
      <w:bookmarkStart w:id="588" w:name="_Toc7890"/>
      <w:bookmarkStart w:id="589" w:name="_Toc14458"/>
      <w:bookmarkStart w:id="590" w:name="_Toc31330"/>
      <w:r>
        <w:rPr>
          <w:rFonts w:hint="eastAsia" w:ascii="宋体" w:hAnsi="宋体" w:eastAsia="宋体" w:cs="宋体"/>
          <w:b/>
          <w:bCs/>
          <w:color w:val="000000" w:themeColor="text1"/>
          <w:sz w:val="24"/>
          <w:szCs w:val="24"/>
          <w:highlight w:val="none"/>
          <w:u w:val="none"/>
          <w14:textFill>
            <w14:solidFill>
              <w14:schemeClr w14:val="tx1"/>
            </w14:solidFill>
          </w14:textFill>
        </w:rPr>
        <w:t>投标文件的签署</w:t>
      </w:r>
      <w:bookmarkEnd w:id="557"/>
      <w:r>
        <w:rPr>
          <w:rFonts w:hint="eastAsia" w:ascii="宋体" w:hAnsi="宋体" w:eastAsia="宋体" w:cs="宋体"/>
          <w:b/>
          <w:bCs/>
          <w:color w:val="000000" w:themeColor="text1"/>
          <w:sz w:val="24"/>
          <w:szCs w:val="24"/>
          <w:highlight w:val="none"/>
          <w:u w:val="none"/>
          <w14:textFill>
            <w14:solidFill>
              <w14:schemeClr w14:val="tx1"/>
            </w14:solidFill>
          </w14:textFill>
        </w:rPr>
        <w:t>及规定</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Pr>
          <w:rFonts w:hint="eastAsia" w:ascii="宋体" w:hAnsi="宋体" w:eastAsia="宋体" w:cs="宋体"/>
          <w:b/>
          <w:i w:val="0"/>
          <w:caps w:val="0"/>
          <w:color w:val="000000" w:themeColor="text1"/>
          <w:spacing w:val="0"/>
          <w:w w:val="100"/>
          <w:sz w:val="24"/>
          <w:highlight w:val="none"/>
          <w:u w:val="single" w:color="000000"/>
          <w:lang w:val="en-US" w:eastAsia="zh-CN"/>
          <w14:textFill>
            <w14:solidFill>
              <w14:schemeClr w14:val="tx1"/>
            </w14:solidFill>
          </w14:textFill>
        </w:rPr>
        <w:t>（</w:t>
      </w:r>
      <w:r>
        <w:rPr>
          <w:rFonts w:hint="eastAsia" w:hAnsi="宋体" w:cs="宋体"/>
          <w:b/>
          <w:i w:val="0"/>
          <w:caps w:val="0"/>
          <w:color w:val="000000" w:themeColor="text1"/>
          <w:spacing w:val="0"/>
          <w:w w:val="100"/>
          <w:sz w:val="24"/>
          <w:highlight w:val="none"/>
          <w:u w:val="single" w:color="000000"/>
          <w:lang w:val="en-US" w:eastAsia="zh-CN"/>
          <w14:textFill>
            <w14:solidFill>
              <w14:schemeClr w14:val="tx1"/>
            </w14:solidFill>
          </w14:textFill>
        </w:rPr>
        <w:t>所有</w:t>
      </w:r>
      <w:r>
        <w:rPr>
          <w:rFonts w:hint="eastAsia" w:ascii="宋体" w:hAnsi="宋体" w:eastAsia="宋体" w:cs="宋体"/>
          <w:b/>
          <w:i w:val="0"/>
          <w:caps w:val="0"/>
          <w:color w:val="000000" w:themeColor="text1"/>
          <w:spacing w:val="0"/>
          <w:w w:val="100"/>
          <w:sz w:val="24"/>
          <w:highlight w:val="none"/>
          <w:u w:val="single" w:color="000000"/>
          <w:lang w:val="en-US" w:eastAsia="zh-CN"/>
          <w14:textFill>
            <w14:solidFill>
              <w14:schemeClr w14:val="tx1"/>
            </w14:solidFill>
          </w14:textFill>
        </w:rPr>
        <w:t>供应商在招标结束后三天内邮寄投标文件）</w:t>
      </w:r>
      <w:bookmarkEnd w:id="588"/>
      <w:bookmarkEnd w:id="589"/>
      <w:bookmarkEnd w:id="590"/>
    </w:p>
    <w:p>
      <w:pPr>
        <w:pageBreakBefore w:val="0"/>
        <w:shd w:val="clear"/>
        <w:kinsoku/>
        <w:wordWrap/>
        <w:overflowPunct/>
        <w:topLinePunct w:val="0"/>
        <w:bidi w:val="0"/>
        <w:spacing w:line="360" w:lineRule="exact"/>
        <w:ind w:left="900" w:hanging="904" w:hangingChars="375"/>
        <w:rPr>
          <w:rFonts w:hint="eastAsia" w:ascii="宋体" w:hAnsi="宋体" w:eastAsia="宋体" w:cs="宋体"/>
          <w:b/>
          <w:bCs/>
          <w:color w:val="auto"/>
          <w:sz w:val="24"/>
          <w:szCs w:val="24"/>
          <w:highlight w:val="none"/>
        </w:rPr>
      </w:pPr>
      <w:bookmarkStart w:id="591" w:name="_Toc216582808"/>
      <w:bookmarkStart w:id="592" w:name="_Toc16865"/>
      <w:bookmarkStart w:id="593" w:name="_Toc11179"/>
      <w:bookmarkStart w:id="594" w:name="_Toc520356159"/>
      <w:bookmarkStart w:id="595" w:name="_Toc515647774"/>
      <w:r>
        <w:rPr>
          <w:rFonts w:hint="eastAsia" w:ascii="宋体" w:hAnsi="宋体" w:eastAsia="宋体" w:cs="宋体"/>
          <w:b/>
          <w:bCs/>
          <w:color w:val="auto"/>
          <w:sz w:val="24"/>
          <w:szCs w:val="24"/>
          <w:highlight w:val="none"/>
        </w:rPr>
        <w:t>14.1</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rPr>
        <w:t>供应商应按供应商须知资料表中的规定，准备和递交</w:t>
      </w:r>
      <w:r>
        <w:rPr>
          <w:rFonts w:hint="eastAsia" w:ascii="宋体" w:hAnsi="宋体" w:eastAsia="宋体" w:cs="宋体"/>
          <w:b/>
          <w:bCs/>
          <w:color w:val="auto"/>
          <w:sz w:val="24"/>
          <w:szCs w:val="24"/>
          <w:highlight w:val="none"/>
          <w:lang w:eastAsia="zh-CN"/>
        </w:rPr>
        <w:t>投标文件</w:t>
      </w:r>
      <w:r>
        <w:rPr>
          <w:rFonts w:hint="eastAsia" w:ascii="宋体" w:hAnsi="宋体" w:eastAsia="宋体" w:cs="宋体"/>
          <w:b/>
          <w:bCs/>
          <w:color w:val="auto"/>
          <w:sz w:val="24"/>
          <w:szCs w:val="24"/>
          <w:highlight w:val="none"/>
        </w:rPr>
        <w:t>、</w:t>
      </w:r>
      <w:r>
        <w:rPr>
          <w:rFonts w:hint="eastAsia" w:ascii="宋体" w:hAnsi="宋体" w:cs="宋体"/>
          <w:b/>
          <w:bCs/>
          <w:color w:val="auto"/>
          <w:sz w:val="24"/>
          <w:szCs w:val="24"/>
          <w:highlight w:val="none"/>
          <w:lang w:eastAsia="zh-CN"/>
        </w:rPr>
        <w:t>开标</w:t>
      </w:r>
      <w:r>
        <w:rPr>
          <w:rFonts w:hint="eastAsia" w:ascii="宋体" w:hAnsi="宋体" w:eastAsia="宋体" w:cs="宋体"/>
          <w:b/>
          <w:bCs/>
          <w:color w:val="auto"/>
          <w:sz w:val="24"/>
          <w:szCs w:val="24"/>
          <w:highlight w:val="none"/>
        </w:rPr>
        <w:t>一览表</w:t>
      </w:r>
      <w:r>
        <w:rPr>
          <w:rFonts w:hint="eastAsia" w:ascii="宋体" w:hAnsi="宋体" w:cs="宋体"/>
          <w:b/>
          <w:bCs/>
          <w:color w:val="auto"/>
          <w:sz w:val="24"/>
          <w:szCs w:val="24"/>
          <w:highlight w:val="none"/>
          <w:lang w:eastAsia="zh-CN"/>
        </w:rPr>
        <w:t>、电子</w:t>
      </w:r>
      <w:r>
        <w:rPr>
          <w:rFonts w:hint="eastAsia" w:ascii="宋体" w:hAnsi="宋体" w:cs="宋体"/>
          <w:b/>
          <w:bCs/>
          <w:color w:val="auto"/>
          <w:sz w:val="24"/>
          <w:szCs w:val="24"/>
          <w:highlight w:val="none"/>
          <w:lang w:val="en-US" w:eastAsia="zh-CN"/>
        </w:rPr>
        <w:t>u盘</w:t>
      </w:r>
      <w:r>
        <w:rPr>
          <w:rFonts w:hint="eastAsia" w:ascii="宋体" w:hAnsi="宋体" w:eastAsia="宋体" w:cs="宋体"/>
          <w:b/>
          <w:bCs/>
          <w:color w:val="auto"/>
          <w:sz w:val="24"/>
          <w:szCs w:val="24"/>
          <w:highlight w:val="none"/>
        </w:rPr>
        <w:t>”。</w:t>
      </w:r>
    </w:p>
    <w:p>
      <w:pPr>
        <w:pStyle w:val="21"/>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highlight w:val="none"/>
        </w:rPr>
      </w:pPr>
      <w:r>
        <w:rPr>
          <w:rFonts w:hint="eastAsia" w:ascii="宋体" w:hAnsi="宋体" w:eastAsia="宋体" w:cs="宋体"/>
          <w:b/>
          <w:bCs/>
          <w:color w:val="auto"/>
          <w:sz w:val="24"/>
          <w:szCs w:val="24"/>
          <w:highlight w:val="none"/>
        </w:rPr>
        <w:t>14.2</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rPr>
        <w:t>投标文件的正本需打印或用不褪色墨水书写，并由供应商的法定代表人或经其正式委托代理人按招标文件</w:t>
      </w:r>
      <w:r>
        <w:rPr>
          <w:rFonts w:hint="eastAsia" w:ascii="宋体" w:hAnsi="宋体" w:cs="宋体"/>
          <w:b/>
          <w:bCs/>
          <w:color w:val="auto"/>
          <w:sz w:val="24"/>
          <w:szCs w:val="24"/>
          <w:highlight w:val="none"/>
          <w:lang w:eastAsia="zh-CN"/>
        </w:rPr>
        <w:t>格式</w:t>
      </w:r>
      <w:r>
        <w:rPr>
          <w:rFonts w:hint="eastAsia" w:ascii="宋体" w:hAnsi="宋体" w:eastAsia="宋体" w:cs="宋体"/>
          <w:b/>
          <w:bCs/>
          <w:color w:val="auto"/>
          <w:sz w:val="24"/>
          <w:szCs w:val="24"/>
          <w:highlight w:val="none"/>
        </w:rPr>
        <w:t>规定</w:t>
      </w:r>
      <w:r>
        <w:rPr>
          <w:rFonts w:hint="eastAsia" w:ascii="宋体" w:hAnsi="宋体" w:cs="宋体"/>
          <w:b/>
          <w:bCs/>
          <w:color w:val="auto"/>
          <w:sz w:val="24"/>
          <w:szCs w:val="24"/>
          <w:highlight w:val="none"/>
          <w:lang w:eastAsia="zh-CN"/>
        </w:rPr>
        <w:t>处</w:t>
      </w:r>
      <w:r>
        <w:rPr>
          <w:rFonts w:hint="eastAsia" w:ascii="宋体" w:hAnsi="宋体" w:eastAsia="宋体" w:cs="宋体"/>
          <w:b/>
          <w:bCs/>
          <w:color w:val="auto"/>
          <w:sz w:val="24"/>
          <w:szCs w:val="24"/>
          <w:highlight w:val="none"/>
        </w:rPr>
        <w:t>签字或盖鲜章</w:t>
      </w:r>
      <w:r>
        <w:rPr>
          <w:rFonts w:hint="eastAsia" w:ascii="宋体" w:hAnsi="宋体" w:cs="宋体"/>
          <w:b/>
          <w:bCs/>
          <w:color w:val="auto"/>
          <w:sz w:val="24"/>
          <w:szCs w:val="24"/>
          <w:highlight w:val="none"/>
          <w:lang w:eastAsia="zh-CN"/>
        </w:rPr>
        <w:t>，</w:t>
      </w:r>
      <w:r>
        <w:rPr>
          <w:rFonts w:hint="eastAsia" w:ascii="宋体" w:hAnsi="宋体" w:eastAsia="宋体" w:cs="宋体"/>
          <w:b/>
          <w:bCs/>
          <w:color w:val="auto"/>
          <w:sz w:val="24"/>
          <w:szCs w:val="24"/>
          <w:highlight w:val="none"/>
        </w:rPr>
        <w:t>投标文件的副本可采用正本的复印件。所有包装封皮和信封上均应：注明项目名称</w:t>
      </w:r>
      <w:r>
        <w:rPr>
          <w:rFonts w:hint="eastAsia" w:ascii="宋体" w:hAnsi="宋体" w:cs="宋体"/>
          <w:b/>
          <w:bCs/>
          <w:color w:val="auto"/>
          <w:sz w:val="24"/>
          <w:szCs w:val="24"/>
          <w:highlight w:val="none"/>
          <w:lang w:eastAsia="zh-CN"/>
        </w:rPr>
        <w:t>（包号）</w:t>
      </w:r>
      <w:r>
        <w:rPr>
          <w:rFonts w:hint="eastAsia" w:ascii="宋体" w:hAnsi="宋体" w:eastAsia="宋体" w:cs="宋体"/>
          <w:b/>
          <w:bCs/>
          <w:color w:val="auto"/>
          <w:sz w:val="24"/>
          <w:szCs w:val="24"/>
          <w:highlight w:val="none"/>
        </w:rPr>
        <w:t>、项目编号、供应商名称</w:t>
      </w:r>
      <w:r>
        <w:rPr>
          <w:rFonts w:hint="eastAsia" w:ascii="宋体" w:hAnsi="宋体" w:cs="宋体"/>
          <w:b/>
          <w:bCs/>
          <w:color w:val="auto"/>
          <w:sz w:val="24"/>
          <w:szCs w:val="24"/>
          <w:highlight w:val="none"/>
          <w:lang w:eastAsia="zh-CN"/>
        </w:rPr>
        <w:t>、联系人及电话</w:t>
      </w:r>
      <w:r>
        <w:rPr>
          <w:rFonts w:hint="eastAsia" w:ascii="宋体" w:hAnsi="宋体" w:eastAsia="宋体" w:cs="宋体"/>
          <w:b/>
          <w:bCs/>
          <w:color w:val="auto"/>
          <w:sz w:val="24"/>
          <w:szCs w:val="24"/>
          <w:highlight w:val="none"/>
        </w:rPr>
        <w:t>”的字样。</w:t>
      </w:r>
      <w:r>
        <w:rPr>
          <w:rFonts w:hint="eastAsia" w:ascii="宋体" w:hAnsi="宋体" w:cs="宋体"/>
          <w:b/>
          <w:bCs/>
          <w:color w:val="auto"/>
          <w:sz w:val="24"/>
          <w:szCs w:val="24"/>
          <w:highlight w:val="none"/>
          <w:lang w:val="en-US" w:eastAsia="zh-CN"/>
        </w:rPr>
        <w:t xml:space="preserve"> </w:t>
      </w:r>
    </w:p>
    <w:p>
      <w:pPr>
        <w:pStyle w:val="21"/>
        <w:pageBreakBefore w:val="0"/>
        <w:kinsoku/>
        <w:wordWrap/>
        <w:overflowPunct/>
        <w:topLinePunct w:val="0"/>
        <w:bidi w:val="0"/>
        <w:spacing w:line="360" w:lineRule="exact"/>
        <w:rPr>
          <w:rFonts w:hint="eastAsia" w:ascii="宋体" w:hAnsi="宋体" w:eastAsia="宋体" w:cs="宋体"/>
          <w:color w:val="auto"/>
          <w:sz w:val="24"/>
          <w:szCs w:val="24"/>
          <w:highlight w:val="none"/>
        </w:rPr>
      </w:pPr>
    </w:p>
    <w:p>
      <w:pPr>
        <w:pStyle w:val="7"/>
        <w:pageBreakBefore w:val="0"/>
        <w:shd w:val="clear"/>
        <w:kinsoku/>
        <w:wordWrap/>
        <w:overflowPunct/>
        <w:topLinePunct w:val="0"/>
        <w:bidi w:val="0"/>
        <w:spacing w:before="0" w:line="360" w:lineRule="exact"/>
        <w:ind w:hanging="540"/>
        <w:rPr>
          <w:rFonts w:hint="eastAsia" w:ascii="宋体" w:hAnsi="宋体" w:eastAsia="宋体" w:cs="宋体"/>
          <w:color w:val="auto"/>
          <w:sz w:val="24"/>
          <w:szCs w:val="24"/>
          <w:highlight w:val="none"/>
        </w:rPr>
      </w:pPr>
      <w:bookmarkStart w:id="596" w:name="_Toc4758"/>
      <w:bookmarkStart w:id="597" w:name="_Toc30935"/>
      <w:bookmarkStart w:id="598" w:name="_Toc25125"/>
      <w:r>
        <w:rPr>
          <w:rFonts w:hint="eastAsia" w:ascii="宋体" w:hAnsi="宋体" w:eastAsia="宋体" w:cs="宋体"/>
          <w:color w:val="auto"/>
          <w:sz w:val="24"/>
          <w:szCs w:val="24"/>
          <w:highlight w:val="none"/>
        </w:rPr>
        <w:t>四   投标文件的递交</w:t>
      </w:r>
      <w:bookmarkEnd w:id="591"/>
      <w:bookmarkEnd w:id="592"/>
      <w:bookmarkEnd w:id="593"/>
      <w:bookmarkEnd w:id="594"/>
      <w:bookmarkEnd w:id="595"/>
      <w:bookmarkEnd w:id="596"/>
      <w:bookmarkEnd w:id="597"/>
      <w:bookmarkEnd w:id="598"/>
    </w:p>
    <w:p>
      <w:pPr>
        <w:pageBreakBefore w:val="0"/>
        <w:kinsoku/>
        <w:wordWrap/>
        <w:overflowPunct/>
        <w:topLinePunct w:val="0"/>
        <w:bidi w:val="0"/>
        <w:spacing w:line="360" w:lineRule="exact"/>
        <w:rPr>
          <w:rFonts w:hint="eastAsia" w:ascii="宋体" w:hAnsi="宋体" w:eastAsia="宋体" w:cs="宋体"/>
          <w:color w:val="auto"/>
          <w:sz w:val="24"/>
          <w:szCs w:val="24"/>
          <w:highlight w:val="none"/>
        </w:rPr>
      </w:pPr>
    </w:p>
    <w:p>
      <w:pPr>
        <w:pStyle w:val="8"/>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single"/>
        </w:rPr>
      </w:pPr>
      <w:bookmarkStart w:id="599" w:name="_Toc22895"/>
      <w:bookmarkStart w:id="600" w:name="_Toc648"/>
      <w:bookmarkStart w:id="601" w:name="_Toc23996"/>
      <w:bookmarkStart w:id="602" w:name="_Toc14380"/>
      <w:bookmarkStart w:id="603" w:name="_Toc22851"/>
      <w:bookmarkStart w:id="604" w:name="_Toc13552"/>
      <w:bookmarkStart w:id="605" w:name="_Toc14788"/>
      <w:bookmarkStart w:id="606" w:name="_Toc801"/>
      <w:bookmarkStart w:id="607" w:name="_Toc17885"/>
      <w:bookmarkStart w:id="608" w:name="_Toc31588"/>
      <w:bookmarkStart w:id="609" w:name="_Toc24801"/>
      <w:bookmarkStart w:id="610" w:name="_Toc7981"/>
      <w:bookmarkStart w:id="611" w:name="_Toc2536"/>
      <w:bookmarkStart w:id="612" w:name="_Toc21524"/>
      <w:bookmarkStart w:id="613" w:name="_Toc18130"/>
      <w:bookmarkStart w:id="614" w:name="_Toc10716"/>
      <w:bookmarkStart w:id="615" w:name="_Toc19259"/>
      <w:bookmarkStart w:id="616" w:name="_Toc24289"/>
      <w:bookmarkStart w:id="617" w:name="_Toc17407"/>
      <w:bookmarkStart w:id="618" w:name="_Toc17213"/>
      <w:r>
        <w:rPr>
          <w:rFonts w:hint="eastAsia" w:ascii="宋体" w:hAnsi="宋体" w:eastAsia="宋体" w:cs="宋体"/>
          <w:b/>
          <w:bCs/>
          <w:color w:val="auto"/>
          <w:sz w:val="24"/>
          <w:szCs w:val="24"/>
          <w:highlight w:val="none"/>
          <w:u w:val="none"/>
          <w:lang w:eastAsia="zh-CN"/>
        </w:rPr>
        <w:t>投标文件</w:t>
      </w:r>
      <w:r>
        <w:rPr>
          <w:rFonts w:hint="eastAsia" w:ascii="宋体" w:hAnsi="宋体" w:eastAsia="宋体" w:cs="宋体"/>
          <w:b/>
          <w:bCs/>
          <w:color w:val="auto"/>
          <w:sz w:val="24"/>
          <w:szCs w:val="24"/>
          <w:highlight w:val="none"/>
          <w:u w:val="none"/>
        </w:rPr>
        <w:t>的密封和标记</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Pr>
          <w:rFonts w:hint="eastAsia" w:ascii="宋体" w:hAnsi="宋体" w:eastAsia="宋体" w:cs="宋体"/>
          <w:b/>
          <w:i w:val="0"/>
          <w:caps w:val="0"/>
          <w:color w:val="000000" w:themeColor="text1"/>
          <w:spacing w:val="0"/>
          <w:w w:val="100"/>
          <w:sz w:val="24"/>
          <w:highlight w:val="none"/>
          <w:u w:val="single" w:color="000000"/>
          <w:lang w:val="en-US" w:eastAsia="zh-CN"/>
          <w14:textFill>
            <w14:solidFill>
              <w14:schemeClr w14:val="tx1"/>
            </w14:solidFill>
          </w14:textFill>
        </w:rPr>
        <w:t>（</w:t>
      </w:r>
      <w:r>
        <w:rPr>
          <w:rFonts w:hint="eastAsia" w:hAnsi="宋体" w:cs="宋体"/>
          <w:b/>
          <w:i w:val="0"/>
          <w:caps w:val="0"/>
          <w:color w:val="000000" w:themeColor="text1"/>
          <w:spacing w:val="0"/>
          <w:w w:val="100"/>
          <w:sz w:val="24"/>
          <w:highlight w:val="none"/>
          <w:u w:val="single" w:color="000000"/>
          <w:lang w:val="en-US" w:eastAsia="zh-CN"/>
          <w14:textFill>
            <w14:solidFill>
              <w14:schemeClr w14:val="tx1"/>
            </w14:solidFill>
          </w14:textFill>
        </w:rPr>
        <w:t>所有</w:t>
      </w:r>
      <w:r>
        <w:rPr>
          <w:rFonts w:hint="eastAsia" w:ascii="宋体" w:hAnsi="宋体" w:eastAsia="宋体" w:cs="宋体"/>
          <w:b/>
          <w:i w:val="0"/>
          <w:caps w:val="0"/>
          <w:color w:val="000000" w:themeColor="text1"/>
          <w:spacing w:val="0"/>
          <w:w w:val="100"/>
          <w:sz w:val="24"/>
          <w:highlight w:val="none"/>
          <w:u w:val="single" w:color="000000"/>
          <w:lang w:val="en-US" w:eastAsia="zh-CN"/>
          <w14:textFill>
            <w14:solidFill>
              <w14:schemeClr w14:val="tx1"/>
            </w14:solidFill>
          </w14:textFill>
        </w:rPr>
        <w:t>供应商在招标结束后三天内邮寄投标文件）</w:t>
      </w:r>
    </w:p>
    <w:p>
      <w:pPr>
        <w:pageBreakBefore w:val="0"/>
        <w:shd w:val="clear"/>
        <w:kinsoku/>
        <w:wordWrap/>
        <w:overflowPunct/>
        <w:topLinePunct w:val="0"/>
        <w:bidi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15.1  为方便开启，供应商应将</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第一部分和第二部分的内容合并装订成一册，密封提交，并在封皮正面标明“</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”字样。</w:t>
      </w:r>
    </w:p>
    <w:p>
      <w:pPr>
        <w:pStyle w:val="8"/>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619" w:name="_Toc30174"/>
      <w:bookmarkStart w:id="620" w:name="_Toc26769"/>
      <w:bookmarkStart w:id="621" w:name="_Toc15282"/>
      <w:bookmarkStart w:id="622" w:name="_Toc18599"/>
      <w:bookmarkStart w:id="623" w:name="_Toc5284"/>
      <w:bookmarkStart w:id="624" w:name="_Toc23816"/>
      <w:bookmarkStart w:id="625" w:name="_Toc20770"/>
      <w:bookmarkStart w:id="626" w:name="_Toc6497"/>
      <w:bookmarkStart w:id="627" w:name="_Toc22385"/>
      <w:bookmarkStart w:id="628" w:name="_Toc20806"/>
      <w:bookmarkStart w:id="629" w:name="_Toc22771"/>
      <w:bookmarkStart w:id="630" w:name="_Toc31644"/>
      <w:bookmarkStart w:id="631" w:name="_Toc24794"/>
      <w:bookmarkStart w:id="632" w:name="_Toc27812"/>
      <w:bookmarkStart w:id="633" w:name="_Toc25373"/>
      <w:bookmarkStart w:id="634" w:name="_Toc28578"/>
      <w:bookmarkStart w:id="635" w:name="_Toc23044"/>
      <w:bookmarkStart w:id="636" w:name="_Toc16555"/>
      <w:bookmarkStart w:id="637" w:name="_Toc4627"/>
      <w:bookmarkStart w:id="638" w:name="_Toc9344"/>
      <w:r>
        <w:rPr>
          <w:rFonts w:hint="eastAsia" w:ascii="宋体" w:hAnsi="宋体" w:eastAsia="宋体" w:cs="宋体"/>
          <w:b/>
          <w:bCs/>
          <w:color w:val="auto"/>
          <w:sz w:val="24"/>
          <w:szCs w:val="24"/>
          <w:highlight w:val="none"/>
          <w:u w:val="none"/>
          <w:lang w:val="en-US" w:eastAsia="zh-CN"/>
        </w:rPr>
        <w:t>投标</w:t>
      </w:r>
      <w:r>
        <w:rPr>
          <w:rFonts w:hint="eastAsia" w:ascii="宋体" w:hAnsi="宋体" w:eastAsia="宋体" w:cs="宋体"/>
          <w:b/>
          <w:bCs/>
          <w:color w:val="auto"/>
          <w:sz w:val="24"/>
          <w:szCs w:val="24"/>
          <w:highlight w:val="none"/>
          <w:u w:val="none"/>
        </w:rPr>
        <w:t>截止</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ageBreakBefore w:val="0"/>
        <w:shd w:val="clear"/>
        <w:kinsoku/>
        <w:wordWrap/>
        <w:overflowPunct/>
        <w:topLinePunct w:val="0"/>
        <w:bidi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供应商应在供应商须知资料表中规定的</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截止时间前，将</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上传到</w:t>
      </w:r>
      <w:r>
        <w:rPr>
          <w:rFonts w:hint="eastAsia" w:ascii="宋体" w:hAnsi="宋体" w:eastAsia="宋体" w:cs="宋体"/>
          <w:color w:val="auto"/>
          <w:sz w:val="24"/>
          <w:szCs w:val="24"/>
          <w:highlight w:val="none"/>
          <w:lang w:val="en-US" w:eastAsia="zh-CN"/>
        </w:rPr>
        <w:t>公开招标</w:t>
      </w:r>
      <w:r>
        <w:rPr>
          <w:rFonts w:hint="eastAsia" w:ascii="宋体" w:hAnsi="宋体" w:eastAsia="宋体" w:cs="宋体"/>
          <w:color w:val="auto"/>
          <w:sz w:val="24"/>
          <w:szCs w:val="24"/>
          <w:highlight w:val="none"/>
        </w:rPr>
        <w:t>公告中规定的地点。</w:t>
      </w:r>
    </w:p>
    <w:p>
      <w:pPr>
        <w:pageBreakBefore w:val="0"/>
        <w:shd w:val="clear"/>
        <w:kinsoku/>
        <w:wordWrap/>
        <w:overflowPunct/>
        <w:topLinePunct w:val="0"/>
        <w:bidi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采购人和采购代理机构有权按本须知的规定，延迟</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截止时间。在此情况下，采购人、采购代理机构和供应商受</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截止时间制约的所有权利和义务均应延长至新的截止时间。</w:t>
      </w:r>
    </w:p>
    <w:p>
      <w:pPr>
        <w:pageBreakBefore w:val="0"/>
        <w:shd w:val="clear"/>
        <w:kinsoku/>
        <w:wordWrap/>
        <w:overflowPunct/>
        <w:topLinePunct w:val="0"/>
        <w:bidi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16.3</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采购人和采购代理机构将拒绝接收在</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截止时间后上传的</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w:t>
      </w:r>
    </w:p>
    <w:p>
      <w:pPr>
        <w:pStyle w:val="8"/>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639" w:name="_Toc3194"/>
      <w:bookmarkStart w:id="640" w:name="_Toc13174"/>
      <w:bookmarkStart w:id="641" w:name="_Toc27841"/>
      <w:bookmarkStart w:id="642" w:name="_Toc12432"/>
      <w:bookmarkStart w:id="643" w:name="_Toc6503"/>
      <w:bookmarkStart w:id="644" w:name="_Toc18361"/>
      <w:bookmarkStart w:id="645" w:name="_Toc12485"/>
      <w:bookmarkStart w:id="646" w:name="_Toc4932"/>
      <w:bookmarkStart w:id="647" w:name="_Toc31990"/>
      <w:bookmarkStart w:id="648" w:name="_Toc21242"/>
      <w:bookmarkStart w:id="649" w:name="_Toc29733"/>
      <w:bookmarkStart w:id="650" w:name="_Toc17518"/>
      <w:bookmarkStart w:id="651" w:name="_Toc8516"/>
      <w:bookmarkStart w:id="652" w:name="_Toc32019"/>
      <w:bookmarkStart w:id="653" w:name="_Toc27119"/>
      <w:bookmarkStart w:id="654" w:name="_Toc14270"/>
      <w:bookmarkStart w:id="655" w:name="_Toc16255"/>
      <w:bookmarkStart w:id="656" w:name="_Toc10568"/>
      <w:bookmarkStart w:id="657" w:name="_Toc2314"/>
      <w:bookmarkStart w:id="658" w:name="_Toc4342"/>
      <w:r>
        <w:rPr>
          <w:rFonts w:hint="eastAsia" w:ascii="宋体" w:hAnsi="宋体" w:eastAsia="宋体" w:cs="宋体"/>
          <w:b/>
          <w:bCs/>
          <w:color w:val="auto"/>
          <w:sz w:val="24"/>
          <w:szCs w:val="24"/>
          <w:highlight w:val="none"/>
          <w:u w:val="none"/>
          <w:lang w:eastAsia="zh-CN"/>
        </w:rPr>
        <w:t>投标文件</w:t>
      </w:r>
      <w:r>
        <w:rPr>
          <w:rFonts w:hint="eastAsia" w:ascii="宋体" w:hAnsi="宋体" w:eastAsia="宋体" w:cs="宋体"/>
          <w:b/>
          <w:bCs/>
          <w:color w:val="auto"/>
          <w:sz w:val="24"/>
          <w:szCs w:val="24"/>
          <w:highlight w:val="none"/>
          <w:u w:val="none"/>
        </w:rPr>
        <w:t>的接收、修改与撤回</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ageBreakBefore w:val="0"/>
        <w:shd w:val="clear"/>
        <w:kinsoku/>
        <w:wordWrap/>
        <w:overflowPunct/>
        <w:topLinePunct w:val="0"/>
        <w:bidi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截止时间后上传的</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的，采购人和采购代理机构将拒绝接收。</w:t>
      </w:r>
    </w:p>
    <w:p>
      <w:pPr>
        <w:pageBreakBefore w:val="0"/>
        <w:shd w:val="clear"/>
        <w:kinsoku/>
        <w:wordWrap/>
        <w:overflowPunct/>
        <w:topLinePunct w:val="0"/>
        <w:bidi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上传</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以后，如果供应商要进行修改或撤回</w:t>
      </w:r>
      <w:r>
        <w:rPr>
          <w:rFonts w:hint="eastAsia" w:ascii="宋体" w:hAnsi="宋体" w:eastAsia="宋体" w:cs="宋体"/>
          <w:color w:val="auto"/>
          <w:sz w:val="24"/>
          <w:szCs w:val="24"/>
          <w:highlight w:val="none"/>
          <w:lang w:eastAsia="zh-CN"/>
        </w:rPr>
        <w:t>投标</w:t>
      </w:r>
      <w:r>
        <w:rPr>
          <w:rFonts w:hint="eastAsia" w:ascii="宋体" w:hAnsi="宋体" w:eastAsia="宋体" w:cs="宋体"/>
          <w:color w:val="auto"/>
          <w:sz w:val="24"/>
          <w:szCs w:val="24"/>
          <w:highlight w:val="none"/>
        </w:rPr>
        <w:t>，供应商对</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的修改或撤回通知应按本须知规定编制、标记。采购人和采购代理机构将予以接收，并视为</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的组成部分。</w:t>
      </w:r>
    </w:p>
    <w:p>
      <w:pPr>
        <w:pageBreakBefore w:val="0"/>
        <w:shd w:val="clear"/>
        <w:kinsoku/>
        <w:wordWrap/>
        <w:overflowPunct/>
        <w:topLinePunct w:val="0"/>
        <w:bidi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173</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截止期之后，采购人和采购代理机构不接受供应商主动对其</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做任何修改。</w:t>
      </w:r>
    </w:p>
    <w:p>
      <w:pPr>
        <w:pageBreakBefore w:val="0"/>
        <w:shd w:val="clear"/>
        <w:kinsoku/>
        <w:wordWrap/>
        <w:overflowPunct/>
        <w:topLinePunct w:val="0"/>
        <w:bidi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17.4</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采购人和采购代理机构对所接收</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概不退回。</w:t>
      </w:r>
    </w:p>
    <w:p>
      <w:pPr>
        <w:pageBreakBefore w:val="0"/>
        <w:widowControl w:val="0"/>
        <w:kinsoku/>
        <w:wordWrap/>
        <w:overflowPunct/>
        <w:topLinePunct w:val="0"/>
        <w:bidi w:val="0"/>
        <w:spacing w:before="0" w:line="360" w:lineRule="exact"/>
        <w:ind w:left="0" w:leftChars="0" w:hanging="540"/>
        <w:textAlignment w:val="auto"/>
        <w:outlineLvl w:val="9"/>
        <w:rPr>
          <w:rFonts w:hint="eastAsia" w:ascii="宋体" w:hAnsi="宋体" w:eastAsia="宋体" w:cs="宋体"/>
          <w:color w:val="auto"/>
          <w:sz w:val="24"/>
          <w:szCs w:val="24"/>
          <w:highlight w:val="none"/>
        </w:rPr>
      </w:pPr>
      <w:bookmarkStart w:id="659" w:name="_Toc7470"/>
      <w:bookmarkStart w:id="660" w:name="_Toc12436"/>
      <w:bookmarkStart w:id="661" w:name="_Toc216582809"/>
      <w:bookmarkStart w:id="662" w:name="_Toc520356163"/>
      <w:bookmarkStart w:id="663" w:name="_Toc28398"/>
      <w:bookmarkStart w:id="664" w:name="_Toc515647778"/>
    </w:p>
    <w:p>
      <w:pPr>
        <w:pStyle w:val="7"/>
        <w:pageBreakBefore w:val="0"/>
        <w:widowControl w:val="0"/>
        <w:kinsoku/>
        <w:wordWrap/>
        <w:overflowPunct/>
        <w:topLinePunct w:val="0"/>
        <w:bidi w:val="0"/>
        <w:spacing w:before="0" w:line="360" w:lineRule="exact"/>
        <w:ind w:left="0" w:leftChars="0" w:hanging="540"/>
        <w:textAlignment w:val="auto"/>
        <w:rPr>
          <w:rFonts w:hint="eastAsia" w:ascii="宋体" w:hAnsi="宋体" w:eastAsia="宋体" w:cs="宋体"/>
          <w:color w:val="auto"/>
          <w:sz w:val="24"/>
          <w:szCs w:val="24"/>
          <w:highlight w:val="none"/>
        </w:rPr>
      </w:pPr>
      <w:bookmarkStart w:id="665" w:name="_Toc30180"/>
      <w:r>
        <w:rPr>
          <w:rFonts w:hint="eastAsia" w:ascii="宋体" w:hAnsi="宋体" w:eastAsia="宋体" w:cs="宋体"/>
          <w:color w:val="auto"/>
          <w:sz w:val="24"/>
          <w:szCs w:val="24"/>
          <w:highlight w:val="none"/>
        </w:rPr>
        <w:t>五   开标及评标</w:t>
      </w:r>
      <w:bookmarkEnd w:id="659"/>
      <w:bookmarkEnd w:id="660"/>
      <w:bookmarkEnd w:id="661"/>
      <w:bookmarkEnd w:id="662"/>
      <w:bookmarkEnd w:id="663"/>
      <w:bookmarkEnd w:id="664"/>
      <w:bookmarkEnd w:id="665"/>
    </w:p>
    <w:p>
      <w:pPr>
        <w:pageBreakBefore w:val="0"/>
        <w:kinsoku/>
        <w:wordWrap/>
        <w:overflowPunct/>
        <w:topLinePunct w:val="0"/>
        <w:bidi w:val="0"/>
        <w:spacing w:line="360" w:lineRule="exact"/>
        <w:rPr>
          <w:rFonts w:hint="eastAsia" w:ascii="宋体" w:hAnsi="宋体" w:eastAsia="宋体" w:cs="宋体"/>
          <w:color w:val="auto"/>
          <w:sz w:val="24"/>
          <w:szCs w:val="24"/>
          <w:highlight w:val="none"/>
        </w:rPr>
      </w:pPr>
    </w:p>
    <w:p>
      <w:pPr>
        <w:pStyle w:val="8"/>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666" w:name="_Toc515647779"/>
      <w:bookmarkStart w:id="667" w:name="_Toc16436"/>
      <w:bookmarkStart w:id="668" w:name="_Toc2886"/>
      <w:bookmarkStart w:id="669" w:name="_Toc1738"/>
      <w:bookmarkStart w:id="670" w:name="_Toc11726"/>
      <w:bookmarkStart w:id="671" w:name="_Toc18223"/>
      <w:bookmarkStart w:id="672" w:name="_Toc520356164"/>
      <w:bookmarkStart w:id="673" w:name="_Toc21418"/>
      <w:bookmarkStart w:id="674" w:name="_Toc17546"/>
      <w:bookmarkStart w:id="675" w:name="_Toc10466"/>
      <w:bookmarkStart w:id="676" w:name="_Toc23864"/>
      <w:bookmarkStart w:id="677" w:name="_Toc27992"/>
      <w:bookmarkStart w:id="678" w:name="_Toc23987"/>
      <w:bookmarkStart w:id="679" w:name="_Toc25345"/>
      <w:bookmarkStart w:id="680" w:name="_Toc63"/>
      <w:bookmarkStart w:id="681" w:name="_Toc7186"/>
      <w:bookmarkStart w:id="682" w:name="_Toc27115"/>
      <w:bookmarkStart w:id="683" w:name="_Toc23772"/>
      <w:bookmarkStart w:id="684" w:name="_Toc20767"/>
      <w:bookmarkStart w:id="685" w:name="_Toc6921"/>
      <w:bookmarkStart w:id="686" w:name="_Toc4771"/>
      <w:bookmarkStart w:id="687" w:name="_Toc4378"/>
      <w:bookmarkStart w:id="688" w:name="_Toc32409"/>
      <w:bookmarkStart w:id="689" w:name="_Toc9474"/>
      <w:bookmarkStart w:id="690" w:name="_Toc21600"/>
      <w:bookmarkStart w:id="691" w:name="_Toc4423"/>
      <w:bookmarkStart w:id="692" w:name="_Toc10643"/>
      <w:bookmarkStart w:id="693" w:name="_Toc28057"/>
      <w:bookmarkStart w:id="694" w:name="_Toc7288"/>
      <w:bookmarkStart w:id="695" w:name="_Toc24922"/>
      <w:bookmarkStart w:id="696" w:name="_Toc6422"/>
      <w:bookmarkStart w:id="697" w:name="_Toc4385"/>
      <w:bookmarkStart w:id="698" w:name="_Toc25252"/>
      <w:bookmarkStart w:id="699" w:name="_Toc9432"/>
      <w:bookmarkStart w:id="700" w:name="_Toc11144"/>
      <w:bookmarkStart w:id="701" w:name="_Toc10415"/>
      <w:bookmarkStart w:id="702" w:name="_Toc4191"/>
      <w:bookmarkStart w:id="703" w:name="_Toc520356165"/>
      <w:bookmarkStart w:id="704" w:name="_Toc21667"/>
      <w:bookmarkStart w:id="705" w:name="_Toc2316"/>
      <w:bookmarkStart w:id="706" w:name="_Toc10746"/>
      <w:bookmarkStart w:id="707" w:name="_Toc22770"/>
      <w:bookmarkStart w:id="708" w:name="_Toc4063"/>
      <w:bookmarkStart w:id="709" w:name="_Toc3080"/>
      <w:bookmarkStart w:id="710" w:name="_Toc19296"/>
      <w:bookmarkStart w:id="711" w:name="_Toc21372"/>
      <w:bookmarkStart w:id="712" w:name="_Toc10550"/>
      <w:bookmarkStart w:id="713" w:name="_Toc18228"/>
      <w:bookmarkStart w:id="714" w:name="_Toc16864"/>
      <w:bookmarkStart w:id="715" w:name="_Toc515647780"/>
      <w:bookmarkStart w:id="716" w:name="_Toc5052"/>
      <w:bookmarkStart w:id="717" w:name="_Toc22792"/>
      <w:bookmarkStart w:id="718" w:name="_Toc26266"/>
      <w:bookmarkStart w:id="719" w:name="_Toc28586"/>
      <w:bookmarkStart w:id="720" w:name="_Toc18233"/>
      <w:r>
        <w:rPr>
          <w:rFonts w:hint="eastAsia" w:ascii="宋体" w:hAnsi="宋体" w:eastAsia="宋体" w:cs="宋体"/>
          <w:b/>
          <w:bCs/>
          <w:color w:val="auto"/>
          <w:sz w:val="24"/>
          <w:szCs w:val="24"/>
          <w:highlight w:val="none"/>
          <w:u w:val="none"/>
        </w:rPr>
        <w:t>开标</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keepNext w:val="0"/>
        <w:keepLines w:val="0"/>
        <w:pageBreakBefore w:val="0"/>
        <w:widowControl w:val="0"/>
        <w:shd w:val="clear" w:color="auto" w:fill="auto"/>
        <w:kinsoku/>
        <w:wordWrap/>
        <w:overflowPunct/>
        <w:topLinePunct w:val="0"/>
        <w:bidi w:val="0"/>
        <w:snapToGrid/>
        <w:spacing w:line="360" w:lineRule="exact"/>
        <w:ind w:left="960" w:hanging="960" w:hanging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18.1</w:t>
      </w:r>
      <w:r>
        <w:rPr>
          <w:rFonts w:hint="eastAsia" w:ascii="宋体" w:hAnsi="宋体" w:eastAsia="宋体" w:cs="宋体"/>
          <w:color w:val="auto"/>
          <w:sz w:val="24"/>
          <w:szCs w:val="24"/>
          <w:highlight w:val="none"/>
        </w:rPr>
        <w:t>采购人和采购代理机构将按</w:t>
      </w:r>
      <w:r>
        <w:rPr>
          <w:rFonts w:hint="eastAsia" w:ascii="宋体" w:hAnsi="宋体" w:eastAsia="宋体" w:cs="宋体"/>
          <w:color w:val="auto"/>
          <w:sz w:val="24"/>
          <w:szCs w:val="24"/>
          <w:highlight w:val="none"/>
          <w:lang w:eastAsia="zh-CN"/>
        </w:rPr>
        <w:t>投标供应商</w:t>
      </w:r>
      <w:r>
        <w:rPr>
          <w:rFonts w:hint="eastAsia" w:ascii="宋体" w:hAnsi="宋体" w:eastAsia="宋体" w:cs="宋体"/>
          <w:color w:val="auto"/>
          <w:sz w:val="24"/>
          <w:szCs w:val="24"/>
          <w:highlight w:val="none"/>
        </w:rPr>
        <w:t>须知资料表中规定的开标时间和地点组织公开开标并邀请所有</w:t>
      </w:r>
      <w:r>
        <w:rPr>
          <w:rFonts w:hint="eastAsia" w:ascii="宋体" w:hAnsi="宋体" w:eastAsia="宋体" w:cs="宋体"/>
          <w:color w:val="auto"/>
          <w:sz w:val="24"/>
          <w:szCs w:val="24"/>
          <w:highlight w:val="none"/>
          <w:lang w:eastAsia="zh-CN"/>
        </w:rPr>
        <w:t>投标供应商</w:t>
      </w:r>
      <w:r>
        <w:rPr>
          <w:rFonts w:hint="eastAsia" w:ascii="宋体" w:hAnsi="宋体" w:eastAsia="宋体" w:cs="宋体"/>
          <w:color w:val="auto"/>
          <w:sz w:val="24"/>
          <w:szCs w:val="24"/>
          <w:highlight w:val="none"/>
        </w:rPr>
        <w:t>代表参加。</w:t>
      </w:r>
    </w:p>
    <w:p>
      <w:pPr>
        <w:keepNext w:val="0"/>
        <w:keepLines w:val="0"/>
        <w:pageBreakBefore w:val="0"/>
        <w:widowControl w:val="0"/>
        <w:shd w:val="clear" w:color="auto" w:fill="auto"/>
        <w:kinsoku/>
        <w:wordWrap/>
        <w:overflowPunct/>
        <w:topLinePunct w:val="0"/>
        <w:bidi w:val="0"/>
        <w:snapToGrid/>
        <w:spacing w:line="360" w:lineRule="exact"/>
        <w:ind w:left="958" w:leftChars="456"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投标供应商</w:t>
      </w:r>
      <w:r>
        <w:rPr>
          <w:rFonts w:hint="eastAsia" w:ascii="宋体" w:hAnsi="宋体" w:eastAsia="宋体" w:cs="宋体"/>
          <w:color w:val="auto"/>
          <w:sz w:val="24"/>
          <w:szCs w:val="24"/>
          <w:highlight w:val="none"/>
        </w:rPr>
        <w:t>不足3家的，不得开标。</w:t>
      </w:r>
    </w:p>
    <w:p>
      <w:pPr>
        <w:keepNext w:val="0"/>
        <w:keepLines w:val="0"/>
        <w:pageBreakBefore w:val="0"/>
        <w:widowControl w:val="0"/>
        <w:shd w:val="clear" w:color="auto" w:fill="auto"/>
        <w:kinsoku/>
        <w:wordWrap/>
        <w:overflowPunct/>
        <w:topLinePunct w:val="0"/>
        <w:bidi w:val="0"/>
        <w:snapToGrid/>
        <w:spacing w:line="360" w:lineRule="exact"/>
        <w:ind w:left="960" w:hanging="960" w:hanging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18.2   </w:t>
      </w:r>
      <w:r>
        <w:rPr>
          <w:rFonts w:hint="eastAsia" w:ascii="宋体" w:hAnsi="宋体" w:eastAsia="宋体" w:cs="宋体"/>
          <w:color w:val="auto"/>
          <w:sz w:val="24"/>
          <w:szCs w:val="24"/>
          <w:highlight w:val="none"/>
          <w:lang w:val="en-US" w:eastAsia="zh-CN"/>
        </w:rPr>
        <w:t>供应商按照</w:t>
      </w:r>
      <w:r>
        <w:rPr>
          <w:rFonts w:hint="eastAsia" w:ascii="宋体" w:hAnsi="宋体" w:eastAsia="宋体" w:cs="宋体"/>
          <w:color w:val="auto"/>
          <w:sz w:val="24"/>
          <w:szCs w:val="24"/>
          <w:highlight w:val="none"/>
        </w:rPr>
        <w:t>须知资料表中规定的开标时间和地点</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在规定时间内上传投标文件</w:t>
      </w:r>
      <w:r>
        <w:rPr>
          <w:rFonts w:hint="eastAsia" w:ascii="宋体" w:hAnsi="宋体" w:eastAsia="宋体" w:cs="宋体"/>
          <w:color w:val="auto"/>
          <w:sz w:val="24"/>
          <w:szCs w:val="24"/>
          <w:highlight w:val="none"/>
        </w:rPr>
        <w:t>。</w:t>
      </w:r>
    </w:p>
    <w:p>
      <w:pPr>
        <w:keepNext w:val="0"/>
        <w:keepLines w:val="0"/>
        <w:pageBreakBefore w:val="0"/>
        <w:widowControl w:val="0"/>
        <w:shd w:val="clear" w:color="auto" w:fill="auto"/>
        <w:kinsoku/>
        <w:wordWrap/>
        <w:overflowPunct/>
        <w:topLinePunct w:val="0"/>
        <w:bidi w:val="0"/>
        <w:snapToGrid/>
        <w:spacing w:line="360" w:lineRule="exact"/>
        <w:ind w:left="960" w:hanging="960" w:hangingChars="4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18.3   </w:t>
      </w:r>
      <w:r>
        <w:rPr>
          <w:rFonts w:hint="eastAsia" w:ascii="宋体" w:hAnsi="宋体" w:eastAsia="宋体" w:cs="宋体"/>
          <w:b w:val="0"/>
          <w:bCs w:val="0"/>
          <w:color w:val="auto"/>
          <w:sz w:val="24"/>
          <w:szCs w:val="24"/>
          <w:highlight w:val="none"/>
        </w:rPr>
        <w:t>采购代理机构</w:t>
      </w:r>
      <w:r>
        <w:rPr>
          <w:rFonts w:hint="eastAsia" w:ascii="宋体" w:hAnsi="宋体" w:eastAsia="宋体" w:cs="宋体"/>
          <w:b w:val="0"/>
          <w:bCs w:val="0"/>
          <w:color w:val="auto"/>
          <w:sz w:val="24"/>
          <w:szCs w:val="24"/>
          <w:highlight w:val="none"/>
          <w:lang w:val="en-US" w:eastAsia="zh-CN"/>
        </w:rPr>
        <w:t>在规定时间内对投标文件进行</w:t>
      </w:r>
      <w:r>
        <w:rPr>
          <w:rFonts w:hint="eastAsia" w:ascii="宋体" w:hAnsi="宋体" w:eastAsia="宋体" w:cs="宋体"/>
          <w:b/>
          <w:bCs/>
          <w:color w:val="auto"/>
          <w:sz w:val="24"/>
          <w:szCs w:val="24"/>
          <w:highlight w:val="none"/>
          <w:lang w:val="en-US" w:eastAsia="zh-CN"/>
        </w:rPr>
        <w:t>解密，时长为30分钟。</w:t>
      </w:r>
    </w:p>
    <w:p>
      <w:pPr>
        <w:keepNext w:val="0"/>
        <w:keepLines w:val="0"/>
        <w:pageBreakBefore w:val="0"/>
        <w:widowControl w:val="0"/>
        <w:shd w:val="clear" w:color="auto" w:fill="auto"/>
        <w:kinsoku/>
        <w:wordWrap/>
        <w:overflowPunct/>
        <w:topLinePunct w:val="0"/>
        <w:bidi w:val="0"/>
        <w:snapToGrid/>
        <w:spacing w:line="360" w:lineRule="exact"/>
        <w:ind w:left="960" w:hanging="960" w:hanging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18.4   由</w:t>
      </w:r>
      <w:r>
        <w:rPr>
          <w:rFonts w:hint="eastAsia" w:ascii="宋体" w:hAnsi="宋体" w:eastAsia="宋体" w:cs="宋体"/>
          <w:color w:val="auto"/>
          <w:sz w:val="24"/>
          <w:szCs w:val="24"/>
          <w:highlight w:val="none"/>
        </w:rPr>
        <w:t>采购代理机构</w:t>
      </w:r>
      <w:r>
        <w:rPr>
          <w:rFonts w:hint="eastAsia" w:ascii="宋体" w:hAnsi="宋体" w:eastAsia="宋体" w:cs="宋体"/>
          <w:color w:val="auto"/>
          <w:sz w:val="24"/>
          <w:szCs w:val="24"/>
          <w:highlight w:val="none"/>
          <w:lang w:val="en-US" w:eastAsia="zh-CN"/>
        </w:rPr>
        <w:t>开启开标记录</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须</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lang w:val="en-US" w:eastAsia="zh-CN"/>
        </w:rPr>
        <w:t>在政采云平台对报价进行签字确认</w:t>
      </w:r>
      <w:r>
        <w:rPr>
          <w:rFonts w:hint="eastAsia" w:ascii="宋体" w:hAnsi="宋体" w:eastAsia="宋体" w:cs="宋体"/>
          <w:color w:val="auto"/>
          <w:sz w:val="24"/>
          <w:szCs w:val="24"/>
          <w:highlight w:val="none"/>
        </w:rPr>
        <w:t>。</w:t>
      </w:r>
    </w:p>
    <w:bookmarkEnd w:id="703"/>
    <w:p>
      <w:pPr>
        <w:pStyle w:val="8"/>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lang w:eastAsia="zh-CN"/>
        </w:rPr>
      </w:pPr>
      <w:bookmarkStart w:id="721" w:name="_Toc5183"/>
      <w:bookmarkStart w:id="722" w:name="_Toc1611"/>
      <w:bookmarkStart w:id="723" w:name="_Toc23873"/>
      <w:bookmarkStart w:id="724" w:name="_Toc13596"/>
      <w:bookmarkStart w:id="725" w:name="_Toc24244"/>
      <w:bookmarkStart w:id="726" w:name="_Toc24784"/>
      <w:bookmarkStart w:id="727" w:name="_Toc13241"/>
      <w:bookmarkStart w:id="728" w:name="_Toc4755"/>
      <w:bookmarkStart w:id="729" w:name="_Toc11617"/>
      <w:bookmarkStart w:id="730" w:name="_Toc21771"/>
      <w:bookmarkStart w:id="731" w:name="_Toc17803"/>
      <w:bookmarkStart w:id="732" w:name="_Toc24046"/>
      <w:bookmarkStart w:id="733" w:name="_Toc15708"/>
      <w:bookmarkStart w:id="734" w:name="_Toc19016"/>
      <w:bookmarkStart w:id="735" w:name="_Toc8256"/>
      <w:bookmarkStart w:id="736" w:name="_Toc8245"/>
      <w:bookmarkStart w:id="737" w:name="_Toc1687"/>
      <w:bookmarkStart w:id="738" w:name="_Toc8996"/>
      <w:bookmarkStart w:id="739" w:name="_Toc4767"/>
      <w:bookmarkStart w:id="740" w:name="_Toc21742"/>
      <w:r>
        <w:rPr>
          <w:rFonts w:hint="eastAsia" w:ascii="宋体" w:hAnsi="宋体" w:eastAsia="宋体" w:cs="宋体"/>
          <w:b/>
          <w:bCs/>
          <w:color w:val="auto"/>
          <w:sz w:val="24"/>
          <w:szCs w:val="24"/>
          <w:highlight w:val="none"/>
          <w:u w:val="none"/>
          <w:lang w:eastAsia="zh-CN"/>
        </w:rPr>
        <w:t>资格审查及组建评标委员会</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keepNext w:val="0"/>
        <w:keepLines w:val="0"/>
        <w:pageBreakBefore w:val="0"/>
        <w:widowControl w:val="0"/>
        <w:shd w:val="clear" w:color="auto" w:fill="auto"/>
        <w:kinsoku/>
        <w:wordWrap/>
        <w:overflowPunct/>
        <w:topLinePunct w:val="0"/>
        <w:autoSpaceDE/>
        <w:autoSpaceDN/>
        <w:bidi w:val="0"/>
        <w:adjustRightInd/>
        <w:snapToGrid w:val="0"/>
        <w:spacing w:beforeAutospacing="0" w:afterAutospacing="0" w:line="360" w:lineRule="exact"/>
        <w:ind w:left="720" w:leftChars="0" w:hanging="720" w:hangingChars="300"/>
        <w:jc w:val="both"/>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19.1</w:t>
      </w:r>
      <w:r>
        <w:rPr>
          <w:rFonts w:hint="eastAsia" w:ascii="宋体" w:hAnsi="宋体" w:eastAsia="宋体" w:cs="宋体"/>
          <w:color w:val="auto"/>
          <w:sz w:val="24"/>
          <w:szCs w:val="24"/>
          <w:highlight w:val="none"/>
          <w:lang w:eastAsia="zh-CN"/>
        </w:rPr>
        <w:t xml:space="preserve"> 采购人或采购代理机构依据法律法规和招标文件中规定的内容，对供应商资格进行审查，本项目审查内容如下：</w:t>
      </w:r>
    </w:p>
    <w:p>
      <w:pPr>
        <w:keepNext w:val="0"/>
        <w:keepLines w:val="0"/>
        <w:pageBreakBefore w:val="0"/>
        <w:widowControl w:val="0"/>
        <w:shd w:val="clear" w:color="auto" w:fill="auto"/>
        <w:kinsoku/>
        <w:wordWrap/>
        <w:overflowPunct/>
        <w:topLinePunct w:val="0"/>
        <w:autoSpaceDE/>
        <w:autoSpaceDN/>
        <w:bidi w:val="0"/>
        <w:adjustRightInd/>
        <w:snapToGrid w:val="0"/>
        <w:spacing w:beforeAutospacing="0" w:afterAutospacing="0" w:line="360" w:lineRule="exact"/>
        <w:ind w:left="718" w:leftChars="342" w:firstLine="0" w:firstLineChars="0"/>
        <w:jc w:val="both"/>
        <w:textAlignment w:val="baseline"/>
        <w:rPr>
          <w:rFonts w:hint="eastAsia" w:ascii="宋体" w:hAnsi="宋体" w:eastAsia="宋体" w:cs="宋体"/>
          <w:b/>
          <w:bCs/>
          <w:color w:val="auto"/>
          <w:sz w:val="24"/>
          <w:szCs w:val="24"/>
          <w:highlight w:val="none"/>
        </w:rPr>
      </w:pPr>
      <w:r>
        <w:rPr>
          <w:rFonts w:hint="eastAsia" w:ascii="宋体" w:hAnsi="宋体" w:eastAsia="宋体" w:cs="宋体"/>
          <w:b/>
          <w:bCs/>
          <w:i w:val="0"/>
          <w:caps w:val="0"/>
          <w:color w:val="auto"/>
          <w:spacing w:val="0"/>
          <w:w w:val="100"/>
          <w:sz w:val="24"/>
          <w:szCs w:val="24"/>
          <w:highlight w:val="none"/>
        </w:rPr>
        <w:t>本项目</w:t>
      </w:r>
      <w:r>
        <w:rPr>
          <w:rFonts w:hint="eastAsia" w:ascii="宋体" w:hAnsi="宋体" w:eastAsia="宋体" w:cs="宋体"/>
          <w:b/>
          <w:bCs/>
          <w:i w:val="0"/>
          <w:caps w:val="0"/>
          <w:color w:val="auto"/>
          <w:spacing w:val="0"/>
          <w:w w:val="100"/>
          <w:sz w:val="24"/>
          <w:szCs w:val="24"/>
          <w:highlight w:val="none"/>
          <w:lang w:val="en-US" w:eastAsia="zh-CN"/>
        </w:rPr>
        <w:t>资格审查资料须附在投标文件中</w:t>
      </w:r>
      <w:r>
        <w:rPr>
          <w:rFonts w:hint="eastAsia" w:ascii="宋体" w:hAnsi="宋体" w:eastAsia="宋体" w:cs="宋体"/>
          <w:b/>
          <w:bCs/>
          <w:i w:val="0"/>
          <w:caps w:val="0"/>
          <w:color w:val="auto"/>
          <w:spacing w:val="0"/>
          <w:w w:val="100"/>
          <w:sz w:val="24"/>
          <w:szCs w:val="24"/>
          <w:highlight w:val="none"/>
        </w:rPr>
        <w:t>：</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（1）</w:t>
      </w:r>
      <w:r>
        <w:rPr>
          <w:rFonts w:hint="eastAsia" w:ascii="宋体" w:hAnsi="宋体" w:cs="宋体"/>
          <w:b/>
          <w:bCs/>
          <w:i w:val="0"/>
          <w:caps w:val="0"/>
          <w:color w:val="auto"/>
          <w:spacing w:val="0"/>
          <w:w w:val="100"/>
          <w:sz w:val="24"/>
          <w:szCs w:val="24"/>
          <w:highlight w:val="none"/>
          <w:lang w:val="en-US" w:eastAsia="zh-CN"/>
        </w:rPr>
        <w:t>合格有效的三证合一的营业执照（三证合一）或电子营业执照（需加盖公章）或同等法律效力的证明文件（发证机关或公证机关出具的证明材料）</w:t>
      </w:r>
      <w:r>
        <w:rPr>
          <w:rFonts w:hint="eastAsia" w:ascii="宋体" w:hAnsi="宋体" w:eastAsia="宋体" w:cs="宋体"/>
          <w:b/>
          <w:bCs/>
          <w:i w:val="0"/>
          <w:caps w:val="0"/>
          <w:color w:val="auto"/>
          <w:spacing w:val="0"/>
          <w:w w:val="100"/>
          <w:sz w:val="24"/>
          <w:szCs w:val="24"/>
          <w:highlight w:val="none"/>
          <w:lang w:val="en-US" w:eastAsia="zh-CN"/>
        </w:rPr>
        <w:t>；</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（2）</w:t>
      </w:r>
      <w:r>
        <w:rPr>
          <w:rFonts w:hint="eastAsia" w:ascii="宋体" w:hAnsi="宋体" w:eastAsia="宋体" w:cs="宋体"/>
          <w:b/>
          <w:bCs/>
          <w:i w:val="0"/>
          <w:caps w:val="0"/>
          <w:color w:val="auto"/>
          <w:spacing w:val="0"/>
          <w:w w:val="100"/>
          <w:sz w:val="24"/>
          <w:szCs w:val="24"/>
          <w:highlight w:val="none"/>
          <w:lang w:val="en-US" w:eastAsia="zh-CN"/>
        </w:rPr>
        <w:fldChar w:fldCharType="begin"/>
      </w:r>
      <w:r>
        <w:rPr>
          <w:rFonts w:hint="eastAsia" w:ascii="宋体" w:hAnsi="宋体" w:eastAsia="宋体" w:cs="宋体"/>
          <w:b/>
          <w:bCs/>
          <w:i w:val="0"/>
          <w:caps w:val="0"/>
          <w:color w:val="auto"/>
          <w:spacing w:val="0"/>
          <w:w w:val="100"/>
          <w:sz w:val="24"/>
          <w:szCs w:val="24"/>
          <w:highlight w:val="none"/>
          <w:lang w:val="en-US" w:eastAsia="zh-CN"/>
        </w:rPr>
        <w:instrText xml:space="preserve"> HYPERLINK \l _Toc23909 </w:instrText>
      </w:r>
      <w:r>
        <w:rPr>
          <w:rFonts w:hint="eastAsia" w:ascii="宋体" w:hAnsi="宋体" w:eastAsia="宋体" w:cs="宋体"/>
          <w:b/>
          <w:bCs/>
          <w:i w:val="0"/>
          <w:caps w:val="0"/>
          <w:color w:val="auto"/>
          <w:spacing w:val="0"/>
          <w:w w:val="100"/>
          <w:sz w:val="24"/>
          <w:szCs w:val="24"/>
          <w:highlight w:val="none"/>
          <w:lang w:val="en-US" w:eastAsia="zh-CN"/>
        </w:rPr>
        <w:fldChar w:fldCharType="separate"/>
      </w:r>
      <w:r>
        <w:rPr>
          <w:rFonts w:hint="eastAsia" w:ascii="宋体" w:hAnsi="宋体" w:eastAsia="宋体" w:cs="宋体"/>
          <w:b/>
          <w:bCs/>
          <w:i w:val="0"/>
          <w:caps w:val="0"/>
          <w:color w:val="auto"/>
          <w:spacing w:val="0"/>
          <w:w w:val="100"/>
          <w:sz w:val="24"/>
          <w:szCs w:val="24"/>
          <w:highlight w:val="none"/>
          <w:lang w:val="en-US" w:eastAsia="zh-CN"/>
        </w:rPr>
        <w:t>具备《食品经营许可证》或《食品生产许可证》；</w:t>
      </w:r>
      <w:r>
        <w:rPr>
          <w:rFonts w:hint="eastAsia" w:ascii="宋体" w:hAnsi="宋体" w:eastAsia="宋体" w:cs="宋体"/>
          <w:b/>
          <w:bCs/>
          <w:i w:val="0"/>
          <w:caps w:val="0"/>
          <w:color w:val="auto"/>
          <w:spacing w:val="0"/>
          <w:w w:val="100"/>
          <w:sz w:val="24"/>
          <w:szCs w:val="24"/>
          <w:highlight w:val="none"/>
          <w:lang w:val="en-US" w:eastAsia="zh-CN"/>
        </w:rPr>
        <w:fldChar w:fldCharType="end"/>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w:t>
      </w:r>
      <w:r>
        <w:rPr>
          <w:rFonts w:hint="eastAsia" w:ascii="宋体" w:hAnsi="宋体" w:cs="宋体"/>
          <w:b/>
          <w:bCs/>
          <w:i w:val="0"/>
          <w:caps w:val="0"/>
          <w:color w:val="auto"/>
          <w:spacing w:val="0"/>
          <w:w w:val="100"/>
          <w:sz w:val="24"/>
          <w:szCs w:val="24"/>
          <w:highlight w:val="none"/>
          <w:lang w:val="en-US" w:eastAsia="zh-CN"/>
        </w:rPr>
        <w:t>3</w:t>
      </w:r>
      <w:r>
        <w:rPr>
          <w:rFonts w:hint="eastAsia" w:ascii="宋体" w:hAnsi="宋体" w:eastAsia="宋体" w:cs="宋体"/>
          <w:b/>
          <w:bCs/>
          <w:i w:val="0"/>
          <w:caps w:val="0"/>
          <w:color w:val="auto"/>
          <w:spacing w:val="0"/>
          <w:w w:val="100"/>
          <w:sz w:val="24"/>
          <w:szCs w:val="24"/>
          <w:highlight w:val="none"/>
          <w:lang w:val="en-US" w:eastAsia="zh-CN"/>
        </w:rPr>
        <w:t>）</w:t>
      </w:r>
      <w:r>
        <w:rPr>
          <w:rFonts w:hint="eastAsia" w:ascii="宋体" w:hAnsi="宋体" w:cs="宋体"/>
          <w:b/>
          <w:bCs/>
          <w:i w:val="0"/>
          <w:caps w:val="0"/>
          <w:color w:val="auto"/>
          <w:spacing w:val="0"/>
          <w:w w:val="100"/>
          <w:sz w:val="24"/>
          <w:szCs w:val="24"/>
          <w:highlight w:val="none"/>
          <w:lang w:val="en-US" w:eastAsia="zh-CN"/>
        </w:rPr>
        <w:t>法定代表人资格证明(需提供法定代表人身份证)；</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w:t>
      </w:r>
      <w:r>
        <w:rPr>
          <w:rFonts w:hint="eastAsia" w:ascii="宋体" w:hAnsi="宋体" w:cs="宋体"/>
          <w:b/>
          <w:bCs/>
          <w:i w:val="0"/>
          <w:caps w:val="0"/>
          <w:color w:val="auto"/>
          <w:spacing w:val="0"/>
          <w:w w:val="100"/>
          <w:sz w:val="24"/>
          <w:szCs w:val="24"/>
          <w:highlight w:val="none"/>
          <w:lang w:val="en-US" w:eastAsia="zh-CN"/>
        </w:rPr>
        <w:t>4</w:t>
      </w:r>
      <w:r>
        <w:rPr>
          <w:rFonts w:hint="eastAsia" w:ascii="宋体" w:hAnsi="宋体" w:eastAsia="宋体" w:cs="宋体"/>
          <w:b/>
          <w:bCs/>
          <w:i w:val="0"/>
          <w:caps w:val="0"/>
          <w:color w:val="auto"/>
          <w:spacing w:val="0"/>
          <w:w w:val="100"/>
          <w:sz w:val="24"/>
          <w:szCs w:val="24"/>
          <w:highlight w:val="none"/>
          <w:lang w:val="en-US" w:eastAsia="zh-CN"/>
        </w:rPr>
        <w:t>）提供近两年内任意一年的财务审计报告</w:t>
      </w:r>
      <w:r>
        <w:rPr>
          <w:rFonts w:hint="eastAsia" w:ascii="宋体" w:hAnsi="宋体" w:cs="宋体"/>
          <w:b/>
          <w:bCs/>
          <w:i w:val="0"/>
          <w:caps w:val="0"/>
          <w:color w:val="auto"/>
          <w:spacing w:val="0"/>
          <w:w w:val="100"/>
          <w:sz w:val="24"/>
          <w:szCs w:val="24"/>
          <w:highlight w:val="none"/>
          <w:lang w:val="en-US" w:eastAsia="zh-CN"/>
        </w:rPr>
        <w:t>（新成立未满一年的新公司可提供近三个月内任意一个月的银行资信证明）</w:t>
      </w:r>
      <w:r>
        <w:rPr>
          <w:rFonts w:hint="eastAsia" w:ascii="宋体" w:hAnsi="宋体" w:eastAsia="宋体" w:cs="宋体"/>
          <w:b/>
          <w:bCs/>
          <w:i w:val="0"/>
          <w:caps w:val="0"/>
          <w:color w:val="auto"/>
          <w:spacing w:val="0"/>
          <w:w w:val="100"/>
          <w:sz w:val="24"/>
          <w:szCs w:val="24"/>
          <w:highlight w:val="none"/>
          <w:lang w:val="en-US" w:eastAsia="zh-CN"/>
        </w:rPr>
        <w:t>；</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w:t>
      </w:r>
      <w:r>
        <w:rPr>
          <w:rFonts w:hint="eastAsia" w:ascii="宋体" w:hAnsi="宋体" w:cs="宋体"/>
          <w:b/>
          <w:bCs/>
          <w:i w:val="0"/>
          <w:caps w:val="0"/>
          <w:color w:val="auto"/>
          <w:spacing w:val="0"/>
          <w:w w:val="100"/>
          <w:sz w:val="24"/>
          <w:szCs w:val="24"/>
          <w:highlight w:val="none"/>
          <w:lang w:val="en-US" w:eastAsia="zh-CN"/>
        </w:rPr>
        <w:t>5</w:t>
      </w:r>
      <w:r>
        <w:rPr>
          <w:rFonts w:hint="eastAsia" w:ascii="宋体" w:hAnsi="宋体" w:eastAsia="宋体" w:cs="宋体"/>
          <w:b/>
          <w:bCs/>
          <w:i w:val="0"/>
          <w:caps w:val="0"/>
          <w:color w:val="auto"/>
          <w:spacing w:val="0"/>
          <w:w w:val="100"/>
          <w:sz w:val="24"/>
          <w:szCs w:val="24"/>
          <w:highlight w:val="none"/>
          <w:lang w:val="en-US" w:eastAsia="zh-CN"/>
        </w:rPr>
        <w:t>）</w:t>
      </w:r>
      <w:r>
        <w:rPr>
          <w:rFonts w:hint="eastAsia" w:ascii="宋体" w:hAnsi="宋体" w:cs="宋体"/>
          <w:b/>
          <w:bCs/>
          <w:i w:val="0"/>
          <w:caps w:val="0"/>
          <w:color w:val="auto"/>
          <w:spacing w:val="0"/>
          <w:w w:val="100"/>
          <w:sz w:val="24"/>
          <w:szCs w:val="24"/>
          <w:highlight w:val="none"/>
          <w:lang w:val="en-US" w:eastAsia="zh-CN"/>
        </w:rPr>
        <w:t>提供依法缴纳近六个月内任意一个月社会保险证明</w:t>
      </w:r>
      <w:r>
        <w:rPr>
          <w:rFonts w:hint="eastAsia" w:ascii="宋体" w:hAnsi="宋体" w:eastAsia="宋体" w:cs="宋体"/>
          <w:b/>
          <w:bCs/>
          <w:i w:val="0"/>
          <w:caps w:val="0"/>
          <w:color w:val="auto"/>
          <w:spacing w:val="0"/>
          <w:w w:val="100"/>
          <w:sz w:val="24"/>
          <w:szCs w:val="24"/>
          <w:highlight w:val="none"/>
          <w:lang w:val="en-US" w:eastAsia="zh-CN"/>
        </w:rPr>
        <w:t>；</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w:t>
      </w:r>
      <w:r>
        <w:rPr>
          <w:rFonts w:hint="eastAsia" w:ascii="宋体" w:hAnsi="宋体" w:cs="宋体"/>
          <w:b/>
          <w:bCs/>
          <w:i w:val="0"/>
          <w:caps w:val="0"/>
          <w:color w:val="auto"/>
          <w:spacing w:val="0"/>
          <w:w w:val="100"/>
          <w:sz w:val="24"/>
          <w:szCs w:val="24"/>
          <w:highlight w:val="none"/>
          <w:lang w:val="en-US" w:eastAsia="zh-CN"/>
        </w:rPr>
        <w:t>6</w:t>
      </w:r>
      <w:r>
        <w:rPr>
          <w:rFonts w:hint="eastAsia" w:ascii="宋体" w:hAnsi="宋体" w:eastAsia="宋体" w:cs="宋体"/>
          <w:b/>
          <w:bCs/>
          <w:i w:val="0"/>
          <w:caps w:val="0"/>
          <w:color w:val="auto"/>
          <w:spacing w:val="0"/>
          <w:w w:val="100"/>
          <w:sz w:val="24"/>
          <w:szCs w:val="24"/>
          <w:highlight w:val="none"/>
          <w:lang w:val="en-US" w:eastAsia="zh-CN"/>
        </w:rPr>
        <w:t>）</w:t>
      </w:r>
      <w:r>
        <w:rPr>
          <w:rFonts w:hint="eastAsia" w:ascii="宋体" w:hAnsi="宋体" w:cs="宋体"/>
          <w:b/>
          <w:bCs/>
          <w:i w:val="0"/>
          <w:caps w:val="0"/>
          <w:color w:val="auto"/>
          <w:spacing w:val="0"/>
          <w:w w:val="100"/>
          <w:sz w:val="24"/>
          <w:szCs w:val="24"/>
          <w:highlight w:val="none"/>
          <w:lang w:val="en-US" w:eastAsia="zh-CN"/>
        </w:rPr>
        <w:t>提供依法缴纳近六个月内任意一个月的税收证明</w:t>
      </w:r>
      <w:r>
        <w:rPr>
          <w:rFonts w:hint="eastAsia" w:ascii="宋体" w:hAnsi="宋体" w:eastAsia="宋体" w:cs="宋体"/>
          <w:b/>
          <w:bCs/>
          <w:i w:val="0"/>
          <w:caps w:val="0"/>
          <w:color w:val="auto"/>
          <w:spacing w:val="0"/>
          <w:w w:val="100"/>
          <w:sz w:val="24"/>
          <w:szCs w:val="24"/>
          <w:highlight w:val="none"/>
          <w:lang w:val="en-US" w:eastAsia="zh-CN"/>
        </w:rPr>
        <w:t>；</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w:t>
      </w:r>
      <w:r>
        <w:rPr>
          <w:rFonts w:hint="eastAsia" w:ascii="宋体" w:hAnsi="宋体" w:cs="宋体"/>
          <w:b/>
          <w:bCs/>
          <w:i w:val="0"/>
          <w:caps w:val="0"/>
          <w:color w:val="auto"/>
          <w:spacing w:val="0"/>
          <w:w w:val="100"/>
          <w:sz w:val="24"/>
          <w:szCs w:val="24"/>
          <w:highlight w:val="none"/>
          <w:lang w:val="en-US" w:eastAsia="zh-CN"/>
        </w:rPr>
        <w:t>7</w:t>
      </w:r>
      <w:r>
        <w:rPr>
          <w:rFonts w:hint="eastAsia" w:ascii="宋体" w:hAnsi="宋体" w:eastAsia="宋体" w:cs="宋体"/>
          <w:b/>
          <w:bCs/>
          <w:i w:val="0"/>
          <w:caps w:val="0"/>
          <w:color w:val="auto"/>
          <w:spacing w:val="0"/>
          <w:w w:val="100"/>
          <w:sz w:val="24"/>
          <w:szCs w:val="24"/>
          <w:highlight w:val="none"/>
          <w:lang w:val="en-US" w:eastAsia="zh-CN"/>
        </w:rPr>
        <w:t>）根据《财政部关于在政府采购活动中查询及使用信用记录有关问题的通知》（财库﹝2016﹞125号）的要求，凡拟参加本次招标项目的供应商，如在“信用中国”网站（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重点领域严重失信主体名单查询-搜索栏输入单位全称）、中国政府采购网（http://www.ccgp.gov.cn/search/cr/）严重违法失信行为记录名单的（尚在处罚期内的），将拒绝其参加本次招标活动（以采购代理机构或采购人现场查询为准）；</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w:t>
      </w:r>
      <w:r>
        <w:rPr>
          <w:rFonts w:hint="eastAsia" w:ascii="宋体" w:hAnsi="宋体" w:cs="宋体"/>
          <w:b/>
          <w:bCs/>
          <w:i w:val="0"/>
          <w:caps w:val="0"/>
          <w:color w:val="auto"/>
          <w:spacing w:val="0"/>
          <w:w w:val="100"/>
          <w:sz w:val="24"/>
          <w:szCs w:val="24"/>
          <w:highlight w:val="none"/>
          <w:lang w:val="en-US" w:eastAsia="zh-CN"/>
        </w:rPr>
        <w:t>8</w:t>
      </w:r>
      <w:r>
        <w:rPr>
          <w:rFonts w:hint="eastAsia" w:ascii="宋体" w:hAnsi="宋体" w:eastAsia="宋体" w:cs="宋体"/>
          <w:b/>
          <w:bCs/>
          <w:i w:val="0"/>
          <w:caps w:val="0"/>
          <w:color w:val="auto"/>
          <w:spacing w:val="0"/>
          <w:w w:val="100"/>
          <w:sz w:val="24"/>
          <w:szCs w:val="24"/>
          <w:highlight w:val="none"/>
          <w:lang w:val="en-US" w:eastAsia="zh-CN"/>
        </w:rPr>
        <w:t>）参与政府采购活动前3年内未被列入失信、重大税收违法案件、财政部门禁止参加政府采购活动的承诺书；</w:t>
      </w:r>
    </w:p>
    <w:p>
      <w:pPr>
        <w:pStyle w:val="21"/>
        <w:pageBreakBefore w:val="0"/>
        <w:kinsoku/>
        <w:wordWrap/>
        <w:overflowPunct/>
        <w:topLinePunct w:val="0"/>
        <w:bidi w:val="0"/>
        <w:spacing w:line="360" w:lineRule="exact"/>
        <w:rPr>
          <w:rFonts w:hint="eastAsia" w:ascii="宋体" w:hAnsi="宋体" w:eastAsia="宋体" w:cs="宋体"/>
          <w:b/>
          <w:bCs/>
          <w:i w:val="0"/>
          <w:caps w:val="0"/>
          <w:color w:val="auto"/>
          <w:spacing w:val="0"/>
          <w:w w:val="100"/>
          <w:kern w:val="2"/>
          <w:sz w:val="24"/>
          <w:szCs w:val="24"/>
          <w:highlight w:val="none"/>
          <w:lang w:val="en-US" w:eastAsia="zh-CN" w:bidi="ar-SA"/>
        </w:rPr>
      </w:pPr>
      <w:r>
        <w:rPr>
          <w:rFonts w:hint="eastAsia" w:ascii="宋体" w:hAnsi="宋体" w:eastAsia="宋体" w:cs="宋体"/>
          <w:b/>
          <w:bCs/>
          <w:i w:val="0"/>
          <w:caps w:val="0"/>
          <w:color w:val="auto"/>
          <w:spacing w:val="0"/>
          <w:w w:val="100"/>
          <w:sz w:val="24"/>
          <w:szCs w:val="24"/>
          <w:highlight w:val="none"/>
          <w:lang w:val="en-US" w:eastAsia="zh-CN"/>
        </w:rPr>
        <w:t>（</w:t>
      </w:r>
      <w:r>
        <w:rPr>
          <w:rFonts w:hint="eastAsia" w:ascii="宋体" w:hAnsi="宋体" w:cs="宋体"/>
          <w:b/>
          <w:bCs/>
          <w:i w:val="0"/>
          <w:caps w:val="0"/>
          <w:color w:val="auto"/>
          <w:spacing w:val="0"/>
          <w:w w:val="100"/>
          <w:sz w:val="24"/>
          <w:szCs w:val="24"/>
          <w:highlight w:val="none"/>
          <w:lang w:val="en-US" w:eastAsia="zh-CN"/>
        </w:rPr>
        <w:t>9</w:t>
      </w:r>
      <w:r>
        <w:rPr>
          <w:rFonts w:hint="eastAsia" w:ascii="宋体" w:hAnsi="宋体" w:eastAsia="宋体" w:cs="宋体"/>
          <w:b/>
          <w:bCs/>
          <w:i w:val="0"/>
          <w:caps w:val="0"/>
          <w:color w:val="auto"/>
          <w:spacing w:val="0"/>
          <w:w w:val="100"/>
          <w:sz w:val="24"/>
          <w:szCs w:val="24"/>
          <w:highlight w:val="none"/>
          <w:lang w:val="en-US" w:eastAsia="zh-CN"/>
        </w:rPr>
        <w:t>）</w:t>
      </w:r>
      <w:r>
        <w:rPr>
          <w:rFonts w:hint="eastAsia" w:ascii="宋体" w:hAnsi="宋体" w:eastAsia="宋体" w:cs="宋体"/>
          <w:b/>
          <w:bCs/>
          <w:i w:val="0"/>
          <w:caps w:val="0"/>
          <w:color w:val="auto"/>
          <w:spacing w:val="0"/>
          <w:w w:val="100"/>
          <w:kern w:val="2"/>
          <w:sz w:val="24"/>
          <w:szCs w:val="24"/>
          <w:highlight w:val="none"/>
          <w:lang w:val="en-US" w:eastAsia="zh-CN" w:bidi="ar-SA"/>
        </w:rPr>
        <w:t>缴纳投标保证金的有效凭证。</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firstLine="482" w:firstLineChars="200"/>
        <w:jc w:val="left"/>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rPr>
        <w:t>各供应商应注意以下事项：①本项目要求各投标供应商提供“</w:t>
      </w:r>
      <w:r>
        <w:rPr>
          <w:rFonts w:hint="eastAsia" w:ascii="宋体" w:hAnsi="宋体" w:cs="宋体"/>
          <w:b/>
          <w:bCs/>
          <w:i w:val="0"/>
          <w:caps w:val="0"/>
          <w:color w:val="auto"/>
          <w:spacing w:val="0"/>
          <w:w w:val="100"/>
          <w:sz w:val="24"/>
          <w:szCs w:val="24"/>
          <w:highlight w:val="none"/>
          <w:lang w:val="en-US" w:eastAsia="zh-CN"/>
        </w:rPr>
        <w:t>提供依法缴纳近六个月内任意一个月的税收证明</w:t>
      </w:r>
      <w:r>
        <w:rPr>
          <w:rFonts w:hint="eastAsia" w:ascii="宋体" w:hAnsi="宋体" w:eastAsia="宋体" w:cs="宋体"/>
          <w:b/>
          <w:bCs/>
          <w:i w:val="0"/>
          <w:caps w:val="0"/>
          <w:color w:val="auto"/>
          <w:spacing w:val="0"/>
          <w:w w:val="100"/>
          <w:sz w:val="24"/>
          <w:szCs w:val="24"/>
          <w:highlight w:val="none"/>
        </w:rPr>
        <w:t>”，若供应商某月税收为零申报，须提供加盖税务局公章的无欠税证明或申报成功网页截图（供应商可自主登录“国家税务总局电子税务局”12366.chinatax.gov.cn/bsfw/onlinetaxation/main——税费申报及缴纳——申报结果查询）。②税务局代收的社保缴费证明不可作为本项目的完税证明（“税种”不可为养老保险、医疗保险、失业保险、工伤保险和生育保险）</w:t>
      </w:r>
      <w:r>
        <w:rPr>
          <w:rFonts w:hint="eastAsia" w:ascii="宋体" w:hAnsi="宋体" w:eastAsia="宋体" w:cs="宋体"/>
          <w:b/>
          <w:bCs/>
          <w:i w:val="0"/>
          <w:caps w:val="0"/>
          <w:color w:val="auto"/>
          <w:spacing w:val="0"/>
          <w:w w:val="100"/>
          <w:sz w:val="24"/>
          <w:szCs w:val="24"/>
          <w:highlight w:val="none"/>
          <w:lang w:eastAsia="zh-CN"/>
        </w:rPr>
        <w:t>。</w:t>
      </w:r>
    </w:p>
    <w:p>
      <w:pPr>
        <w:pageBreakBefore w:val="0"/>
        <w:widowControl w:val="0"/>
        <w:kinsoku/>
        <w:wordWrap/>
        <w:overflowPunct/>
        <w:topLinePunct w:val="0"/>
        <w:bidi w:val="0"/>
        <w:spacing w:line="360" w:lineRule="exact"/>
        <w:ind w:left="0" w:leftChars="0"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i w:val="0"/>
          <w:caps w:val="0"/>
          <w:color w:val="auto"/>
          <w:spacing w:val="0"/>
          <w:w w:val="100"/>
          <w:sz w:val="24"/>
          <w:szCs w:val="24"/>
          <w:highlight w:val="none"/>
        </w:rPr>
        <w:t>未通过资格审查的供应商不进入评标；通过资格审查的供应商少于不足三家的，不得评标。</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19.2   采购人或采购代理机构将在开标前1个工作日至投标截止后1小时的期间内查询</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的信用记录。</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存在不良信用记录的，其投标将被认定为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19.2.1 不良信用记录指：供应商在“信用中国”网站（ www.creditchina.gov.cn） 被列入失信被执行人、重大税收违法案件当事人名单(信用服务-重点领域严重失信主体名单查询-搜索栏输入单位全称)、中国政府采购网（http://www.ccgp.gov.cn/search/cr/）严重违法失信行为记录名单的（尚在处罚期内的）。</w:t>
      </w:r>
    </w:p>
    <w:p>
      <w:pPr>
        <w:pageBreakBefore w:val="0"/>
        <w:widowControl w:val="0"/>
        <w:kinsoku/>
        <w:wordWrap/>
        <w:overflowPunct/>
        <w:topLinePunct w:val="0"/>
        <w:bidi w:val="0"/>
        <w:spacing w:line="360" w:lineRule="exact"/>
        <w:ind w:left="958" w:leftChars="456" w:firstLine="60" w:firstLineChars="2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以联合体形式参加投标的，联合体任何成员存在以上不良信用记录的，联合体投标将被认定为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Style w:val="4"/>
        <w:pageBreakBefore w:val="0"/>
        <w:widowControl w:val="0"/>
        <w:kinsoku/>
        <w:wordWrap/>
        <w:overflowPunct/>
        <w:topLinePunct w:val="0"/>
        <w:bidi w:val="0"/>
        <w:spacing w:line="360" w:lineRule="exact"/>
        <w:ind w:left="849" w:leftChars="0" w:hanging="849" w:hangingChars="354"/>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19.2.2 查询及记录方式：采购人或采购代理机构经办人将查询网页打印、签字并存档备查。</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不良信用记录以采购人或采购代理机构查询结果为准。</w:t>
      </w:r>
    </w:p>
    <w:p>
      <w:pPr>
        <w:pStyle w:val="4"/>
        <w:pageBreakBefore w:val="0"/>
        <w:widowControl w:val="0"/>
        <w:kinsoku/>
        <w:wordWrap/>
        <w:overflowPunct/>
        <w:topLinePunct w:val="0"/>
        <w:bidi w:val="0"/>
        <w:spacing w:line="360" w:lineRule="exact"/>
        <w:ind w:left="0" w:leftChars="0" w:firstLine="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在本招标文件规定的查询时间之后，网站信息发生的任何变更均不再作为评标依据。</w:t>
      </w:r>
    </w:p>
    <w:p>
      <w:pPr>
        <w:pStyle w:val="4"/>
        <w:pageBreakBefore w:val="0"/>
        <w:widowControl w:val="0"/>
        <w:kinsoku/>
        <w:wordWrap/>
        <w:overflowPunct/>
        <w:topLinePunct w:val="0"/>
        <w:bidi w:val="0"/>
        <w:spacing w:line="360" w:lineRule="exact"/>
        <w:ind w:left="0" w:leftChars="0" w:firstLine="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自行提供的与网站信息不一致的其他证明材料亦不作为资格审查依据。</w:t>
      </w:r>
    </w:p>
    <w:p>
      <w:pPr>
        <w:pageBreakBefore w:val="0"/>
        <w:widowControl w:val="0"/>
        <w:kinsoku/>
        <w:wordWrap/>
        <w:overflowPunct/>
        <w:topLinePunct w:val="0"/>
        <w:bidi w:val="0"/>
        <w:spacing w:line="360" w:lineRule="exact"/>
        <w:ind w:left="849" w:leftChars="0" w:hanging="849" w:hangingChars="35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19.3   按照《中华人民共和国政府采购法》、《中华人民共和国政府采购法实施条例》</w:t>
      </w:r>
      <w:r>
        <w:rPr>
          <w:rFonts w:hint="eastAsia" w:ascii="宋体" w:hAnsi="宋体" w:eastAsia="宋体" w:cs="宋体"/>
          <w:color w:val="auto"/>
          <w:sz w:val="24"/>
          <w:szCs w:val="24"/>
          <w:highlight w:val="none"/>
          <w:lang w:eastAsia="zh-CN"/>
        </w:rPr>
        <w:t>、《政府采购货物和服务招标投标管理办法》财政部令第87号</w:t>
      </w:r>
      <w:r>
        <w:rPr>
          <w:rFonts w:hint="eastAsia" w:ascii="宋体" w:hAnsi="宋体" w:eastAsia="宋体" w:cs="宋体"/>
          <w:color w:val="auto"/>
          <w:sz w:val="24"/>
          <w:szCs w:val="24"/>
          <w:highlight w:val="none"/>
        </w:rPr>
        <w:t>及本项目本级和上级财政部门的有关规定依法</w:t>
      </w:r>
      <w:bookmarkStart w:id="741" w:name="_Toc520356166"/>
      <w:r>
        <w:rPr>
          <w:rFonts w:hint="eastAsia" w:ascii="宋体" w:hAnsi="宋体" w:eastAsia="宋体" w:cs="宋体"/>
          <w:color w:val="auto"/>
          <w:sz w:val="24"/>
          <w:szCs w:val="24"/>
          <w:highlight w:val="none"/>
          <w:lang w:eastAsia="zh-CN"/>
        </w:rPr>
        <w:t>在</w:t>
      </w:r>
      <w:r>
        <w:rPr>
          <w:rFonts w:hint="eastAsia" w:ascii="宋体" w:hAnsi="宋体" w:eastAsia="宋体" w:cs="宋体"/>
          <w:b/>
          <w:bCs/>
          <w:color w:val="000000" w:themeColor="text1"/>
          <w:sz w:val="24"/>
          <w:szCs w:val="24"/>
          <w:highlight w:val="none"/>
          <w:lang w:eastAsia="zh-CN"/>
          <w14:textFill>
            <w14:solidFill>
              <w14:schemeClr w14:val="tx1"/>
            </w14:solidFill>
          </w14:textFill>
        </w:rPr>
        <w:t>政采云平台上随机抽取</w:t>
      </w:r>
      <w:r>
        <w:rPr>
          <w:rFonts w:hint="eastAsia" w:ascii="宋体" w:hAnsi="宋体" w:cs="宋体"/>
          <w:b/>
          <w:bCs/>
          <w:color w:val="000000" w:themeColor="text1"/>
          <w:sz w:val="24"/>
          <w:szCs w:val="24"/>
          <w:highlight w:val="none"/>
          <w:lang w:val="en-US" w:eastAsia="zh-CN"/>
          <w14:textFill>
            <w14:solidFill>
              <w14:schemeClr w14:val="tx1"/>
            </w14:solidFill>
          </w14:textFill>
        </w:rPr>
        <w:t>7</w:t>
      </w:r>
      <w:r>
        <w:rPr>
          <w:rFonts w:hint="eastAsia" w:ascii="宋体" w:hAnsi="宋体" w:eastAsia="宋体" w:cs="宋体"/>
          <w:b/>
          <w:bCs/>
          <w:color w:val="000000" w:themeColor="text1"/>
          <w:sz w:val="24"/>
          <w:szCs w:val="24"/>
          <w:highlight w:val="none"/>
          <w14:textFill>
            <w14:solidFill>
              <w14:schemeClr w14:val="tx1"/>
            </w14:solidFill>
          </w14:textFill>
        </w:rPr>
        <w:t>名</w:t>
      </w:r>
      <w:r>
        <w:rPr>
          <w:rFonts w:hint="eastAsia" w:ascii="宋体" w:hAnsi="宋体" w:eastAsia="宋体" w:cs="宋体"/>
          <w:b/>
          <w:bCs/>
          <w:color w:val="000000" w:themeColor="text1"/>
          <w:sz w:val="24"/>
          <w:szCs w:val="24"/>
          <w:highlight w:val="none"/>
          <w:lang w:eastAsia="zh-CN"/>
          <w14:textFill>
            <w14:solidFill>
              <w14:schemeClr w14:val="tx1"/>
            </w14:solidFill>
          </w14:textFill>
        </w:rPr>
        <w:t>专家</w:t>
      </w:r>
      <w:r>
        <w:rPr>
          <w:rFonts w:hint="eastAsia" w:ascii="宋体" w:hAnsi="宋体" w:eastAsia="宋体" w:cs="宋体"/>
          <w:color w:val="auto"/>
          <w:sz w:val="24"/>
          <w:szCs w:val="24"/>
          <w:highlight w:val="none"/>
        </w:rPr>
        <w:t>负责评标工作。</w:t>
      </w:r>
    </w:p>
    <w:p>
      <w:pPr>
        <w:pStyle w:val="8"/>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742" w:name="_Toc14130"/>
      <w:bookmarkStart w:id="743" w:name="_Toc6771"/>
      <w:bookmarkStart w:id="744" w:name="_Toc21174"/>
      <w:bookmarkStart w:id="745" w:name="_Toc22105"/>
      <w:bookmarkStart w:id="746" w:name="_Toc22935"/>
      <w:bookmarkStart w:id="747" w:name="_Toc8432"/>
      <w:bookmarkStart w:id="748" w:name="_Toc14028"/>
      <w:bookmarkStart w:id="749" w:name="_Toc160"/>
      <w:bookmarkStart w:id="750" w:name="_Toc4663"/>
      <w:bookmarkStart w:id="751" w:name="_Toc11090"/>
      <w:bookmarkStart w:id="752" w:name="_Toc827"/>
      <w:bookmarkStart w:id="753" w:name="_Toc19094"/>
      <w:bookmarkStart w:id="754" w:name="_Toc18754"/>
      <w:bookmarkStart w:id="755" w:name="_Toc13892"/>
      <w:bookmarkStart w:id="756" w:name="_Toc12543"/>
      <w:bookmarkStart w:id="757" w:name="_Toc11593"/>
      <w:bookmarkStart w:id="758" w:name="_Toc3936"/>
      <w:bookmarkStart w:id="759" w:name="_Toc32378"/>
      <w:bookmarkStart w:id="760" w:name="_Toc26223"/>
      <w:bookmarkStart w:id="761" w:name="_Toc22736"/>
      <w:bookmarkStart w:id="762" w:name="_Toc14377"/>
      <w:bookmarkStart w:id="763" w:name="_Toc21876"/>
      <w:bookmarkStart w:id="764" w:name="_Toc27593"/>
      <w:bookmarkStart w:id="765" w:name="_Toc27548"/>
      <w:bookmarkStart w:id="766" w:name="_Toc10990"/>
      <w:bookmarkStart w:id="767" w:name="_Toc31534"/>
      <w:bookmarkStart w:id="768" w:name="_Toc25557"/>
      <w:bookmarkStart w:id="769" w:name="_Toc22021"/>
      <w:bookmarkStart w:id="770" w:name="_Toc13448"/>
      <w:bookmarkStart w:id="771" w:name="_Toc10284"/>
      <w:bookmarkStart w:id="772" w:name="_Toc4062"/>
      <w:bookmarkStart w:id="773" w:name="_Toc7962"/>
      <w:bookmarkStart w:id="774" w:name="_Toc27412"/>
      <w:bookmarkStart w:id="775" w:name="_Toc19949"/>
      <w:bookmarkStart w:id="776" w:name="_Toc515647781"/>
      <w:bookmarkStart w:id="777" w:name="_Toc22009"/>
      <w:bookmarkStart w:id="778" w:name="_Toc28479"/>
      <w:r>
        <w:rPr>
          <w:rFonts w:hint="eastAsia" w:ascii="宋体" w:hAnsi="宋体" w:eastAsia="宋体" w:cs="宋体"/>
          <w:b/>
          <w:bCs/>
          <w:color w:val="auto"/>
          <w:sz w:val="24"/>
          <w:szCs w:val="24"/>
          <w:highlight w:val="none"/>
          <w:u w:val="none"/>
        </w:rPr>
        <w:t>投标文件</w:t>
      </w:r>
      <w:bookmarkEnd w:id="741"/>
      <w:r>
        <w:rPr>
          <w:rFonts w:hint="eastAsia" w:ascii="宋体" w:hAnsi="宋体" w:eastAsia="宋体" w:cs="宋体"/>
          <w:b/>
          <w:bCs/>
          <w:color w:val="auto"/>
          <w:sz w:val="24"/>
          <w:szCs w:val="24"/>
          <w:highlight w:val="none"/>
          <w:u w:val="none"/>
        </w:rPr>
        <w:t>符合性审查与澄清</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20.1   符合性审查是指依据招标文件的规定，从投标文件的有效性和完整性对招标文件的响应程度进行审查，以确定是否对招标文件的实质性要求做出响应。</w:t>
      </w:r>
      <w:bookmarkStart w:id="779" w:name="_Hlt522424701"/>
      <w:bookmarkEnd w:id="779"/>
      <w:bookmarkStart w:id="780" w:name="_Toc520356167"/>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投标文件的澄清</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20.2.1  在评标期间，评标委员会将以书面方式要求</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对其投标文件中含义不明确、对同类问题表述不一致或者有明显文字和计算错误的内容，以及评标委员会认为</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的报价明显低于其他通过符合性检查</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的报价，有可能影响履约的情况作必要的澄清、说明或补正。</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的澄清、说明或补正应在评标委员会规定的时间内以书面方式进行，并不得超出投标文件范围或者改变投标文件的实质性内容。</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20.2.2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的的澄清、说明或补正将作为投标文件的一部分。</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20.3  投标文件报价出现前后不一致的，按照下列规定修正：</w:t>
      </w:r>
    </w:p>
    <w:p>
      <w:pPr>
        <w:pageBreakBefore w:val="0"/>
        <w:widowControl w:val="0"/>
        <w:kinsoku/>
        <w:wordWrap/>
        <w:overflowPunct/>
        <w:topLinePunct w:val="0"/>
        <w:bidi w:val="0"/>
        <w:spacing w:line="360" w:lineRule="exact"/>
        <w:ind w:left="1020" w:leftChars="0" w:hanging="1020" w:hangingChars="42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（一）投标文件中开标一览表（报价表）内容与投标文件中相应内容不一致的，以开标一览表（报价表）为准；</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b w:val="0"/>
          <w:bCs w:val="0"/>
          <w:color w:val="auto"/>
          <w:sz w:val="24"/>
          <w:szCs w:val="24"/>
          <w:highlight w:val="none"/>
        </w:rPr>
      </w:pPr>
      <w:r>
        <w:rPr>
          <w:rFonts w:hint="eastAsia" w:ascii="宋体" w:hAnsi="宋体" w:eastAsia="宋体" w:cs="宋体"/>
          <w:color w:val="auto"/>
          <w:sz w:val="24"/>
          <w:szCs w:val="24"/>
          <w:highlight w:val="none"/>
        </w:rPr>
        <w:t>　　   （二）大写金额和小写金额</w:t>
      </w:r>
      <w:r>
        <w:rPr>
          <w:rFonts w:hint="eastAsia" w:ascii="宋体" w:hAnsi="宋体" w:eastAsia="宋体" w:cs="宋体"/>
          <w:b w:val="0"/>
          <w:bCs w:val="0"/>
          <w:color w:val="auto"/>
          <w:sz w:val="24"/>
          <w:szCs w:val="24"/>
          <w:highlight w:val="none"/>
        </w:rPr>
        <w:t>不一致的，以大写金额为准；</w:t>
      </w:r>
    </w:p>
    <w:p>
      <w:pPr>
        <w:pageBreakBefore w:val="0"/>
        <w:widowControl w:val="0"/>
        <w:kinsoku/>
        <w:wordWrap/>
        <w:overflowPunct/>
        <w:topLinePunct w:val="0"/>
        <w:bidi w:val="0"/>
        <w:spacing w:line="360" w:lineRule="exact"/>
        <w:ind w:left="1020" w:leftChars="0" w:hanging="1020" w:hangingChars="425"/>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（三）单价金额小数点或者百分比有明显错位的，以开标一览表的总价为准，并修改单价；</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（四）总价金额与按单价汇总金额不一致的，以单价金额计算结果为准。</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同时出现两种以上不一致的，按照前款规定的顺序修正。修正后的报价按照第20.2条的规定经</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确认后产生约束力，</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不确认的，其投标将被认定为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ageBreakBefore w:val="0"/>
        <w:widowControl w:val="0"/>
        <w:kinsoku/>
        <w:wordWrap/>
        <w:overflowPunct/>
        <w:topLinePunct w:val="0"/>
        <w:bidi w:val="0"/>
        <w:spacing w:line="360" w:lineRule="exact"/>
        <w:ind w:left="0" w:leftChars="0" w:firstLine="120" w:firstLineChars="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对不同文字文本投标文件的解释发生异议的，以中文文本为准。</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20.4   如一个分包内只有一种产品，不同</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所投产品为同一品牌的，按如下方式处理：</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20.4.1  如本项目使用最低评标价法，提供相同品牌产品的不同</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以其中通过资格审查、符合性审查且报价最低的参加评标；报价相同的，由采购人或者采购人委托评标委员会按照招标文件中评标办法规定的方式确定一个参加评标的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；未规定的采取随机抽取方式确定，其他投标将被认定为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20.4.2  如本项目使用综合评分法，提供相同品牌产品且通过资格审查、符合性审查的不同</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，按一家</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计算，评审后得分最高的同品牌</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获得中标人推荐资格；评审得分相同的，由采购人或者采购人委托评标委员会按照招标文件中评标办法规定的方式确定一个</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获得中标人推荐资格；未规定的采取随机抽取方式确定，其他同品牌</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不作为中标候选人。</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20.5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所投产品如被列入财政部与国家主管部门颁发的节能产品目录或环境标志产品目录或无线局域网产品目录，应提供相关证明，在评标时予以优先采购，具体优先采购办法见第六章评标方法和标准。</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如采购人所采购产品为政府强制采购的节能产品，</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所投产品的品牌及型号必须为清单中有效期内产品并提供证明文件，否则其投标将被认定为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Style w:val="8"/>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781" w:name="_Toc23515"/>
      <w:bookmarkStart w:id="782" w:name="_Toc22642"/>
      <w:bookmarkStart w:id="783" w:name="_Toc6538"/>
      <w:bookmarkStart w:id="784" w:name="_Toc22"/>
      <w:bookmarkStart w:id="785" w:name="_Toc7973"/>
      <w:bookmarkStart w:id="786" w:name="_Toc515647782"/>
      <w:bookmarkStart w:id="787" w:name="_Toc21482"/>
      <w:bookmarkStart w:id="788" w:name="_Toc24344"/>
      <w:bookmarkStart w:id="789" w:name="_Toc27571"/>
      <w:bookmarkStart w:id="790" w:name="_Toc12161"/>
      <w:bookmarkStart w:id="791" w:name="_Toc18429"/>
      <w:bookmarkStart w:id="792" w:name="_Toc31280"/>
      <w:bookmarkStart w:id="793" w:name="_Toc16070"/>
      <w:bookmarkStart w:id="794" w:name="_Toc8909"/>
      <w:bookmarkStart w:id="795" w:name="_Toc19042"/>
      <w:bookmarkStart w:id="796" w:name="_Toc29292"/>
      <w:bookmarkStart w:id="797" w:name="_Toc10143"/>
      <w:bookmarkStart w:id="798" w:name="_Toc5106"/>
      <w:bookmarkStart w:id="799" w:name="_Toc21138"/>
      <w:bookmarkStart w:id="800" w:name="_Toc630"/>
      <w:bookmarkStart w:id="801" w:name="_Toc9469"/>
      <w:bookmarkStart w:id="802" w:name="_Toc5066"/>
      <w:bookmarkStart w:id="803" w:name="_Toc16606"/>
      <w:bookmarkStart w:id="804" w:name="_Toc10795"/>
      <w:bookmarkStart w:id="805" w:name="_Toc11608"/>
      <w:bookmarkStart w:id="806" w:name="_Toc1697"/>
      <w:bookmarkStart w:id="807" w:name="_Toc1550"/>
      <w:bookmarkStart w:id="808" w:name="_Toc23572"/>
      <w:bookmarkStart w:id="809" w:name="_Toc6364"/>
      <w:bookmarkStart w:id="810" w:name="_Toc18245"/>
      <w:bookmarkStart w:id="811" w:name="_Toc18062"/>
      <w:bookmarkStart w:id="812" w:name="_Toc21658"/>
      <w:bookmarkStart w:id="813" w:name="_Toc1633"/>
      <w:bookmarkStart w:id="814" w:name="_Toc14269"/>
      <w:bookmarkStart w:id="815" w:name="_Toc22369"/>
      <w:bookmarkStart w:id="816" w:name="_Toc21796"/>
      <w:bookmarkStart w:id="817" w:name="_Toc17911"/>
      <w:r>
        <w:rPr>
          <w:rFonts w:hint="eastAsia" w:ascii="宋体" w:hAnsi="宋体" w:eastAsia="宋体" w:cs="宋体"/>
          <w:b/>
          <w:bCs/>
          <w:color w:val="auto"/>
          <w:sz w:val="24"/>
          <w:szCs w:val="24"/>
          <w:highlight w:val="none"/>
          <w:u w:val="none"/>
        </w:rPr>
        <w:t>投标偏离</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ageBreakBefore w:val="0"/>
        <w:widowControl w:val="0"/>
        <w:kinsoku/>
        <w:wordWrap/>
        <w:overflowPunct/>
        <w:topLinePunct w:val="0"/>
        <w:bidi w:val="0"/>
        <w:spacing w:line="360" w:lineRule="exact"/>
        <w:ind w:left="640" w:leftChars="0" w:hanging="640" w:hangingChars="267"/>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评标委员会可以接受投标文件中不构成实质性偏离的不正规或不一致。</w:t>
      </w:r>
      <w:bookmarkStart w:id="818" w:name="_Toc515647783"/>
      <w:bookmarkStart w:id="819" w:name="_Toc6092"/>
      <w:bookmarkStart w:id="820" w:name="_Toc4950"/>
      <w:r>
        <w:rPr>
          <w:rFonts w:hint="eastAsia" w:ascii="宋体" w:hAnsi="宋体" w:eastAsia="宋体" w:cs="宋体"/>
          <w:color w:val="auto"/>
          <w:sz w:val="24"/>
          <w:szCs w:val="24"/>
          <w:highlight w:val="none"/>
          <w:lang w:eastAsia="zh-CN"/>
        </w:rPr>
        <w:t>本项目接受偏离，投标供应商提供参数中出现正偏离加分、负偏离扣</w:t>
      </w:r>
      <w:r>
        <w:rPr>
          <w:rFonts w:hint="eastAsia" w:ascii="宋体" w:hAnsi="宋体" w:eastAsia="宋体" w:cs="宋体"/>
          <w:color w:val="auto"/>
          <w:sz w:val="24"/>
          <w:szCs w:val="24"/>
          <w:highlight w:val="none"/>
          <w:lang w:val="en-US" w:eastAsia="zh-CN"/>
        </w:rPr>
        <w:t>分。</w:t>
      </w:r>
    </w:p>
    <w:p>
      <w:pPr>
        <w:pStyle w:val="8"/>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821" w:name="_Toc25441"/>
      <w:bookmarkStart w:id="822" w:name="_Toc17684"/>
      <w:bookmarkStart w:id="823" w:name="_Toc8254"/>
      <w:bookmarkStart w:id="824" w:name="_Toc4727"/>
      <w:bookmarkStart w:id="825" w:name="_Toc26299"/>
      <w:bookmarkStart w:id="826" w:name="_Toc26622"/>
      <w:bookmarkStart w:id="827" w:name="_Toc20972"/>
      <w:bookmarkStart w:id="828" w:name="_Toc11798"/>
      <w:bookmarkStart w:id="829" w:name="_Toc11504"/>
      <w:bookmarkStart w:id="830" w:name="_Toc23335"/>
      <w:bookmarkStart w:id="831" w:name="_Toc12294"/>
      <w:bookmarkStart w:id="832" w:name="_Toc18096"/>
      <w:bookmarkStart w:id="833" w:name="_Toc665"/>
      <w:bookmarkStart w:id="834" w:name="_Toc31603"/>
      <w:bookmarkStart w:id="835" w:name="_Toc6553"/>
      <w:bookmarkStart w:id="836" w:name="_Toc3291"/>
      <w:bookmarkStart w:id="837" w:name="_Toc24258"/>
      <w:bookmarkStart w:id="838" w:name="_Toc7356"/>
      <w:bookmarkStart w:id="839" w:name="_Toc9594"/>
      <w:bookmarkStart w:id="840" w:name="_Toc1222"/>
      <w:bookmarkStart w:id="841" w:name="_Toc550"/>
      <w:bookmarkStart w:id="842" w:name="_Toc8973"/>
      <w:bookmarkStart w:id="843" w:name="_Toc13354"/>
      <w:bookmarkStart w:id="844" w:name="_Toc24569"/>
      <w:bookmarkStart w:id="845" w:name="_Toc31472"/>
      <w:bookmarkStart w:id="846" w:name="_Toc23010"/>
      <w:bookmarkStart w:id="847" w:name="_Toc28050"/>
      <w:bookmarkStart w:id="848" w:name="_Toc28742"/>
      <w:bookmarkStart w:id="849" w:name="_Toc13696"/>
      <w:bookmarkStart w:id="850" w:name="_Toc17857"/>
      <w:bookmarkStart w:id="851" w:name="_Toc603"/>
      <w:bookmarkStart w:id="852" w:name="_Toc1257"/>
      <w:bookmarkStart w:id="853" w:name="_Toc16755"/>
      <w:bookmarkStart w:id="854" w:name="_Toc26386"/>
      <w:r>
        <w:rPr>
          <w:rFonts w:hint="eastAsia" w:ascii="宋体" w:hAnsi="宋体" w:eastAsia="宋体" w:cs="宋体"/>
          <w:b/>
          <w:bCs/>
          <w:color w:val="auto"/>
          <w:sz w:val="24"/>
          <w:szCs w:val="24"/>
          <w:highlight w:val="none"/>
          <w:u w:val="none"/>
        </w:rPr>
        <w:t>投标</w:t>
      </w:r>
      <w:bookmarkEnd w:id="818"/>
      <w:r>
        <w:rPr>
          <w:rFonts w:hint="eastAsia" w:ascii="宋体" w:hAnsi="宋体" w:eastAsia="宋体" w:cs="宋体"/>
          <w:b/>
          <w:bCs/>
          <w:color w:val="auto"/>
          <w:sz w:val="24"/>
          <w:szCs w:val="24"/>
          <w:highlight w:val="none"/>
          <w:u w:val="none"/>
        </w:rPr>
        <w:t>无效</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   在比较与评价之前，根据本须知的规定，评标委员会要审查每份投标文件是否实质上响应了招标文件的要求。实质上响应的投标应该是与招标文件要求的全部条款、条件和规格相符，没有重大偏离的投标。</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不得通过修正或撤销不符合要求的偏离，从而使其投标成为实质上响应的投标。</w:t>
      </w:r>
    </w:p>
    <w:p>
      <w:pPr>
        <w:pageBreakBefore w:val="0"/>
        <w:widowControl w:val="0"/>
        <w:kinsoku/>
        <w:wordWrap/>
        <w:overflowPunct/>
        <w:topLinePunct w:val="0"/>
        <w:bidi w:val="0"/>
        <w:spacing w:line="360" w:lineRule="exact"/>
        <w:ind w:left="718" w:leftChars="342"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评标委员会决定投标的响应性只根据招标文件要求、投标文件内容及财政主管部门指定相关信息发布媒体。</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22.2</w:t>
      </w:r>
      <w:r>
        <w:rPr>
          <w:rFonts w:hint="eastAsia" w:ascii="宋体" w:hAnsi="宋体" w:eastAsia="宋体" w:cs="宋体"/>
          <w:color w:val="auto"/>
          <w:sz w:val="24"/>
          <w:szCs w:val="24"/>
          <w:highlight w:val="none"/>
        </w:rPr>
        <w:tab/>
      </w:r>
      <w:r>
        <w:rPr>
          <w:rFonts w:hint="eastAsia" w:ascii="宋体" w:hAnsi="宋体" w:eastAsia="宋体" w:cs="宋体"/>
          <w:b/>
          <w:bCs/>
          <w:color w:val="auto"/>
          <w:sz w:val="24"/>
          <w:szCs w:val="24"/>
          <w:highlight w:val="none"/>
        </w:rPr>
        <w:t>如发现下列情况之一的，其投标将被认定为投标无效</w:t>
      </w:r>
      <w:r>
        <w:rPr>
          <w:rFonts w:hint="eastAsia" w:ascii="宋体" w:hAnsi="宋体" w:eastAsia="宋体" w:cs="宋体"/>
          <w:color w:val="auto"/>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81" w:leftChars="0" w:firstLine="723" w:firstLineChars="3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未按招标文件规定的形式和金额提交投标保证金的；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81" w:leftChars="0" w:firstLine="723" w:firstLineChars="3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未按照招标文件规定要求签署、盖章的；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81" w:leftChars="0" w:firstLine="723" w:firstLineChars="3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未满足招标文件中技术条款的实质性要求；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81" w:leftChars="0" w:firstLine="723" w:firstLineChars="3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4</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与其他</w:t>
      </w:r>
      <w:r>
        <w:rPr>
          <w:rFonts w:hint="eastAsia" w:ascii="宋体" w:hAnsi="宋体" w:eastAsia="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串通投标，或者与</w:t>
      </w:r>
      <w:r>
        <w:rPr>
          <w:rFonts w:hint="eastAsia" w:ascii="宋体" w:hAnsi="宋体" w:eastAsia="宋体" w:cs="宋体"/>
          <w:b/>
          <w:bCs/>
          <w:color w:val="auto"/>
          <w:sz w:val="24"/>
          <w:szCs w:val="24"/>
          <w:highlight w:val="none"/>
          <w:lang w:eastAsia="zh-CN"/>
        </w:rPr>
        <w:t>采购人</w:t>
      </w:r>
      <w:r>
        <w:rPr>
          <w:rFonts w:hint="eastAsia" w:ascii="宋体" w:hAnsi="宋体" w:eastAsia="宋体" w:cs="宋体"/>
          <w:b/>
          <w:bCs/>
          <w:color w:val="auto"/>
          <w:sz w:val="24"/>
          <w:szCs w:val="24"/>
          <w:highlight w:val="none"/>
        </w:rPr>
        <w:t>串通投标；</w:t>
      </w:r>
      <w:r>
        <w:rPr>
          <w:rFonts w:hint="eastAsia" w:ascii="宋体" w:hAnsi="宋体" w:eastAsia="宋体" w:cs="宋体"/>
          <w:b/>
          <w:bCs/>
          <w:color w:val="auto"/>
          <w:sz w:val="24"/>
          <w:szCs w:val="2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81" w:leftChars="0" w:firstLine="723" w:firstLineChars="3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属于招标文件规定的其他投标无效情形；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538" w:leftChars="256" w:firstLine="0"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6</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评标委员会认为</w:t>
      </w:r>
      <w:r>
        <w:rPr>
          <w:rFonts w:hint="eastAsia" w:ascii="宋体" w:hAnsi="宋体" w:eastAsia="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的报价明显低于其他通过符合性检查</w:t>
      </w:r>
      <w:r>
        <w:rPr>
          <w:rFonts w:hint="eastAsia" w:ascii="宋体" w:hAnsi="宋体" w:eastAsia="宋体" w:cs="宋体"/>
          <w:b/>
          <w:bCs/>
          <w:color w:val="auto"/>
          <w:sz w:val="24"/>
          <w:szCs w:val="24"/>
          <w:highlight w:val="none"/>
          <w:lang w:eastAsia="zh-CN"/>
        </w:rPr>
        <w:t>供应</w:t>
      </w: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lang w:eastAsia="zh-CN"/>
        </w:rPr>
        <w:t>商</w:t>
      </w:r>
      <w:r>
        <w:rPr>
          <w:rFonts w:hint="eastAsia" w:ascii="宋体" w:hAnsi="宋体" w:eastAsia="宋体" w:cs="宋体"/>
          <w:b/>
          <w:bCs/>
          <w:color w:val="auto"/>
          <w:sz w:val="24"/>
          <w:szCs w:val="24"/>
          <w:highlight w:val="none"/>
        </w:rPr>
        <w:t>的报价，有可能影响履约的，且</w:t>
      </w:r>
      <w:r>
        <w:rPr>
          <w:rFonts w:hint="eastAsia" w:ascii="宋体" w:hAnsi="宋体" w:eastAsia="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未按照规定证明其报价合理性的；</w:t>
      </w:r>
    </w:p>
    <w:p>
      <w:pPr>
        <w:pageBreakBefore w:val="0"/>
        <w:widowControl w:val="0"/>
        <w:numPr>
          <w:ilvl w:val="0"/>
          <w:numId w:val="0"/>
        </w:numPr>
        <w:kinsoku/>
        <w:wordWrap/>
        <w:overflowPunct/>
        <w:topLinePunct w:val="0"/>
        <w:bidi w:val="0"/>
        <w:spacing w:line="360" w:lineRule="exact"/>
        <w:ind w:left="-180" w:leftChars="0" w:firstLine="723" w:firstLineChars="3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7</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投标文件含有采购人不能接受的附加条件的；</w:t>
      </w:r>
    </w:p>
    <w:p>
      <w:pPr>
        <w:pageBreakBefore w:val="0"/>
        <w:widowControl w:val="0"/>
        <w:numPr>
          <w:ilvl w:val="0"/>
          <w:numId w:val="0"/>
        </w:numPr>
        <w:tabs>
          <w:tab w:val="left" w:pos="0"/>
        </w:tabs>
        <w:kinsoku/>
        <w:wordWrap/>
        <w:overflowPunct/>
        <w:topLinePunct w:val="0"/>
        <w:bidi w:val="0"/>
        <w:spacing w:line="360" w:lineRule="exact"/>
        <w:ind w:left="-180" w:leftChars="0" w:firstLine="723" w:firstLineChars="3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8</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不符合法规和招标文件中规定的其他实质性要求的。</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22.3   有下列情形之一的，属于恶意串通，对供应商依照政府采购法第七十七条第一款的规定追究法律责任，对采购人、采购代理机构及其工作人员依照政府采购法第七十二条的规定追究法律责任：</w:t>
      </w:r>
    </w:p>
    <w:p>
      <w:pPr>
        <w:pageBreakBefore w:val="0"/>
        <w:widowControl w:val="0"/>
        <w:kinsoku/>
        <w:wordWrap/>
        <w:overflowPunct/>
        <w:topLinePunct w:val="0"/>
        <w:bidi w:val="0"/>
        <w:spacing w:line="360" w:lineRule="exact"/>
        <w:ind w:left="900" w:leftChars="0" w:hanging="900" w:hangingChars="375"/>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（1）供应商直接或者间接从采购人或者采购代理机构处获得其他供应商的相关情况并修改其投标文件或者投标文件；</w:t>
      </w:r>
    </w:p>
    <w:p>
      <w:pPr>
        <w:pageBreakBefore w:val="0"/>
        <w:widowControl w:val="0"/>
        <w:kinsoku/>
        <w:wordWrap/>
        <w:overflowPunct/>
        <w:topLinePunct w:val="0"/>
        <w:bidi w:val="0"/>
        <w:spacing w:line="360" w:lineRule="exact"/>
        <w:ind w:left="900" w:leftChars="0" w:hanging="900" w:hangingChars="375"/>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（2）供应商按照采购人或者采购代理机构的授意撤换、修改投标文件或者投标文件；</w:t>
      </w:r>
    </w:p>
    <w:p>
      <w:pPr>
        <w:pageBreakBefore w:val="0"/>
        <w:widowControl w:val="0"/>
        <w:kinsoku/>
        <w:wordWrap/>
        <w:overflowPunct/>
        <w:topLinePunct w:val="0"/>
        <w:bidi w:val="0"/>
        <w:spacing w:line="360" w:lineRule="exact"/>
        <w:ind w:left="900" w:leftChars="0" w:hanging="900" w:hangingChars="375"/>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（3）供应商之间协商报价、技术方案等投标文件或者投标文件的实质性内容；</w:t>
      </w:r>
    </w:p>
    <w:p>
      <w:pPr>
        <w:pageBreakBefore w:val="0"/>
        <w:widowControl w:val="0"/>
        <w:kinsoku/>
        <w:wordWrap/>
        <w:overflowPunct/>
        <w:topLinePunct w:val="0"/>
        <w:bidi w:val="0"/>
        <w:spacing w:line="360" w:lineRule="exact"/>
        <w:ind w:left="900" w:leftChars="0" w:hanging="900" w:hangingChars="375"/>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（4）属于同一集团、协会、商会等组织成员的供应商按照该组织要求协同参加政府采购活动；</w:t>
      </w:r>
    </w:p>
    <w:p>
      <w:pPr>
        <w:pageBreakBefore w:val="0"/>
        <w:widowControl w:val="0"/>
        <w:kinsoku/>
        <w:wordWrap/>
        <w:overflowPunct/>
        <w:topLinePunct w:val="0"/>
        <w:bidi w:val="0"/>
        <w:spacing w:line="360" w:lineRule="exact"/>
        <w:ind w:left="900" w:leftChars="0" w:hanging="900" w:hangingChars="375"/>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（5）供应商之间事先约定由某一特定供应商中标、成交；</w:t>
      </w:r>
    </w:p>
    <w:p>
      <w:pPr>
        <w:pageBreakBefore w:val="0"/>
        <w:widowControl w:val="0"/>
        <w:kinsoku/>
        <w:wordWrap/>
        <w:overflowPunct/>
        <w:topLinePunct w:val="0"/>
        <w:bidi w:val="0"/>
        <w:spacing w:line="360" w:lineRule="exact"/>
        <w:ind w:left="900" w:leftChars="0" w:hanging="900" w:hangingChars="375"/>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（6）供应商之间商定部分供应商放弃参加政府采购活动或者放弃中标、成交；</w:t>
      </w:r>
    </w:p>
    <w:p>
      <w:pPr>
        <w:pageBreakBefore w:val="0"/>
        <w:widowControl w:val="0"/>
        <w:kinsoku/>
        <w:wordWrap/>
        <w:overflowPunct/>
        <w:topLinePunct w:val="0"/>
        <w:bidi w:val="0"/>
        <w:spacing w:line="360" w:lineRule="exact"/>
        <w:ind w:left="900" w:leftChars="0" w:hanging="900" w:hangingChars="375"/>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（7）供应商与采购人或者采购代理机构之间、供应商相互之间，为谋求特定供应商中标、成交或者排斥其他供应商的其他串通行为。</w:t>
      </w:r>
    </w:p>
    <w:bookmarkEnd w:id="780"/>
    <w:p>
      <w:pPr>
        <w:pStyle w:val="8"/>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855" w:name="_Toc13652"/>
      <w:bookmarkStart w:id="856" w:name="_Toc10491"/>
      <w:bookmarkStart w:id="857" w:name="_Toc13566"/>
      <w:bookmarkStart w:id="858" w:name="_Toc26192"/>
      <w:bookmarkStart w:id="859" w:name="_Toc15344"/>
      <w:bookmarkStart w:id="860" w:name="_Toc20639"/>
      <w:bookmarkStart w:id="861" w:name="_Toc22941"/>
      <w:bookmarkStart w:id="862" w:name="_Toc515647784"/>
      <w:bookmarkStart w:id="863" w:name="_Toc2195"/>
      <w:bookmarkStart w:id="864" w:name="_Toc13922"/>
      <w:bookmarkStart w:id="865" w:name="_Toc4328"/>
      <w:bookmarkStart w:id="866" w:name="_Toc16915"/>
      <w:bookmarkStart w:id="867" w:name="_Toc24579"/>
      <w:bookmarkStart w:id="868" w:name="_Toc22981"/>
      <w:bookmarkStart w:id="869" w:name="_Toc127"/>
      <w:bookmarkStart w:id="870" w:name="_Toc29015"/>
      <w:bookmarkStart w:id="871" w:name="_Toc15400"/>
      <w:bookmarkStart w:id="872" w:name="_Toc2928"/>
      <w:bookmarkStart w:id="873" w:name="_Toc24277"/>
      <w:bookmarkStart w:id="874" w:name="_Toc4770"/>
      <w:bookmarkStart w:id="875" w:name="_Toc22267"/>
      <w:bookmarkStart w:id="876" w:name="_Toc11940"/>
      <w:bookmarkStart w:id="877" w:name="_Toc30617"/>
      <w:bookmarkStart w:id="878" w:name="_Toc9523"/>
      <w:bookmarkStart w:id="879" w:name="_Toc2833"/>
      <w:bookmarkStart w:id="880" w:name="_Toc512"/>
      <w:bookmarkStart w:id="881" w:name="_Toc20498"/>
      <w:bookmarkStart w:id="882" w:name="_Toc3877"/>
      <w:bookmarkStart w:id="883" w:name="_Toc19116"/>
      <w:bookmarkStart w:id="884" w:name="_Toc13750"/>
      <w:bookmarkStart w:id="885" w:name="_Toc25837"/>
      <w:bookmarkStart w:id="886" w:name="_Toc24349"/>
      <w:bookmarkStart w:id="887" w:name="_Toc4622"/>
      <w:bookmarkStart w:id="888" w:name="_Toc32146"/>
      <w:r>
        <w:rPr>
          <w:rFonts w:hint="eastAsia" w:ascii="宋体" w:hAnsi="宋体" w:eastAsia="宋体" w:cs="宋体"/>
          <w:b/>
          <w:bCs/>
          <w:color w:val="auto"/>
          <w:sz w:val="24"/>
          <w:szCs w:val="24"/>
          <w:highlight w:val="none"/>
          <w:u w:val="none"/>
        </w:rPr>
        <w:t>比较与评价</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经符合性审查合格的投标文件，评标委员会将根据招标文件确定的评标方法和标准，对其技术部分和商务部分作进一步的比较和评价。</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23.2  </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评标严格按照招标文件的要求和条件进行。根据实际情况，在</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中规定采用下列一种评标方法，详细评标标准见招标文件第六章：</w:t>
      </w:r>
    </w:p>
    <w:p>
      <w:pPr>
        <w:pStyle w:val="15"/>
        <w:pageBreakBefore w:val="0"/>
        <w:widowControl w:val="0"/>
        <w:kinsoku/>
        <w:wordWrap/>
        <w:overflowPunct/>
        <w:topLinePunct w:val="0"/>
        <w:bidi w:val="0"/>
        <w:spacing w:line="360" w:lineRule="exact"/>
        <w:ind w:left="239" w:leftChars="114" w:firstLine="31" w:firstLineChars="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（1）最低评标价法，是指投标文件满足招标文件全部实质性要求，且投标报价最低的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为中标候选人的评标方法。</w:t>
      </w:r>
    </w:p>
    <w:p>
      <w:pPr>
        <w:pStyle w:val="15"/>
        <w:pageBreakBefore w:val="0"/>
        <w:widowControl w:val="0"/>
        <w:kinsoku/>
        <w:wordWrap/>
        <w:overflowPunct/>
        <w:topLinePunct w:val="0"/>
        <w:bidi w:val="0"/>
        <w:spacing w:line="360" w:lineRule="exact"/>
        <w:ind w:left="239" w:leftChars="114" w:firstLine="33" w:firstLineChars="14"/>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color w:val="auto"/>
          <w:sz w:val="24"/>
          <w:szCs w:val="24"/>
          <w:highlight w:val="none"/>
        </w:rPr>
        <w:t>（2）综合评分法，是指投标文件满足招标文件全部实质性要求，且按照评审因素的量化指标评审得分最高的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为中标候选人的评标方法。</w:t>
      </w:r>
    </w:p>
    <w:p>
      <w:pPr>
        <w:pStyle w:val="21"/>
        <w:keepNext w:val="0"/>
        <w:keepLines w:val="0"/>
        <w:pageBreakBefore w:val="0"/>
        <w:kinsoku/>
        <w:wordWrap/>
        <w:overflowPunct/>
        <w:topLinePunct w:val="0"/>
        <w:autoSpaceDE/>
        <w:autoSpaceDN/>
        <w:bidi w:val="0"/>
        <w:adjustRightInd/>
        <w:spacing w:line="360" w:lineRule="exact"/>
        <w:rPr>
          <w:rFonts w:hint="eastAsia" w:ascii="宋体" w:hAnsi="宋体" w:eastAsia="宋体" w:cs="宋体"/>
          <w:b/>
          <w:bCs/>
          <w:color w:val="FF0000"/>
          <w:kern w:val="2"/>
          <w:sz w:val="24"/>
          <w:szCs w:val="24"/>
          <w:highlight w:val="none"/>
          <w:lang w:val="en-US" w:eastAsia="zh-CN" w:bidi="ar-SA"/>
        </w:rPr>
      </w:pPr>
      <w:r>
        <w:rPr>
          <w:rFonts w:hint="eastAsia" w:ascii="宋体" w:hAnsi="宋体" w:eastAsia="宋体" w:cs="宋体"/>
          <w:b/>
          <w:bCs/>
          <w:i w:val="0"/>
          <w:caps w:val="0"/>
          <w:color w:val="auto"/>
          <w:spacing w:val="0"/>
          <w:w w:val="100"/>
          <w:sz w:val="24"/>
          <w:szCs w:val="24"/>
          <w:highlight w:val="none"/>
        </w:rPr>
        <w:t>本项目</w:t>
      </w:r>
      <w:r>
        <w:rPr>
          <w:rFonts w:hint="eastAsia" w:ascii="宋体" w:hAnsi="宋体" w:eastAsia="宋体" w:cs="宋体"/>
          <w:b/>
          <w:bCs/>
          <w:color w:val="auto"/>
          <w:kern w:val="2"/>
          <w:sz w:val="24"/>
          <w:szCs w:val="24"/>
          <w:highlight w:val="none"/>
          <w:lang w:val="en-US" w:eastAsia="zh-CN" w:bidi="ar-SA"/>
        </w:rPr>
        <w:t>采用综合评分法</w:t>
      </w:r>
    </w:p>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 xml:space="preserve">23.3   </w:t>
      </w:r>
      <w:r>
        <w:rPr>
          <w:rFonts w:hint="eastAsia" w:ascii="宋体" w:hAnsi="宋体" w:eastAsia="宋体" w:cs="宋体"/>
          <w:b/>
          <w:bCs/>
          <w:color w:val="auto"/>
          <w:kern w:val="2"/>
          <w:sz w:val="24"/>
          <w:szCs w:val="24"/>
          <w:highlight w:val="none"/>
          <w:lang w:val="en-US" w:eastAsia="zh-CN" w:bidi="ar-SA"/>
        </w:rPr>
        <w:t>本项目专门面向中小企业采购。</w:t>
      </w:r>
      <w:r>
        <w:rPr>
          <w:rFonts w:hint="eastAsia" w:ascii="宋体" w:hAnsi="宋体" w:eastAsia="宋体" w:cs="宋体"/>
          <w:b w:val="0"/>
          <w:bCs w:val="0"/>
          <w:color w:val="auto"/>
          <w:sz w:val="24"/>
          <w:highlight w:val="none"/>
          <w:lang w:eastAsia="zh-CN"/>
        </w:rPr>
        <w:t>根据《财政部关于进一步加大政府采购支持中小企业力度的通知》财库〔2022〕19号、《政府采购促进中小企业发展管理办法》（财库[2020]46号）、《财政部司法部关于政府采购支持监狱企业发展有关问 题 的通知》（财库〔2014〕68号）、《三部门联合发布关于促进残疾人就业政府采购政策的通知》（财库〔2017〕141号）的规定，其中小型、微型及小微企业在投标文件中提交了《中小企业声明函》、《残疾人福利性单位声明函》或省级以上监狱管理局、戒毒管理局（含新疆生产建设兵团）出具的属于监狱企业的证明文件的供应商，其报价</w:t>
      </w:r>
      <w:r>
        <w:rPr>
          <w:rFonts w:hint="eastAsia" w:ascii="宋体" w:hAnsi="宋体" w:cs="宋体"/>
          <w:b w:val="0"/>
          <w:bCs w:val="0"/>
          <w:color w:val="auto"/>
          <w:sz w:val="24"/>
          <w:highlight w:val="none"/>
          <w:lang w:eastAsia="zh-CN"/>
        </w:rPr>
        <w:t>不进行</w:t>
      </w:r>
      <w:r>
        <w:rPr>
          <w:rFonts w:hint="eastAsia" w:ascii="宋体" w:hAnsi="宋体" w:eastAsia="宋体" w:cs="宋体"/>
          <w:b w:val="0"/>
          <w:bCs w:val="0"/>
          <w:color w:val="auto"/>
          <w:sz w:val="24"/>
          <w:highlight w:val="none"/>
          <w:lang w:eastAsia="zh-CN"/>
        </w:rPr>
        <w:t>扣除。</w:t>
      </w:r>
      <w:r>
        <w:rPr>
          <w:rFonts w:hint="eastAsia" w:ascii="宋体" w:hAnsi="宋体" w:cs="宋体"/>
          <w:b w:val="0"/>
          <w:bCs w:val="0"/>
          <w:color w:val="auto"/>
          <w:sz w:val="24"/>
          <w:highlight w:val="none"/>
          <w:lang w:eastAsia="zh-CN"/>
        </w:rPr>
        <w:t>具体办法详见招标文件第</w:t>
      </w:r>
      <w:r>
        <w:rPr>
          <w:rFonts w:hint="eastAsia" w:ascii="宋体" w:hAnsi="宋体" w:cs="宋体"/>
          <w:b w:val="0"/>
          <w:bCs w:val="0"/>
          <w:color w:val="auto"/>
          <w:sz w:val="24"/>
          <w:highlight w:val="none"/>
          <w:lang w:val="en-US" w:eastAsia="zh-CN"/>
        </w:rPr>
        <w:t>6章</w:t>
      </w:r>
      <w:r>
        <w:rPr>
          <w:rFonts w:hint="eastAsia" w:ascii="宋体" w:hAnsi="宋体" w:eastAsia="宋体" w:cs="宋体"/>
          <w:b w:val="0"/>
          <w:bCs w:val="0"/>
          <w:color w:val="auto"/>
          <w:sz w:val="24"/>
          <w:highlight w:val="none"/>
          <w:lang w:eastAsia="zh-CN"/>
        </w:rPr>
        <w:t>。</w:t>
      </w:r>
    </w:p>
    <w:p>
      <w:pPr>
        <w:pStyle w:val="8"/>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889" w:name="_Toc29851"/>
      <w:bookmarkStart w:id="890" w:name="_Toc23163"/>
      <w:bookmarkStart w:id="891" w:name="_Toc16371"/>
      <w:bookmarkStart w:id="892" w:name="_Toc27789"/>
      <w:bookmarkStart w:id="893" w:name="_Toc14038"/>
      <w:bookmarkStart w:id="894" w:name="_Toc29970"/>
      <w:bookmarkStart w:id="895" w:name="_Toc26540"/>
      <w:bookmarkStart w:id="896" w:name="_Toc14835"/>
      <w:bookmarkStart w:id="897" w:name="_Toc14510"/>
      <w:bookmarkStart w:id="898" w:name="_Toc28349"/>
      <w:bookmarkStart w:id="899" w:name="_Toc7770"/>
      <w:bookmarkStart w:id="900" w:name="_Toc27067"/>
      <w:bookmarkStart w:id="901" w:name="_Toc31084"/>
      <w:bookmarkStart w:id="902" w:name="_Toc30004"/>
      <w:bookmarkStart w:id="903" w:name="_Toc16770"/>
      <w:bookmarkStart w:id="904" w:name="_Toc15129"/>
      <w:bookmarkStart w:id="905" w:name="_Toc28519"/>
      <w:bookmarkStart w:id="906" w:name="_Toc15375"/>
      <w:bookmarkStart w:id="907" w:name="_Toc20227"/>
      <w:bookmarkStart w:id="908" w:name="_Toc12703"/>
      <w:bookmarkStart w:id="909" w:name="_Toc23302"/>
      <w:bookmarkStart w:id="910" w:name="_Toc19218"/>
      <w:bookmarkStart w:id="911" w:name="_Toc1505"/>
      <w:bookmarkStart w:id="912" w:name="_Toc7858"/>
      <w:bookmarkStart w:id="913" w:name="_Toc11154"/>
      <w:bookmarkStart w:id="914" w:name="_Toc20064"/>
      <w:bookmarkStart w:id="915" w:name="_Toc6053"/>
      <w:bookmarkStart w:id="916" w:name="_Toc14346"/>
      <w:bookmarkStart w:id="917" w:name="_Toc606"/>
      <w:bookmarkStart w:id="918" w:name="_Toc515647785"/>
      <w:bookmarkStart w:id="919" w:name="_Toc27402"/>
      <w:bookmarkStart w:id="920" w:name="_Toc30532"/>
      <w:bookmarkStart w:id="921" w:name="_Toc6001"/>
      <w:bookmarkStart w:id="922" w:name="_Toc27739"/>
      <w:bookmarkStart w:id="923" w:name="_Toc360"/>
      <w:bookmarkStart w:id="924" w:name="_Toc30087"/>
      <w:bookmarkStart w:id="925" w:name="_Toc9378"/>
      <w:r>
        <w:rPr>
          <w:rFonts w:hint="eastAsia" w:ascii="宋体" w:hAnsi="宋体" w:eastAsia="宋体" w:cs="宋体"/>
          <w:b/>
          <w:bCs/>
          <w:color w:val="auto"/>
          <w:sz w:val="24"/>
          <w:szCs w:val="24"/>
          <w:highlight w:val="none"/>
          <w:u w:val="none"/>
        </w:rPr>
        <w:t>废标</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24.1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出现下列情形之一，将导致项目废标： </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（1）符合专业条件的供应商或者对招标文件做实质性响应的供应商不足三家；</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（2）出现影响采购公正的违法、违规行为的；</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的报价均超过了采购预算，采购人不能支付的；</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（4）因重大变故，采购任务取消的。   </w:t>
      </w:r>
    </w:p>
    <w:p>
      <w:pPr>
        <w:pStyle w:val="8"/>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926" w:name="_Toc5619"/>
      <w:bookmarkStart w:id="927" w:name="_Toc6932"/>
      <w:bookmarkStart w:id="928" w:name="_Toc27604"/>
      <w:bookmarkStart w:id="929" w:name="_Toc4920"/>
      <w:bookmarkStart w:id="930" w:name="_Toc9864"/>
      <w:bookmarkStart w:id="931" w:name="_Toc25595"/>
      <w:bookmarkStart w:id="932" w:name="_Toc13885"/>
      <w:bookmarkStart w:id="933" w:name="_Toc515647786"/>
      <w:bookmarkStart w:id="934" w:name="_Toc25957"/>
      <w:bookmarkStart w:id="935" w:name="_Toc16887"/>
      <w:bookmarkStart w:id="936" w:name="_Toc21380"/>
      <w:bookmarkStart w:id="937" w:name="_Toc10983"/>
      <w:bookmarkStart w:id="938" w:name="_Toc10185"/>
      <w:bookmarkStart w:id="939" w:name="_Toc17702"/>
      <w:bookmarkStart w:id="940" w:name="_Toc11422"/>
      <w:bookmarkStart w:id="941" w:name="_Toc10141"/>
      <w:bookmarkStart w:id="942" w:name="_Toc9534"/>
      <w:bookmarkStart w:id="943" w:name="_Toc11460"/>
      <w:bookmarkStart w:id="944" w:name="_Toc25775"/>
      <w:bookmarkStart w:id="945" w:name="_Toc29646"/>
      <w:bookmarkStart w:id="946" w:name="_Toc23725"/>
      <w:bookmarkStart w:id="947" w:name="_Toc9210"/>
      <w:bookmarkStart w:id="948" w:name="_Toc7638"/>
      <w:bookmarkStart w:id="949" w:name="_Toc10657"/>
      <w:bookmarkStart w:id="950" w:name="_Toc5674"/>
      <w:bookmarkStart w:id="951" w:name="_Toc3431"/>
      <w:bookmarkStart w:id="952" w:name="_Toc11604"/>
      <w:bookmarkStart w:id="953" w:name="_Toc3793"/>
      <w:bookmarkStart w:id="954" w:name="_Toc30848"/>
      <w:bookmarkStart w:id="955" w:name="_Toc5952"/>
      <w:bookmarkStart w:id="956" w:name="_Toc29790"/>
      <w:bookmarkStart w:id="957" w:name="_Toc5328"/>
      <w:bookmarkStart w:id="958" w:name="_Toc21697"/>
      <w:bookmarkStart w:id="959" w:name="_Toc2809"/>
      <w:bookmarkStart w:id="960" w:name="_Toc31289"/>
      <w:bookmarkStart w:id="961" w:name="_Toc3562"/>
      <w:bookmarkStart w:id="962" w:name="_Toc24972"/>
      <w:bookmarkStart w:id="963" w:name="_Toc520356169"/>
      <w:r>
        <w:rPr>
          <w:rFonts w:hint="eastAsia" w:ascii="宋体" w:hAnsi="宋体" w:eastAsia="宋体" w:cs="宋体"/>
          <w:b/>
          <w:bCs/>
          <w:color w:val="auto"/>
          <w:sz w:val="24"/>
          <w:szCs w:val="24"/>
          <w:highlight w:val="none"/>
          <w:u w:val="none"/>
        </w:rPr>
        <w:t>保密原则</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评标将在严格保密的情况下进行。</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政府采购评审专家应当遵守评审工作纪律，不得泄露评审文件、评审情况和评审中获悉的商业秘密。</w:t>
      </w:r>
    </w:p>
    <w:p>
      <w:pPr>
        <w:pageBreakBefore w:val="0"/>
        <w:widowControl w:val="0"/>
        <w:kinsoku/>
        <w:wordWrap/>
        <w:overflowPunct/>
        <w:topLinePunct w:val="0"/>
        <w:bidi w:val="0"/>
        <w:spacing w:line="360" w:lineRule="exact"/>
        <w:ind w:left="0" w:leftChars="0" w:hanging="540"/>
        <w:textAlignment w:val="auto"/>
        <w:rPr>
          <w:rFonts w:hint="eastAsia" w:ascii="宋体" w:hAnsi="宋体" w:eastAsia="宋体" w:cs="宋体"/>
          <w:color w:val="auto"/>
          <w:sz w:val="24"/>
          <w:szCs w:val="24"/>
          <w:highlight w:val="none"/>
        </w:rPr>
      </w:pPr>
    </w:p>
    <w:p>
      <w:pPr>
        <w:pStyle w:val="7"/>
        <w:pageBreakBefore w:val="0"/>
        <w:widowControl w:val="0"/>
        <w:kinsoku/>
        <w:wordWrap/>
        <w:overflowPunct/>
        <w:topLinePunct w:val="0"/>
        <w:bidi w:val="0"/>
        <w:spacing w:before="0" w:line="360" w:lineRule="exact"/>
        <w:ind w:left="0" w:leftChars="0" w:hanging="540"/>
        <w:textAlignment w:val="auto"/>
        <w:rPr>
          <w:rFonts w:hint="eastAsia" w:ascii="宋体" w:hAnsi="宋体" w:eastAsia="宋体" w:cs="宋体"/>
          <w:color w:val="auto"/>
          <w:sz w:val="24"/>
          <w:szCs w:val="24"/>
          <w:highlight w:val="none"/>
        </w:rPr>
      </w:pPr>
      <w:bookmarkStart w:id="964" w:name="_Toc18765"/>
      <w:bookmarkStart w:id="965" w:name="_Toc31410"/>
      <w:bookmarkStart w:id="966" w:name="_Toc12143"/>
      <w:bookmarkStart w:id="967" w:name="_Toc23904"/>
      <w:bookmarkStart w:id="968" w:name="_Toc216582810"/>
      <w:bookmarkStart w:id="969" w:name="_Toc515647787"/>
      <w:r>
        <w:rPr>
          <w:rFonts w:hint="eastAsia" w:ascii="宋体" w:hAnsi="宋体" w:eastAsia="宋体" w:cs="宋体"/>
          <w:color w:val="auto"/>
          <w:sz w:val="24"/>
          <w:szCs w:val="24"/>
          <w:highlight w:val="none"/>
        </w:rPr>
        <w:t xml:space="preserve">六   </w:t>
      </w:r>
      <w:bookmarkEnd w:id="963"/>
      <w:r>
        <w:rPr>
          <w:rFonts w:hint="eastAsia" w:ascii="宋体" w:hAnsi="宋体" w:eastAsia="宋体" w:cs="宋体"/>
          <w:color w:val="auto"/>
          <w:sz w:val="24"/>
          <w:szCs w:val="24"/>
          <w:highlight w:val="none"/>
        </w:rPr>
        <w:t>确定中标</w:t>
      </w:r>
      <w:bookmarkEnd w:id="964"/>
      <w:bookmarkEnd w:id="965"/>
      <w:bookmarkEnd w:id="966"/>
      <w:bookmarkEnd w:id="967"/>
      <w:bookmarkEnd w:id="968"/>
      <w:bookmarkEnd w:id="969"/>
    </w:p>
    <w:p>
      <w:pPr>
        <w:pStyle w:val="8"/>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lang w:val="en-US" w:eastAsia="zh-CN"/>
        </w:rPr>
      </w:pPr>
      <w:bookmarkStart w:id="970" w:name="_Toc24833"/>
      <w:bookmarkStart w:id="971" w:name="_Toc23762"/>
      <w:bookmarkStart w:id="972" w:name="_Toc6381"/>
      <w:bookmarkStart w:id="973" w:name="_Toc31710"/>
      <w:bookmarkStart w:id="974" w:name="_Toc30704"/>
      <w:bookmarkStart w:id="975" w:name="_Toc12932"/>
      <w:bookmarkStart w:id="976" w:name="_Toc14406"/>
      <w:bookmarkStart w:id="977" w:name="_Toc28515"/>
      <w:bookmarkStart w:id="978" w:name="_Toc20061"/>
      <w:bookmarkStart w:id="979" w:name="_Toc20359"/>
      <w:bookmarkStart w:id="980" w:name="_Toc28179"/>
      <w:bookmarkStart w:id="981" w:name="_Toc26456"/>
      <w:bookmarkStart w:id="982" w:name="_Toc22284"/>
      <w:bookmarkStart w:id="983" w:name="_Toc30510"/>
      <w:bookmarkStart w:id="984" w:name="_Toc29156"/>
      <w:bookmarkStart w:id="985" w:name="_Toc22054"/>
      <w:bookmarkStart w:id="986" w:name="_Toc13936"/>
      <w:bookmarkStart w:id="987" w:name="_Toc17156"/>
      <w:bookmarkStart w:id="988" w:name="_Toc154"/>
      <w:bookmarkStart w:id="989" w:name="_Toc12168"/>
      <w:bookmarkStart w:id="990" w:name="_Toc26233"/>
      <w:bookmarkStart w:id="991" w:name="_Toc24864"/>
      <w:bookmarkStart w:id="992" w:name="_Toc23617"/>
      <w:bookmarkStart w:id="993" w:name="_Toc11233"/>
      <w:bookmarkStart w:id="994" w:name="_Toc20762"/>
      <w:bookmarkStart w:id="995" w:name="_Toc6731"/>
      <w:bookmarkStart w:id="996" w:name="_Toc20509"/>
      <w:bookmarkStart w:id="997" w:name="_Ref467307010"/>
      <w:bookmarkStart w:id="998" w:name="_Toc9959"/>
      <w:bookmarkStart w:id="999" w:name="_Toc20567"/>
      <w:bookmarkStart w:id="1000" w:name="_Toc3604"/>
      <w:bookmarkStart w:id="1001" w:name="_Toc24563"/>
      <w:bookmarkStart w:id="1002" w:name="_Toc27501"/>
      <w:bookmarkStart w:id="1003" w:name="_Toc32273"/>
      <w:bookmarkStart w:id="1004" w:name="_Toc515647788"/>
      <w:bookmarkStart w:id="1005" w:name="_Toc14164"/>
      <w:bookmarkStart w:id="1006" w:name="_Toc14800"/>
      <w:bookmarkStart w:id="1007" w:name="_Toc520356170"/>
      <w:r>
        <w:rPr>
          <w:rFonts w:hint="eastAsia" w:ascii="宋体" w:hAnsi="宋体" w:eastAsia="宋体" w:cs="宋体"/>
          <w:b/>
          <w:bCs/>
          <w:color w:val="auto"/>
          <w:sz w:val="24"/>
          <w:szCs w:val="24"/>
          <w:highlight w:val="none"/>
          <w:u w:val="none"/>
          <w:lang w:val="en-US" w:eastAsia="zh-CN"/>
        </w:rPr>
        <w:t>中标候选人的确定原则及标准</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ageBreakBefore w:val="0"/>
        <w:widowControl w:val="0"/>
        <w:kinsoku/>
        <w:wordWrap/>
        <w:overflowPunct/>
        <w:topLinePunct w:val="0"/>
        <w:bidi w:val="0"/>
        <w:spacing w:line="3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对实质上响应招标文件的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按下列方法进行排序，确定投标候选人：</w:t>
      </w:r>
    </w:p>
    <w:p>
      <w:pPr>
        <w:pageBreakBefore w:val="0"/>
        <w:widowControl w:val="0"/>
        <w:kinsoku/>
        <w:wordWrap/>
        <w:overflowPunct/>
        <w:topLinePunct w:val="0"/>
        <w:bidi w:val="0"/>
        <w:spacing w:line="360" w:lineRule="exact"/>
        <w:ind w:left="0" w:leftChars="0" w:firstLine="480" w:firstLineChars="200"/>
        <w:textAlignment w:val="auto"/>
        <w:rPr>
          <w:rFonts w:hint="eastAsia" w:ascii="宋体" w:hAnsi="宋体" w:eastAsia="宋体" w:cs="宋体"/>
          <w:color w:val="auto"/>
          <w:sz w:val="24"/>
          <w:szCs w:val="24"/>
          <w:highlight w:val="none"/>
        </w:rPr>
      </w:pPr>
      <w:bookmarkStart w:id="1008" w:name="_Toc520356171"/>
      <w:bookmarkStart w:id="1009" w:name="_Toc515647789"/>
      <w:r>
        <w:rPr>
          <w:rFonts w:hint="eastAsia" w:ascii="宋体" w:hAnsi="宋体" w:eastAsia="宋体" w:cs="宋体"/>
          <w:color w:val="auto"/>
          <w:sz w:val="24"/>
          <w:szCs w:val="24"/>
          <w:highlight w:val="none"/>
        </w:rPr>
        <w:t>（1）采用最低评标价法的，除了算术修正和落实政府采购政策需进行的价格扣除外，不对</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的投标价格进行任何调整。评标结果按修正和扣除后的投标报价由低到高顺序排列。报价相同的处理方式详见招标文件第6章。</w:t>
      </w:r>
    </w:p>
    <w:p>
      <w:pPr>
        <w:pageBreakBefore w:val="0"/>
        <w:widowControl w:val="0"/>
        <w:kinsoku/>
        <w:wordWrap/>
        <w:overflowPunct/>
        <w:topLinePunct w:val="0"/>
        <w:bidi w:val="0"/>
        <w:spacing w:line="3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（2）采用综合评分法的，评标结果按评审后得分由高到低顺序排列。得分相同的，按修正和扣除后的投标报价由低到高顺序排列。得分与投标报价均相同的处理方式详见招标文件第6章。</w:t>
      </w:r>
    </w:p>
    <w:p>
      <w:pPr>
        <w:pStyle w:val="8"/>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1010" w:name="_Toc17933"/>
      <w:bookmarkStart w:id="1011" w:name="_Toc857"/>
      <w:bookmarkStart w:id="1012" w:name="_Toc31774"/>
      <w:bookmarkStart w:id="1013" w:name="_Toc28378"/>
      <w:bookmarkStart w:id="1014" w:name="_Toc10692"/>
      <w:bookmarkStart w:id="1015" w:name="_Toc16846"/>
      <w:bookmarkStart w:id="1016" w:name="_Toc2803"/>
      <w:bookmarkStart w:id="1017" w:name="_Toc17164"/>
      <w:bookmarkStart w:id="1018" w:name="_Toc621"/>
      <w:bookmarkStart w:id="1019" w:name="_Toc8992"/>
      <w:bookmarkStart w:id="1020" w:name="_Toc28360"/>
      <w:bookmarkStart w:id="1021" w:name="_Toc17200"/>
      <w:bookmarkStart w:id="1022" w:name="_Toc11969"/>
      <w:bookmarkStart w:id="1023" w:name="_Toc976"/>
      <w:bookmarkStart w:id="1024" w:name="_Toc721"/>
      <w:bookmarkStart w:id="1025" w:name="_Toc15604"/>
      <w:bookmarkStart w:id="1026" w:name="_Toc21306"/>
      <w:bookmarkStart w:id="1027" w:name="_Toc21913"/>
      <w:bookmarkStart w:id="1028" w:name="_Toc31556"/>
      <w:bookmarkStart w:id="1029" w:name="_Toc1644"/>
      <w:bookmarkStart w:id="1030" w:name="_Toc27565"/>
      <w:bookmarkStart w:id="1031" w:name="_Toc30756"/>
      <w:bookmarkStart w:id="1032" w:name="_Toc11247"/>
      <w:bookmarkStart w:id="1033" w:name="_Toc12288"/>
      <w:bookmarkStart w:id="1034" w:name="_Toc29803"/>
      <w:bookmarkStart w:id="1035" w:name="_Toc14558"/>
      <w:bookmarkStart w:id="1036" w:name="_Toc15364"/>
      <w:bookmarkStart w:id="1037" w:name="_Toc28294"/>
      <w:bookmarkStart w:id="1038" w:name="_Toc25274"/>
      <w:bookmarkStart w:id="1039" w:name="_Toc2108"/>
      <w:bookmarkStart w:id="1040" w:name="_Toc28565"/>
      <w:bookmarkStart w:id="1041" w:name="_Toc19721"/>
      <w:bookmarkStart w:id="1042" w:name="_Toc15381"/>
      <w:bookmarkStart w:id="1043" w:name="_Toc3720"/>
      <w:bookmarkStart w:id="1044" w:name="_Toc27172"/>
      <w:bookmarkStart w:id="1045" w:name="_Toc12678"/>
      <w:bookmarkStart w:id="1046" w:name="_Toc24948"/>
      <w:r>
        <w:rPr>
          <w:rFonts w:hint="eastAsia" w:ascii="宋体" w:hAnsi="宋体" w:eastAsia="宋体" w:cs="宋体"/>
          <w:b/>
          <w:bCs/>
          <w:color w:val="auto"/>
          <w:sz w:val="24"/>
          <w:szCs w:val="24"/>
          <w:highlight w:val="none"/>
          <w:u w:val="none"/>
        </w:rPr>
        <w:t>确定</w:t>
      </w:r>
      <w:r>
        <w:rPr>
          <w:rFonts w:hint="eastAsia" w:ascii="宋体" w:hAnsi="宋体" w:eastAsia="宋体" w:cs="宋体"/>
          <w:b/>
          <w:bCs/>
          <w:color w:val="auto"/>
          <w:sz w:val="24"/>
          <w:szCs w:val="24"/>
          <w:highlight w:val="none"/>
          <w:u w:val="none"/>
          <w:lang w:val="en-US" w:eastAsia="zh-CN"/>
        </w:rPr>
        <w:t>中标</w:t>
      </w:r>
      <w:r>
        <w:rPr>
          <w:rFonts w:hint="eastAsia" w:ascii="宋体" w:hAnsi="宋体" w:eastAsia="宋体" w:cs="宋体"/>
          <w:b/>
          <w:bCs/>
          <w:color w:val="auto"/>
          <w:sz w:val="24"/>
          <w:szCs w:val="24"/>
          <w:highlight w:val="none"/>
          <w:u w:val="none"/>
        </w:rPr>
        <w:t>候选人和</w:t>
      </w:r>
      <w:bookmarkEnd w:id="1010"/>
      <w:r>
        <w:rPr>
          <w:rFonts w:hint="eastAsia" w:ascii="宋体" w:hAnsi="宋体" w:eastAsia="宋体" w:cs="宋体"/>
          <w:b/>
          <w:bCs/>
          <w:color w:val="auto"/>
          <w:sz w:val="24"/>
          <w:szCs w:val="24"/>
          <w:highlight w:val="none"/>
          <w:u w:val="none"/>
          <w:lang w:val="en-US" w:eastAsia="zh-CN"/>
        </w:rPr>
        <w:t>中标</w:t>
      </w:r>
      <w:r>
        <w:rPr>
          <w:rFonts w:hint="eastAsia" w:ascii="宋体" w:hAnsi="宋体" w:eastAsia="宋体" w:cs="宋体"/>
          <w:b/>
          <w:bCs/>
          <w:color w:val="auto"/>
          <w:sz w:val="24"/>
          <w:szCs w:val="24"/>
          <w:highlight w:val="none"/>
          <w:u w:val="none"/>
        </w:rPr>
        <w:t>人</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bookmarkEnd w:id="1008"/>
    <w:bookmarkEnd w:id="1009"/>
    <w:p>
      <w:pPr>
        <w:pageBreakBefore w:val="0"/>
        <w:widowControl w:val="0"/>
        <w:kinsoku/>
        <w:wordWrap/>
        <w:overflowPunct/>
        <w:topLinePunct w:val="0"/>
        <w:bidi w:val="0"/>
        <w:spacing w:line="360" w:lineRule="exact"/>
        <w:ind w:left="479" w:leftChars="228" w:firstLine="60" w:firstLineChars="2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评标委员会将根据评标标准，按</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须知资料表中</w:t>
      </w:r>
      <w:r>
        <w:rPr>
          <w:rFonts w:hint="eastAsia" w:ascii="宋体" w:hAnsi="宋体" w:eastAsia="宋体" w:cs="宋体"/>
          <w:color w:val="auto"/>
          <w:sz w:val="24"/>
          <w:szCs w:val="24"/>
          <w:highlight w:val="none"/>
        </w:rPr>
        <w:t>规定数量推荐中标候</w:t>
      </w:r>
    </w:p>
    <w:p>
      <w:pPr>
        <w:pageBreakBefore w:val="0"/>
        <w:widowControl w:val="0"/>
        <w:kinsoku/>
        <w:wordWrap/>
        <w:overflowPunct/>
        <w:topLinePunct w:val="0"/>
        <w:bidi w:val="0"/>
        <w:spacing w:line="360" w:lineRule="exact"/>
        <w:ind w:left="479" w:leftChars="228" w:firstLine="60" w:firstLineChars="2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选人；或根据采购人的委托，直接确定中标人。</w:t>
      </w:r>
    </w:p>
    <w:p>
      <w:pPr>
        <w:pStyle w:val="8"/>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1047" w:name="_Toc24959"/>
      <w:bookmarkStart w:id="1048" w:name="_Toc6340"/>
      <w:bookmarkStart w:id="1049" w:name="_Toc31137"/>
      <w:bookmarkStart w:id="1050" w:name="_Toc32299"/>
      <w:bookmarkStart w:id="1051" w:name="_Toc5601"/>
      <w:bookmarkStart w:id="1052" w:name="_Toc515647790"/>
      <w:bookmarkStart w:id="1053" w:name="_Toc7156"/>
      <w:bookmarkStart w:id="1054" w:name="_Toc13718"/>
      <w:bookmarkStart w:id="1055" w:name="_Toc8389"/>
      <w:bookmarkStart w:id="1056" w:name="_Toc28562"/>
      <w:bookmarkStart w:id="1057" w:name="_Toc20001"/>
      <w:bookmarkStart w:id="1058" w:name="_Toc22113"/>
      <w:bookmarkStart w:id="1059" w:name="_Toc45"/>
      <w:bookmarkStart w:id="1060" w:name="_Toc2533"/>
      <w:bookmarkStart w:id="1061" w:name="_Toc21618"/>
      <w:bookmarkStart w:id="1062" w:name="_Toc3328"/>
      <w:bookmarkStart w:id="1063" w:name="_Toc32455"/>
      <w:bookmarkStart w:id="1064" w:name="_Toc31043"/>
      <w:bookmarkStart w:id="1065" w:name="_Toc20558"/>
      <w:bookmarkStart w:id="1066" w:name="_Toc17591"/>
      <w:bookmarkStart w:id="1067" w:name="_Toc1269"/>
      <w:bookmarkStart w:id="1068" w:name="_Toc21889"/>
      <w:bookmarkStart w:id="1069" w:name="_Toc21208"/>
      <w:bookmarkStart w:id="1070" w:name="_Toc20705"/>
      <w:bookmarkStart w:id="1071" w:name="_Toc19007"/>
      <w:bookmarkStart w:id="1072" w:name="_Toc20963"/>
      <w:bookmarkStart w:id="1073" w:name="_Toc9640"/>
      <w:bookmarkStart w:id="1074" w:name="_Toc18821"/>
      <w:bookmarkStart w:id="1075" w:name="_Toc22308"/>
      <w:bookmarkStart w:id="1076" w:name="_Toc5507"/>
      <w:bookmarkStart w:id="1077" w:name="_Toc9701"/>
      <w:bookmarkStart w:id="1078" w:name="_Toc2231"/>
      <w:bookmarkStart w:id="1079" w:name="_Toc57"/>
      <w:bookmarkStart w:id="1080" w:name="_Toc25330"/>
      <w:bookmarkStart w:id="1081" w:name="_Toc24102"/>
      <w:bookmarkStart w:id="1082" w:name="_Toc18980"/>
      <w:bookmarkStart w:id="1083" w:name="_Toc21304"/>
      <w:r>
        <w:rPr>
          <w:rFonts w:hint="eastAsia" w:ascii="宋体" w:hAnsi="宋体" w:eastAsia="宋体" w:cs="宋体"/>
          <w:b/>
          <w:bCs/>
          <w:color w:val="auto"/>
          <w:sz w:val="24"/>
          <w:szCs w:val="24"/>
          <w:highlight w:val="none"/>
          <w:u w:val="none"/>
        </w:rPr>
        <w:t>采购任务取消</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因重大变故采购任务取消时，采购人有权拒绝任何</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中标，且对受影响的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不承担任何责任。</w:t>
      </w:r>
      <w:bookmarkStart w:id="1084" w:name="_Toc520356174"/>
    </w:p>
    <w:p>
      <w:pPr>
        <w:pStyle w:val="8"/>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1085" w:name="_Toc21583"/>
      <w:bookmarkStart w:id="1086" w:name="_Toc1178"/>
      <w:bookmarkStart w:id="1087" w:name="_Toc515"/>
      <w:bookmarkStart w:id="1088" w:name="_Toc14221"/>
      <w:bookmarkStart w:id="1089" w:name="_Toc31099"/>
      <w:bookmarkStart w:id="1090" w:name="_Toc17202"/>
      <w:bookmarkStart w:id="1091" w:name="_Toc13576"/>
      <w:bookmarkStart w:id="1092" w:name="_Toc1818"/>
      <w:bookmarkStart w:id="1093" w:name="_Toc515647791"/>
      <w:bookmarkStart w:id="1094" w:name="_Toc10965"/>
      <w:bookmarkStart w:id="1095" w:name="_Toc4099"/>
      <w:bookmarkStart w:id="1096" w:name="_Toc19323"/>
      <w:bookmarkStart w:id="1097" w:name="_Toc5820"/>
      <w:bookmarkStart w:id="1098" w:name="_Toc29780"/>
      <w:bookmarkStart w:id="1099" w:name="_Toc1676"/>
      <w:bookmarkStart w:id="1100" w:name="_Toc30170"/>
      <w:bookmarkStart w:id="1101" w:name="_Toc12348"/>
      <w:bookmarkStart w:id="1102" w:name="_Toc31601"/>
      <w:bookmarkStart w:id="1103" w:name="_Toc15667"/>
      <w:bookmarkStart w:id="1104" w:name="_Toc22132"/>
      <w:bookmarkStart w:id="1105" w:name="_Toc20363"/>
      <w:bookmarkStart w:id="1106" w:name="_Toc9044"/>
      <w:bookmarkStart w:id="1107" w:name="_Toc26898"/>
      <w:bookmarkStart w:id="1108" w:name="_Toc8834"/>
      <w:bookmarkStart w:id="1109" w:name="_Toc4452"/>
      <w:bookmarkStart w:id="1110" w:name="_Toc27996"/>
      <w:bookmarkStart w:id="1111" w:name="_Toc9886"/>
      <w:bookmarkStart w:id="1112" w:name="_Toc30931"/>
      <w:bookmarkStart w:id="1113" w:name="_Toc30140"/>
      <w:bookmarkStart w:id="1114" w:name="_Toc28049"/>
      <w:bookmarkStart w:id="1115" w:name="_Toc14276"/>
      <w:bookmarkStart w:id="1116" w:name="_Toc15661"/>
      <w:bookmarkStart w:id="1117" w:name="_Toc137"/>
      <w:bookmarkStart w:id="1118" w:name="_Toc13760"/>
      <w:bookmarkStart w:id="1119" w:name="_Toc30149"/>
      <w:bookmarkStart w:id="1120" w:name="_Toc25281"/>
      <w:bookmarkStart w:id="1121" w:name="_Toc8140"/>
      <w:r>
        <w:rPr>
          <w:rFonts w:hint="eastAsia" w:ascii="宋体" w:hAnsi="宋体" w:eastAsia="宋体" w:cs="宋体"/>
          <w:b/>
          <w:bCs/>
          <w:color w:val="auto"/>
          <w:sz w:val="24"/>
          <w:szCs w:val="24"/>
          <w:highlight w:val="none"/>
          <w:u w:val="none"/>
        </w:rPr>
        <w:t>中标通知书</w:t>
      </w:r>
      <w:bookmarkEnd w:id="1084"/>
      <w:r>
        <w:rPr>
          <w:rFonts w:hint="eastAsia" w:ascii="宋体" w:hAnsi="宋体" w:eastAsia="宋体" w:cs="宋体"/>
          <w:b/>
          <w:bCs/>
          <w:color w:val="auto"/>
          <w:sz w:val="24"/>
          <w:szCs w:val="24"/>
          <w:highlight w:val="none"/>
          <w:u w:val="none"/>
        </w:rPr>
        <w:t>和招标结果通知书</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29.1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在投标有效期内，中标人确定后，采购人或者采购代理机构发布中标公告，同时以书面形式向中标人发出中标通知书。</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29.2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中标通知书是合同的组成部分。</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29.3    招标结果通知书和中标通知书同时发出。招标结果通知书中将告知未通过资格审查的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未通过的原因；采用综合评分法评审的，还将告知未中标人本人的评审得分和排序。</w:t>
      </w:r>
    </w:p>
    <w:p>
      <w:pPr>
        <w:pStyle w:val="8"/>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1122" w:name="_Toc15018"/>
      <w:bookmarkStart w:id="1123" w:name="_Toc30068"/>
      <w:bookmarkStart w:id="1124" w:name="_Toc19876"/>
      <w:bookmarkStart w:id="1125" w:name="_Toc14551"/>
      <w:bookmarkStart w:id="1126" w:name="_Toc3557"/>
      <w:bookmarkStart w:id="1127" w:name="_Toc29299"/>
      <w:bookmarkStart w:id="1128" w:name="_Toc27721"/>
      <w:bookmarkStart w:id="1129" w:name="_Toc1417"/>
      <w:bookmarkStart w:id="1130" w:name="_Toc830"/>
      <w:bookmarkStart w:id="1131" w:name="_Toc790"/>
      <w:bookmarkStart w:id="1132" w:name="_Toc14106"/>
      <w:bookmarkStart w:id="1133" w:name="_Toc29255"/>
      <w:bookmarkStart w:id="1134" w:name="_Ref467306978"/>
      <w:bookmarkStart w:id="1135" w:name="_Ref467307204"/>
      <w:bookmarkStart w:id="1136" w:name="_Toc19580"/>
      <w:bookmarkStart w:id="1137" w:name="_Toc26465"/>
      <w:bookmarkStart w:id="1138" w:name="_Toc6885"/>
      <w:bookmarkStart w:id="1139" w:name="_Toc13210"/>
      <w:bookmarkStart w:id="1140" w:name="_Toc14864"/>
      <w:bookmarkStart w:id="1141" w:name="_Toc29517"/>
      <w:bookmarkStart w:id="1142" w:name="_Toc11340"/>
      <w:bookmarkStart w:id="1143" w:name="_Ref467306377"/>
      <w:bookmarkStart w:id="1144" w:name="_Toc24666"/>
      <w:bookmarkStart w:id="1145" w:name="_Toc6607"/>
      <w:bookmarkStart w:id="1146" w:name="_Toc520356175"/>
      <w:bookmarkStart w:id="1147" w:name="_Toc13873"/>
      <w:bookmarkStart w:id="1148" w:name="_Toc16516"/>
      <w:bookmarkStart w:id="1149" w:name="_Toc1386"/>
      <w:bookmarkStart w:id="1150" w:name="_Toc9417"/>
      <w:bookmarkStart w:id="1151" w:name="_Toc515647792"/>
      <w:bookmarkStart w:id="1152" w:name="_Toc10292"/>
      <w:bookmarkStart w:id="1153" w:name="_Toc14896"/>
      <w:bookmarkStart w:id="1154" w:name="_Toc24586"/>
      <w:bookmarkStart w:id="1155" w:name="_Toc7562"/>
      <w:bookmarkStart w:id="1156" w:name="_Toc7779"/>
      <w:bookmarkStart w:id="1157" w:name="_Ref467307062"/>
      <w:bookmarkStart w:id="1158" w:name="_Toc26598"/>
      <w:bookmarkStart w:id="1159" w:name="_Toc20760"/>
      <w:bookmarkStart w:id="1160" w:name="_Toc4466"/>
      <w:bookmarkStart w:id="1161" w:name="_Toc7584"/>
      <w:bookmarkStart w:id="1162" w:name="_Toc16831"/>
      <w:bookmarkStart w:id="1163" w:name="_Toc7154"/>
      <w:r>
        <w:rPr>
          <w:rFonts w:hint="eastAsia" w:ascii="宋体" w:hAnsi="宋体" w:eastAsia="宋体" w:cs="宋体"/>
          <w:b/>
          <w:bCs/>
          <w:color w:val="auto"/>
          <w:sz w:val="24"/>
          <w:szCs w:val="24"/>
          <w:highlight w:val="none"/>
          <w:u w:val="none"/>
        </w:rPr>
        <w:t>签订合同</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中标人应当自发出中标通知书之日起</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日内，与采购人签订合同。</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30.2</w:t>
      </w:r>
      <w:r>
        <w:rPr>
          <w:rFonts w:hint="eastAsia" w:ascii="宋体" w:hAnsi="宋体" w:eastAsia="宋体" w:cs="宋体"/>
          <w:color w:val="auto"/>
          <w:sz w:val="24"/>
          <w:szCs w:val="24"/>
          <w:highlight w:val="none"/>
        </w:rPr>
        <w:tab/>
      </w:r>
      <w:bookmarkStart w:id="1164" w:name="_Ref467307090"/>
      <w:bookmarkStart w:id="1165" w:name="_Ref467306425"/>
      <w:bookmarkStart w:id="1166" w:name="_Toc520356176"/>
      <w:r>
        <w:rPr>
          <w:rFonts w:hint="eastAsia" w:ascii="宋体" w:hAnsi="宋体" w:eastAsia="宋体" w:cs="宋体"/>
          <w:color w:val="auto"/>
          <w:sz w:val="24"/>
          <w:szCs w:val="24"/>
          <w:highlight w:val="none"/>
        </w:rPr>
        <w:t>招标文件、中标人的投标文件及其澄清文件等，均为签订合同的依据。</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30.3   中标人拒绝与采购人签订合同的，采购人可以按照评审报告推荐的中标候选人名单排序，确定下一中标候选人为中标人，也可以重新开展政府采购活动。</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30.4   当出现法规规定的</w:t>
      </w:r>
      <w:r>
        <w:rPr>
          <w:rFonts w:hint="eastAsia" w:ascii="宋体" w:hAnsi="宋体" w:eastAsia="宋体" w:cs="宋体"/>
          <w:b/>
          <w:color w:val="auto"/>
          <w:sz w:val="24"/>
          <w:szCs w:val="24"/>
          <w:highlight w:val="none"/>
        </w:rPr>
        <w:t>中标无效或中标结果无效</w:t>
      </w:r>
      <w:r>
        <w:rPr>
          <w:rFonts w:hint="eastAsia" w:ascii="宋体" w:hAnsi="宋体" w:eastAsia="宋体" w:cs="宋体"/>
          <w:color w:val="auto"/>
          <w:sz w:val="24"/>
          <w:szCs w:val="24"/>
          <w:highlight w:val="none"/>
        </w:rPr>
        <w:t>情形时，采购人可与排名下一位的中标候选人另行签订合同，或依法重新开展采购活动。</w:t>
      </w:r>
    </w:p>
    <w:p>
      <w:pPr>
        <w:pStyle w:val="8"/>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1167" w:name="_Toc9958"/>
      <w:bookmarkStart w:id="1168" w:name="_Toc26902"/>
      <w:bookmarkStart w:id="1169" w:name="_Toc8189"/>
      <w:bookmarkStart w:id="1170" w:name="_Toc23943"/>
      <w:bookmarkStart w:id="1171" w:name="_Toc2134"/>
      <w:bookmarkStart w:id="1172" w:name="_Toc4460"/>
      <w:bookmarkStart w:id="1173" w:name="_Toc8961"/>
      <w:bookmarkStart w:id="1174" w:name="_Toc11467"/>
      <w:bookmarkStart w:id="1175" w:name="_Toc15044"/>
      <w:bookmarkStart w:id="1176" w:name="_Toc17960"/>
      <w:bookmarkStart w:id="1177" w:name="_Toc20950"/>
      <w:bookmarkStart w:id="1178" w:name="_Toc11471"/>
      <w:bookmarkStart w:id="1179" w:name="_Toc18856"/>
      <w:bookmarkStart w:id="1180" w:name="_Toc14080"/>
      <w:bookmarkStart w:id="1181" w:name="_Toc15360"/>
      <w:bookmarkStart w:id="1182" w:name="_Toc21692"/>
      <w:bookmarkStart w:id="1183" w:name="_Toc4849"/>
      <w:bookmarkStart w:id="1184" w:name="_Toc22555"/>
      <w:bookmarkStart w:id="1185" w:name="_Toc32530"/>
      <w:bookmarkStart w:id="1186" w:name="_Toc15498"/>
      <w:bookmarkStart w:id="1187" w:name="_Toc8861"/>
      <w:bookmarkStart w:id="1188" w:name="_Toc16243"/>
      <w:bookmarkStart w:id="1189" w:name="_Toc10991"/>
      <w:bookmarkStart w:id="1190" w:name="_Toc16092"/>
      <w:bookmarkStart w:id="1191" w:name="_Toc32131"/>
      <w:bookmarkStart w:id="1192" w:name="_Toc28788"/>
      <w:bookmarkStart w:id="1193" w:name="_Toc515647793"/>
      <w:bookmarkStart w:id="1194" w:name="_Toc15755"/>
      <w:bookmarkStart w:id="1195" w:name="_Toc31991"/>
      <w:bookmarkStart w:id="1196" w:name="_Toc20383"/>
      <w:bookmarkStart w:id="1197" w:name="_Toc11387"/>
      <w:bookmarkStart w:id="1198" w:name="_Toc13252"/>
      <w:bookmarkStart w:id="1199" w:name="_Toc12084"/>
      <w:bookmarkStart w:id="1200" w:name="_Toc9468"/>
      <w:bookmarkStart w:id="1201" w:name="_Toc27610"/>
      <w:bookmarkStart w:id="1202" w:name="_Toc12527"/>
      <w:bookmarkStart w:id="1203" w:name="_Toc8801"/>
      <w:r>
        <w:rPr>
          <w:rFonts w:hint="eastAsia" w:ascii="宋体" w:hAnsi="宋体" w:eastAsia="宋体" w:cs="宋体"/>
          <w:b/>
          <w:bCs/>
          <w:color w:val="auto"/>
          <w:sz w:val="24"/>
          <w:szCs w:val="24"/>
          <w:highlight w:val="none"/>
          <w:u w:val="none"/>
        </w:rPr>
        <w:t>履约保证金</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中标人应按照</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规定向采购人缴纳履约保证金。</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31.2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政府采购利用担保试点范围内的项目，除31.1规定的情形外，中标人也可以按照财政部门的规定，向采购人提供合格的履约担</w:t>
      </w:r>
      <w:r>
        <w:rPr>
          <w:rFonts w:hint="eastAsia" w:ascii="宋体" w:hAnsi="宋体" w:eastAsia="宋体" w:cs="宋体"/>
          <w:color w:val="auto"/>
          <w:sz w:val="24"/>
          <w:szCs w:val="24"/>
          <w:highlight w:val="none"/>
          <w:lang w:eastAsia="zh-CN"/>
        </w:rPr>
        <w:t>开户行银行保函。</w:t>
      </w:r>
    </w:p>
    <w:p>
      <w:pPr>
        <w:pStyle w:val="8"/>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1204" w:name="_Toc1705"/>
      <w:bookmarkStart w:id="1205" w:name="_Toc13155"/>
      <w:bookmarkStart w:id="1206" w:name="_Toc16406"/>
      <w:bookmarkStart w:id="1207" w:name="_Toc23942"/>
      <w:bookmarkStart w:id="1208" w:name="_Toc5844"/>
      <w:bookmarkStart w:id="1209" w:name="_Toc3090"/>
      <w:bookmarkStart w:id="1210" w:name="_Toc21835"/>
      <w:bookmarkStart w:id="1211" w:name="_Toc14539"/>
      <w:bookmarkStart w:id="1212" w:name="_Toc9993"/>
      <w:bookmarkStart w:id="1213" w:name="_Toc21246"/>
      <w:bookmarkStart w:id="1214" w:name="_Toc14040"/>
      <w:bookmarkStart w:id="1215" w:name="_Toc29408"/>
      <w:bookmarkStart w:id="1216" w:name="_Toc18923"/>
      <w:bookmarkStart w:id="1217" w:name="_Toc26497"/>
      <w:bookmarkStart w:id="1218" w:name="_Toc9967"/>
      <w:bookmarkStart w:id="1219" w:name="_Toc8906"/>
      <w:bookmarkStart w:id="1220" w:name="_Toc31301"/>
      <w:bookmarkStart w:id="1221" w:name="_Toc2482"/>
      <w:bookmarkStart w:id="1222" w:name="_Toc20540"/>
      <w:bookmarkStart w:id="1223" w:name="_Toc17462"/>
      <w:bookmarkStart w:id="1224" w:name="_Toc13043"/>
      <w:bookmarkStart w:id="1225" w:name="_Toc28707"/>
      <w:bookmarkStart w:id="1226" w:name="_Toc25561"/>
      <w:bookmarkStart w:id="1227" w:name="_Toc25385"/>
      <w:bookmarkStart w:id="1228" w:name="_Toc24979"/>
      <w:bookmarkStart w:id="1229" w:name="_Toc32618"/>
      <w:bookmarkStart w:id="1230" w:name="_Toc31793"/>
      <w:bookmarkStart w:id="1231" w:name="_Toc20390"/>
      <w:bookmarkStart w:id="1232" w:name="_Toc17128"/>
      <w:bookmarkStart w:id="1233" w:name="_Toc1144"/>
      <w:bookmarkStart w:id="1234" w:name="_Toc17827"/>
      <w:bookmarkStart w:id="1235" w:name="_Toc15314"/>
      <w:bookmarkStart w:id="1236" w:name="_Toc13048"/>
      <w:bookmarkStart w:id="1237" w:name="_Toc24711"/>
      <w:bookmarkStart w:id="1238" w:name="_Toc515647794"/>
      <w:bookmarkStart w:id="1239" w:name="_Toc5208"/>
      <w:bookmarkStart w:id="1240" w:name="_Toc17256"/>
      <w:r>
        <w:rPr>
          <w:rFonts w:hint="eastAsia" w:ascii="宋体" w:hAnsi="宋体" w:eastAsia="宋体" w:cs="宋体"/>
          <w:b/>
          <w:bCs/>
          <w:color w:val="auto"/>
          <w:sz w:val="24"/>
          <w:szCs w:val="24"/>
          <w:highlight w:val="none"/>
          <w:u w:val="none"/>
        </w:rPr>
        <w:t>中标服务费</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ageBreakBefore w:val="0"/>
        <w:widowControl w:val="0"/>
        <w:kinsoku/>
        <w:wordWrap/>
        <w:overflowPunct/>
        <w:topLinePunct w:val="0"/>
        <w:bidi w:val="0"/>
        <w:spacing w:line="360" w:lineRule="exact"/>
        <w:ind w:left="420" w:leftChars="0" w:hanging="420" w:hanging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中标人须按照</w:t>
      </w:r>
      <w:r>
        <w:rPr>
          <w:rFonts w:hint="eastAsia" w:ascii="宋体" w:hAnsi="宋体" w:eastAsia="宋体" w:cs="宋体"/>
          <w:color w:val="auto"/>
          <w:sz w:val="24"/>
          <w:szCs w:val="24"/>
          <w:highlight w:val="none"/>
          <w:u w:val="single"/>
        </w:rPr>
        <w:t>投标须知资料表</w:t>
      </w:r>
      <w:r>
        <w:rPr>
          <w:rFonts w:hint="eastAsia" w:ascii="宋体" w:hAnsi="宋体" w:eastAsia="宋体" w:cs="宋体"/>
          <w:color w:val="auto"/>
          <w:sz w:val="24"/>
          <w:szCs w:val="24"/>
          <w:highlight w:val="none"/>
        </w:rPr>
        <w:t>规定，向采购代理机构支付中标服务费。</w:t>
      </w:r>
    </w:p>
    <w:p>
      <w:pPr>
        <w:pStyle w:val="8"/>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1241" w:name="_Toc515647795"/>
      <w:bookmarkStart w:id="1242" w:name="_Toc28372"/>
      <w:bookmarkStart w:id="1243" w:name="_Toc9761"/>
      <w:bookmarkStart w:id="1244" w:name="_Toc8477"/>
      <w:bookmarkStart w:id="1245" w:name="_Toc3437"/>
      <w:bookmarkStart w:id="1246" w:name="_Toc20295"/>
      <w:bookmarkStart w:id="1247" w:name="_Toc6923"/>
      <w:bookmarkStart w:id="1248" w:name="_Toc19291"/>
      <w:bookmarkStart w:id="1249" w:name="_Toc10747"/>
      <w:bookmarkStart w:id="1250" w:name="_Toc7158"/>
      <w:bookmarkStart w:id="1251" w:name="_Toc365"/>
      <w:bookmarkStart w:id="1252" w:name="_Toc17048"/>
      <w:bookmarkStart w:id="1253" w:name="_Toc10756"/>
      <w:bookmarkStart w:id="1254" w:name="_Toc3053"/>
      <w:bookmarkStart w:id="1255" w:name="_Toc25863"/>
      <w:bookmarkStart w:id="1256" w:name="_Toc31379"/>
      <w:bookmarkStart w:id="1257" w:name="_Toc23658"/>
      <w:bookmarkStart w:id="1258" w:name="_Toc3584"/>
      <w:bookmarkStart w:id="1259" w:name="_Toc4947"/>
      <w:bookmarkStart w:id="1260" w:name="_Toc21933"/>
      <w:bookmarkStart w:id="1261" w:name="_Toc26840"/>
      <w:bookmarkStart w:id="1262" w:name="_Toc7265"/>
      <w:bookmarkStart w:id="1263" w:name="_Toc14036"/>
      <w:bookmarkStart w:id="1264" w:name="_Toc25076"/>
      <w:bookmarkStart w:id="1265" w:name="_Toc20843"/>
      <w:bookmarkStart w:id="1266" w:name="_Toc9070"/>
      <w:bookmarkStart w:id="1267" w:name="_Toc29651"/>
      <w:bookmarkStart w:id="1268" w:name="_Toc23477"/>
      <w:bookmarkStart w:id="1269" w:name="_Toc29584"/>
      <w:bookmarkStart w:id="1270" w:name="_Toc23778"/>
      <w:bookmarkStart w:id="1271" w:name="_Toc7049"/>
      <w:bookmarkStart w:id="1272" w:name="_Toc14969"/>
      <w:bookmarkStart w:id="1273" w:name="_Toc2419"/>
      <w:bookmarkStart w:id="1274" w:name="_Toc24525"/>
      <w:bookmarkStart w:id="1275" w:name="_Toc23330"/>
      <w:bookmarkStart w:id="1276" w:name="_Toc16900"/>
      <w:bookmarkStart w:id="1277" w:name="_Toc13676"/>
      <w:r>
        <w:rPr>
          <w:rFonts w:hint="eastAsia" w:ascii="宋体" w:hAnsi="宋体" w:eastAsia="宋体" w:cs="宋体"/>
          <w:b/>
          <w:bCs/>
          <w:color w:val="auto"/>
          <w:sz w:val="24"/>
          <w:szCs w:val="24"/>
          <w:highlight w:val="none"/>
          <w:u w:val="none"/>
        </w:rPr>
        <w:t>政府采购信用担保</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   本项目是否属于信用担保试点范围见</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w:t>
      </w:r>
    </w:p>
    <w:p>
      <w:pPr>
        <w:pageBreakBefore w:val="0"/>
        <w:widowControl w:val="0"/>
        <w:kinsoku/>
        <w:wordWrap/>
        <w:overflowPunct/>
        <w:topLinePunct w:val="0"/>
        <w:bidi w:val="0"/>
        <w:spacing w:line="360" w:lineRule="exact"/>
        <w:ind w:left="849" w:leftChars="0" w:hanging="849" w:hangingChars="35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33.2   如属于政府采购信用担保试点范围内，中小型企业</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可以自由按照财政部门的规定，采用投标担保、履约担保和融资担保。</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33.2.1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递交的投标担</w:t>
      </w:r>
      <w:r>
        <w:rPr>
          <w:rFonts w:hint="eastAsia" w:ascii="宋体" w:hAnsi="宋体" w:eastAsia="宋体" w:cs="宋体"/>
          <w:color w:val="auto"/>
          <w:sz w:val="24"/>
          <w:szCs w:val="24"/>
          <w:highlight w:val="none"/>
          <w:lang w:eastAsia="zh-CN"/>
        </w:rPr>
        <w:t>开户行银行保函</w:t>
      </w:r>
      <w:r>
        <w:rPr>
          <w:rFonts w:hint="eastAsia" w:ascii="宋体" w:hAnsi="宋体" w:eastAsia="宋体" w:cs="宋体"/>
          <w:color w:val="auto"/>
          <w:sz w:val="24"/>
          <w:szCs w:val="24"/>
          <w:highlight w:val="none"/>
        </w:rPr>
        <w:t>和履约担</w:t>
      </w:r>
      <w:r>
        <w:rPr>
          <w:rFonts w:hint="eastAsia" w:ascii="宋体" w:hAnsi="宋体" w:eastAsia="宋体" w:cs="宋体"/>
          <w:color w:val="auto"/>
          <w:sz w:val="24"/>
          <w:szCs w:val="24"/>
          <w:highlight w:val="none"/>
          <w:lang w:eastAsia="zh-CN"/>
        </w:rPr>
        <w:t>开户行银行保函</w:t>
      </w:r>
      <w:r>
        <w:rPr>
          <w:rFonts w:hint="eastAsia" w:ascii="宋体" w:hAnsi="宋体" w:eastAsia="宋体" w:cs="宋体"/>
          <w:color w:val="auto"/>
          <w:sz w:val="24"/>
          <w:szCs w:val="24"/>
          <w:highlight w:val="none"/>
        </w:rPr>
        <w:t>应符合本招标文件的规定。</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33.2.2 中标人可以采取融资担保的形式为政府采购项目履约进行融资。</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33.2.3 合格的政府采购专业信用担保机构名单见</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w:t>
      </w:r>
    </w:p>
    <w:p>
      <w:pPr>
        <w:pStyle w:val="8"/>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1278" w:name="_Toc14728"/>
      <w:bookmarkStart w:id="1279" w:name="_Toc3616"/>
      <w:bookmarkStart w:id="1280" w:name="_Toc20655"/>
      <w:bookmarkStart w:id="1281" w:name="_Toc27009"/>
      <w:bookmarkStart w:id="1282" w:name="_Toc23999"/>
      <w:bookmarkStart w:id="1283" w:name="_Toc5770"/>
      <w:bookmarkStart w:id="1284" w:name="_Toc8202"/>
      <w:bookmarkStart w:id="1285" w:name="_Toc11707"/>
      <w:bookmarkStart w:id="1286" w:name="_Toc24863"/>
      <w:bookmarkStart w:id="1287" w:name="_Toc515647796"/>
      <w:bookmarkStart w:id="1288" w:name="_Toc2133"/>
      <w:bookmarkStart w:id="1289" w:name="_Toc18927"/>
      <w:bookmarkStart w:id="1290" w:name="_Toc31425"/>
      <w:bookmarkStart w:id="1291" w:name="_Toc23161"/>
      <w:bookmarkStart w:id="1292" w:name="_Toc7459"/>
      <w:bookmarkStart w:id="1293" w:name="_Toc24233"/>
      <w:bookmarkStart w:id="1294" w:name="_Toc32379"/>
      <w:bookmarkStart w:id="1295" w:name="_Toc18954"/>
      <w:bookmarkStart w:id="1296" w:name="_Toc13758"/>
      <w:bookmarkStart w:id="1297" w:name="_Toc764"/>
      <w:bookmarkStart w:id="1298" w:name="_Toc5750"/>
      <w:bookmarkStart w:id="1299" w:name="_Toc29108"/>
      <w:bookmarkStart w:id="1300" w:name="_Toc22695"/>
      <w:bookmarkStart w:id="1301" w:name="_Toc3826"/>
      <w:bookmarkStart w:id="1302" w:name="_Toc22315"/>
      <w:bookmarkStart w:id="1303" w:name="_Toc12158"/>
      <w:bookmarkStart w:id="1304" w:name="_Toc5262"/>
      <w:bookmarkStart w:id="1305" w:name="_Toc28718"/>
      <w:bookmarkStart w:id="1306" w:name="_Toc3656"/>
      <w:bookmarkStart w:id="1307" w:name="_Toc24750"/>
      <w:bookmarkStart w:id="1308" w:name="_Toc11013"/>
      <w:bookmarkStart w:id="1309" w:name="_Toc8424"/>
      <w:bookmarkStart w:id="1310" w:name="_Toc31178"/>
      <w:bookmarkStart w:id="1311" w:name="_Toc14437"/>
      <w:bookmarkStart w:id="1312" w:name="_Toc3713"/>
      <w:bookmarkStart w:id="1313" w:name="_Toc11552"/>
      <w:bookmarkStart w:id="1314" w:name="_Toc25791"/>
      <w:r>
        <w:rPr>
          <w:rFonts w:hint="eastAsia" w:ascii="宋体" w:hAnsi="宋体" w:eastAsia="宋体" w:cs="宋体"/>
          <w:b/>
          <w:bCs/>
          <w:color w:val="auto"/>
          <w:sz w:val="24"/>
          <w:szCs w:val="24"/>
          <w:highlight w:val="none"/>
          <w:u w:val="none"/>
        </w:rPr>
        <w:t>廉洁自律规定</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34.1   采购代理机构工作人员不得以不正当手段获取政府采购代理业务，不得与采购人、供应商恶意串通操纵政府采购活动。</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34.2   采购代理机构工作人员不得接受采购人或者供应商组织的宴请、旅游、娱乐，不得收受礼品、现金、有价证券等，不得向采购人或者供应商报销应当由个人承担的费用。</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34.3   为强化采购代理机构内部监督机制，供应商可按</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须知资料表中的</w:t>
      </w:r>
      <w:r>
        <w:rPr>
          <w:rFonts w:hint="eastAsia" w:ascii="宋体" w:hAnsi="宋体" w:eastAsia="宋体" w:cs="宋体"/>
          <w:color w:val="auto"/>
          <w:sz w:val="24"/>
          <w:szCs w:val="24"/>
          <w:highlight w:val="none"/>
        </w:rPr>
        <w:t>监督电话和邮箱，反映采购代理机构的廉洁自律等问题。</w:t>
      </w:r>
    </w:p>
    <w:p>
      <w:pPr>
        <w:pStyle w:val="8"/>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1315" w:name="_Toc4246"/>
      <w:bookmarkStart w:id="1316" w:name="_Toc29828"/>
      <w:bookmarkStart w:id="1317" w:name="_Toc18277"/>
      <w:bookmarkStart w:id="1318" w:name="_Toc5448"/>
      <w:bookmarkStart w:id="1319" w:name="_Toc3319"/>
      <w:bookmarkStart w:id="1320" w:name="_Toc27891"/>
      <w:bookmarkStart w:id="1321" w:name="_Toc5069"/>
      <w:bookmarkStart w:id="1322" w:name="_Toc515647797"/>
      <w:bookmarkStart w:id="1323" w:name="_Toc17682"/>
      <w:bookmarkStart w:id="1324" w:name="_Toc31630"/>
      <w:bookmarkStart w:id="1325" w:name="_Toc29594"/>
      <w:bookmarkStart w:id="1326" w:name="_Toc25035"/>
      <w:bookmarkStart w:id="1327" w:name="_Toc19338"/>
      <w:bookmarkStart w:id="1328" w:name="_Toc27794"/>
      <w:bookmarkStart w:id="1329" w:name="_Toc26928"/>
      <w:bookmarkStart w:id="1330" w:name="_Toc29018"/>
      <w:bookmarkStart w:id="1331" w:name="_Toc12422"/>
      <w:bookmarkStart w:id="1332" w:name="_Toc15644"/>
      <w:bookmarkStart w:id="1333" w:name="_Toc11586"/>
      <w:bookmarkStart w:id="1334" w:name="_Toc27260"/>
      <w:bookmarkStart w:id="1335" w:name="_Toc22094"/>
      <w:bookmarkStart w:id="1336" w:name="_Toc30045"/>
      <w:bookmarkStart w:id="1337" w:name="_Toc25480"/>
      <w:bookmarkStart w:id="1338" w:name="_Toc4757"/>
      <w:bookmarkStart w:id="1339" w:name="_Toc17079"/>
      <w:bookmarkStart w:id="1340" w:name="_Toc4826"/>
      <w:bookmarkStart w:id="1341" w:name="_Toc30009"/>
      <w:bookmarkStart w:id="1342" w:name="_Toc23695"/>
      <w:bookmarkStart w:id="1343" w:name="_Toc1766"/>
      <w:bookmarkStart w:id="1344" w:name="_Toc6587"/>
      <w:bookmarkStart w:id="1345" w:name="_Toc17124"/>
      <w:bookmarkStart w:id="1346" w:name="_Toc20945"/>
      <w:bookmarkStart w:id="1347" w:name="_Toc8758"/>
      <w:bookmarkStart w:id="1348" w:name="_Toc6028"/>
      <w:bookmarkStart w:id="1349" w:name="_Toc23126"/>
      <w:bookmarkStart w:id="1350" w:name="_Toc18847"/>
      <w:bookmarkStart w:id="1351" w:name="_Toc13267"/>
      <w:r>
        <w:rPr>
          <w:rFonts w:hint="eastAsia" w:ascii="宋体" w:hAnsi="宋体" w:eastAsia="宋体" w:cs="宋体"/>
          <w:b/>
          <w:bCs/>
          <w:color w:val="auto"/>
          <w:sz w:val="24"/>
          <w:szCs w:val="24"/>
          <w:highlight w:val="none"/>
          <w:u w:val="none"/>
        </w:rPr>
        <w:t>人员回避</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认为采购人员及其相关人员有法律法规所列与其他供应商有利害关系的，可以向采购人或采购代理机构书面提出回避申请，并说明理由。</w:t>
      </w:r>
    </w:p>
    <w:p>
      <w:pPr>
        <w:pStyle w:val="8"/>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1352" w:name="_Toc8468"/>
      <w:bookmarkStart w:id="1353" w:name="_Toc11971"/>
      <w:bookmarkStart w:id="1354" w:name="_Toc22831"/>
      <w:bookmarkStart w:id="1355" w:name="_Toc1324"/>
      <w:bookmarkStart w:id="1356" w:name="_Toc12457"/>
      <w:bookmarkStart w:id="1357" w:name="_Toc1948"/>
      <w:bookmarkStart w:id="1358" w:name="_Toc834"/>
      <w:bookmarkStart w:id="1359" w:name="_Toc8379"/>
      <w:bookmarkStart w:id="1360" w:name="_Toc6387"/>
      <w:bookmarkStart w:id="1361" w:name="_Toc14457"/>
      <w:bookmarkStart w:id="1362" w:name="_Toc14091"/>
      <w:bookmarkStart w:id="1363" w:name="_Toc6634"/>
      <w:bookmarkStart w:id="1364" w:name="_Toc12470"/>
      <w:bookmarkStart w:id="1365" w:name="_Toc9357"/>
      <w:bookmarkStart w:id="1366" w:name="_Toc12727"/>
      <w:bookmarkStart w:id="1367" w:name="_Toc3910"/>
      <w:bookmarkStart w:id="1368" w:name="_Toc1162"/>
      <w:bookmarkStart w:id="1369" w:name="_Toc7870"/>
      <w:bookmarkStart w:id="1370" w:name="_Toc2364"/>
      <w:bookmarkStart w:id="1371" w:name="_Toc27421"/>
      <w:bookmarkStart w:id="1372" w:name="_Toc427"/>
      <w:bookmarkStart w:id="1373" w:name="_Toc25174"/>
      <w:bookmarkStart w:id="1374" w:name="_Toc27328"/>
      <w:bookmarkStart w:id="1375" w:name="_Toc21912"/>
      <w:bookmarkStart w:id="1376" w:name="_Toc12880"/>
      <w:bookmarkStart w:id="1377" w:name="_Toc14894"/>
      <w:bookmarkStart w:id="1378" w:name="_Toc15630"/>
      <w:bookmarkStart w:id="1379" w:name="_Toc21708"/>
      <w:bookmarkStart w:id="1380" w:name="_Toc20538"/>
      <w:bookmarkStart w:id="1381" w:name="_Toc8352"/>
      <w:bookmarkStart w:id="1382" w:name="_Toc30943"/>
      <w:bookmarkStart w:id="1383" w:name="_Toc21226"/>
      <w:bookmarkStart w:id="1384" w:name="_Toc18056"/>
      <w:r>
        <w:rPr>
          <w:rFonts w:hint="eastAsia" w:ascii="宋体" w:hAnsi="宋体" w:eastAsia="宋体" w:cs="宋体"/>
          <w:b/>
          <w:bCs/>
          <w:color w:val="auto"/>
          <w:sz w:val="24"/>
          <w:szCs w:val="24"/>
          <w:highlight w:val="none"/>
          <w:u w:val="none"/>
        </w:rPr>
        <w:t>质疑与接收</w:t>
      </w:r>
      <w:bookmarkEnd w:id="25"/>
      <w:bookmarkEnd w:id="26"/>
      <w:bookmarkEnd w:id="27"/>
      <w:bookmarkEnd w:id="28"/>
      <w:bookmarkEnd w:id="29"/>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ageBreakBefore w:val="0"/>
        <w:widowControl w:val="0"/>
        <w:kinsoku/>
        <w:wordWrap/>
        <w:overflowPunct/>
        <w:topLinePunct w:val="0"/>
        <w:bidi w:val="0"/>
        <w:spacing w:line="360" w:lineRule="exact"/>
        <w:ind w:left="720" w:leftChars="0" w:hanging="720" w:hanging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  供应商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pStyle w:val="38"/>
        <w:pageBreakBefore w:val="0"/>
        <w:widowControl w:val="0"/>
        <w:kinsoku/>
        <w:wordWrap/>
        <w:overflowPunct/>
        <w:topLinePunct w:val="0"/>
        <w:bidi w:val="0"/>
        <w:spacing w:line="360" w:lineRule="exact"/>
        <w:ind w:left="720" w:leftChars="0" w:hanging="720" w:hanging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36.2  供应商对本项目提出质疑，必须按照相关法律法规的要求和程序，提供的质疑材料必须具备事实依据和法律依据。质疑函应当包含具体的质疑事项及事实依据，不得进行虚假及恶意质疑，如所提供的质疑材料出现恶意诋毁或与事实不符等现象，我公司将该企业的行为上报相应主管部门。</w:t>
      </w:r>
    </w:p>
    <w:p>
      <w:pPr>
        <w:pStyle w:val="38"/>
        <w:pageBreakBefore w:val="0"/>
        <w:widowControl w:val="0"/>
        <w:kinsoku/>
        <w:wordWrap/>
        <w:overflowPunct/>
        <w:topLinePunct w:val="0"/>
        <w:bidi w:val="0"/>
        <w:spacing w:line="360" w:lineRule="exact"/>
        <w:ind w:left="720" w:leftChars="0" w:hanging="720" w:hanging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36.3  投诉的事项应当包含投诉的请求和法律依据，投诉的事项不得超出所质疑事项的范围。投诉人有捏造事实、提供虚假材料、以非法手段取得证明材料的行为之一的，属于虚假、恶意投诉，由财政部门列入不良行为记录名单，禁止其1至3年内参加政府采购活动。证据来源的合法性存在明显疑问，投诉人无法证明其取得方式合法的，视为以非法手段取得证明材料。</w:t>
      </w:r>
    </w:p>
    <w:p>
      <w:pPr>
        <w:pageBreakBefore w:val="0"/>
        <w:widowControl w:val="0"/>
        <w:kinsoku/>
        <w:wordWrap/>
        <w:overflowPunct/>
        <w:topLinePunct w:val="0"/>
        <w:bidi w:val="0"/>
        <w:spacing w:line="360" w:lineRule="exact"/>
        <w:ind w:left="720" w:leftChars="0" w:hanging="720" w:hanging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36.4 质疑供应商应按照财政部制定的《政府采购质疑函范本》格式（可从财政部官方网站下载）和《政府采购质疑和投诉办法》的要求，在法定质疑期内以纸质形式提出质疑，针对同一采购程序环节的质疑应一次性提出。超出法定质疑期的、重复提出的、分次提出的或内容、形式不符合《政府采购质疑和投诉办法》的，质疑供应商将依法承担不利后果。</w:t>
      </w:r>
    </w:p>
    <w:p>
      <w:pPr>
        <w:pageBreakBefore w:val="0"/>
        <w:widowControl w:val="0"/>
        <w:kinsoku/>
        <w:wordWrap/>
        <w:overflowPunct/>
        <w:topLinePunct w:val="0"/>
        <w:bidi w:val="0"/>
        <w:spacing w:line="360" w:lineRule="exact"/>
        <w:ind w:left="720" w:leftChars="0" w:hanging="720" w:hanging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36.5  采购代理机构质疑函接收部门、联系电话和通讯地址, 见</w:t>
      </w:r>
      <w:r>
        <w:rPr>
          <w:rFonts w:hint="eastAsia" w:ascii="宋体" w:hAnsi="宋体" w:eastAsia="宋体" w:cs="宋体"/>
          <w:color w:val="auto"/>
          <w:sz w:val="24"/>
          <w:szCs w:val="24"/>
          <w:highlight w:val="none"/>
          <w:u w:val="single"/>
        </w:rPr>
        <w:t>供应商须知资料表。</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36.6   供应商认为采购文件、采购过程和中标结果使自己的权益受到损害的，可以在知道或者应知其权益受到损害之日起7个工作日内，以书面形式向采购方提出质疑。供应商应知其权益受到损害之日，是指：</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（一）对可以质疑的采购文件提出质疑的，为收到采购文件之日或者采购文件公告期限届满之日；</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（二）对采购过程提出质疑的，为各采购程序环节结束之日；</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（三）对中标结果提出质疑的，为中标结果公告期限届满之日。</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rPr>
        <w:t xml:space="preserve">36.7   </w:t>
      </w:r>
      <w:r>
        <w:rPr>
          <w:rFonts w:hint="eastAsia" w:ascii="宋体" w:hAnsi="宋体" w:eastAsia="宋体" w:cs="宋体"/>
          <w:b w:val="0"/>
          <w:bCs w:val="0"/>
          <w:color w:val="auto"/>
          <w:sz w:val="24"/>
          <w:szCs w:val="24"/>
          <w:highlight w:val="none"/>
          <w:lang w:val="en-US" w:eastAsia="zh-CN"/>
        </w:rPr>
        <w:t>供应商有权提出一次质疑，不能多次提出。</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lang w:val="en-US" w:eastAsia="zh-CN"/>
        </w:rPr>
        <w:t xml:space="preserve">36.8   </w:t>
      </w:r>
      <w:r>
        <w:rPr>
          <w:rFonts w:hint="eastAsia" w:ascii="宋体" w:hAnsi="宋体" w:eastAsia="宋体" w:cs="宋体"/>
          <w:b w:val="0"/>
          <w:bCs w:val="0"/>
          <w:color w:val="auto"/>
          <w:sz w:val="24"/>
          <w:szCs w:val="24"/>
          <w:highlight w:val="none"/>
        </w:rPr>
        <w:t>对可以质</w:t>
      </w:r>
      <w:r>
        <w:rPr>
          <w:rFonts w:hint="eastAsia" w:ascii="宋体" w:hAnsi="宋体" w:eastAsia="宋体" w:cs="宋体"/>
          <w:color w:val="auto"/>
          <w:sz w:val="24"/>
          <w:szCs w:val="24"/>
          <w:highlight w:val="none"/>
        </w:rPr>
        <w:t>疑的采购文件提出质疑的，质疑人为参与本项目的报价方或潜在报价方。可质疑的文件为采购公告以及采购文件（包括属于其组成部分的澄清、修改、补充文件和评审标准、合同文本等）。</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 xml:space="preserve">  对采购过程和中标结果提出质疑的，质疑人为直接参与本项目的报价方。采购过程,即从采购项目信息公告发布起到中标结果公告止，包括采购文件的发出、提交</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开启、评审等各个采购程序环节。</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 xml:space="preserve">  提出质疑应当符合下列条件：</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（一）质疑主体应当符合有关规定；</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（二）在质疑法定期限内提出；</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（三）属于可以提出质疑的政府采购事项受理范围和本项目采购人的管辖权范围；</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（四）政府采购法律、法规、规章规定的其他条件。</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w:t>
      </w: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rPr>
        <w:t xml:space="preserve">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 xml:space="preserve">  质疑人所提供的证明材料应当具有真实性、合法性以及与质疑事项的关联性和证明力，否则不能作为认定该质疑事项成立的依据。</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w:t>
      </w:r>
      <w:r>
        <w:rPr>
          <w:rFonts w:hint="eastAsia" w:ascii="宋体" w:hAnsi="宋体" w:eastAsia="宋体" w:cs="宋体"/>
          <w:color w:val="auto"/>
          <w:sz w:val="24"/>
          <w:szCs w:val="24"/>
          <w:highlight w:val="none"/>
          <w:lang w:val="en-US" w:eastAsia="zh-CN"/>
        </w:rPr>
        <w:t>13</w:t>
      </w:r>
      <w:r>
        <w:rPr>
          <w:rFonts w:hint="eastAsia" w:ascii="宋体" w:hAnsi="宋体" w:eastAsia="宋体" w:cs="宋体"/>
          <w:color w:val="auto"/>
          <w:sz w:val="24"/>
          <w:szCs w:val="24"/>
          <w:highlight w:val="none"/>
        </w:rPr>
        <w:t xml:space="preserve"> 质疑人提出质疑时应当提交质疑函。质疑函包括下列内容：</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（一）提出质疑的质疑人的名称、地址、邮编、联系人及联系电话等；</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（二）质疑项目的名称、编号；</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（三）质疑事项；</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（四）事实依据和证明材料；</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（五）法律依据；</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（六）提出质疑的日期。</w:t>
      </w:r>
    </w:p>
    <w:p>
      <w:pPr>
        <w:pageBreakBefore w:val="0"/>
        <w:widowControl w:val="0"/>
        <w:kinsoku/>
        <w:wordWrap/>
        <w:overflowPunct/>
        <w:topLinePunct w:val="0"/>
        <w:bidi w:val="0"/>
        <w:spacing w:line="360" w:lineRule="exact"/>
        <w:ind w:left="718" w:leftChars="342"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质疑函采用实名制。质疑人为自然人的应当由本人签字，并附有效身份证明文件；质疑人为法人或者非法人组织的应当由法定代表人或者负责人签字并加盖公章，并附有效身份证明文件。</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w:t>
      </w:r>
      <w:r>
        <w:rPr>
          <w:rFonts w:hint="eastAsia" w:ascii="宋体" w:hAnsi="宋体" w:eastAsia="宋体" w:cs="宋体"/>
          <w:color w:val="auto"/>
          <w:sz w:val="24"/>
          <w:szCs w:val="24"/>
          <w:highlight w:val="none"/>
          <w:lang w:val="en-US" w:eastAsia="zh-CN"/>
        </w:rPr>
        <w:t>14</w:t>
      </w:r>
      <w:r>
        <w:rPr>
          <w:rFonts w:hint="eastAsia" w:ascii="宋体" w:hAnsi="宋体" w:eastAsia="宋体" w:cs="宋体"/>
          <w:color w:val="auto"/>
          <w:sz w:val="24"/>
          <w:szCs w:val="24"/>
          <w:highlight w:val="none"/>
        </w:rPr>
        <w:t xml:space="preserve">  质疑人可以委托代理人进行质疑。代理人应当提交授权委托书。授权委托书应当载明委托代理的具体权限、期限和相关事项。</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质疑的审查和受理</w:t>
      </w:r>
    </w:p>
    <w:p>
      <w:pPr>
        <w:pageBreakBefore w:val="0"/>
        <w:widowControl w:val="0"/>
        <w:kinsoku/>
        <w:wordWrap/>
        <w:overflowPunct/>
        <w:topLinePunct w:val="0"/>
        <w:bidi w:val="0"/>
        <w:spacing w:line="360" w:lineRule="exact"/>
        <w:ind w:left="718" w:leftChars="342"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采购方在收到质疑函后应当及时审查是否符合质疑受理条件，对符合质疑受理条件的，及时予以受理。</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 xml:space="preserve">  对不符合质疑受理条件的，分别按照下列不同情形予以处理：</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（一）质疑函内容不符合规定的，告知质疑人进行修改并重新提出质疑。修改后质疑事项仍不具体、不明确或者最终递交质疑函的时间超过质疑法定期限的，不予受理；</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（二）质疑主体不符合有关规定的，告知质疑人不予受理；</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（三）超过质疑法定期限提出质疑的，告知质疑人不予受理；</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（四）对不属于可以提出质疑的政府采购事项提出质疑的，告知质疑人不予受理；</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（五）质疑不属于本项目采购方管辖的，告知质疑人向有管辖权的采购人提出质疑；</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（六）质疑不符合其他条件的，告知质疑人不予受理。</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 xml:space="preserve">  质疑的处理和答复</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 xml:space="preserve">  采购方受理质疑后，将及时把质疑函发送给被质疑人，并要求其在一定限期内提交书面答复，同时提供有关证据、依据和相关材料。</w:t>
      </w:r>
    </w:p>
    <w:p>
      <w:pPr>
        <w:pageBreakBefore w:val="0"/>
        <w:widowControl w:val="0"/>
        <w:kinsoku/>
        <w:wordWrap/>
        <w:overflowPunct/>
        <w:topLinePunct w:val="0"/>
        <w:bidi w:val="0"/>
        <w:spacing w:line="360" w:lineRule="exact"/>
        <w:ind w:left="960" w:leftChars="0" w:hanging="960" w:hangingChars="4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w:t>
      </w:r>
      <w:r>
        <w:rPr>
          <w:rFonts w:hint="eastAsia" w:ascii="宋体" w:hAnsi="宋体" w:eastAsia="宋体" w:cs="宋体"/>
          <w:color w:val="auto"/>
          <w:sz w:val="24"/>
          <w:szCs w:val="24"/>
          <w:highlight w:val="none"/>
          <w:lang w:val="en-US" w:eastAsia="zh-CN"/>
        </w:rPr>
        <w:t>19</w:t>
      </w:r>
      <w:r>
        <w:rPr>
          <w:rFonts w:hint="eastAsia" w:ascii="宋体" w:hAnsi="宋体" w:eastAsia="宋体" w:cs="宋体"/>
          <w:color w:val="auto"/>
          <w:sz w:val="24"/>
          <w:szCs w:val="24"/>
          <w:highlight w:val="none"/>
        </w:rPr>
        <w:t xml:space="preserve">  对于质疑事项中涉及的问题较多、情况比较复杂的，为了全面查清事实、取得充分的证据，采购方认为有必要时，可以进行调查取证或者组织质证。</w:t>
      </w:r>
    </w:p>
    <w:p>
      <w:pPr>
        <w:pageBreakBefore w:val="0"/>
        <w:widowControl w:val="0"/>
        <w:kinsoku/>
        <w:wordWrap/>
        <w:overflowPunct/>
        <w:topLinePunct w:val="0"/>
        <w:bidi w:val="0"/>
        <w:spacing w:line="360" w:lineRule="exact"/>
        <w:ind w:left="960" w:leftChars="0" w:hanging="960" w:hangingChars="4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 xml:space="preserve">  对评审过程、中标结果提出质疑的，采购方可以组织原评审委员会协助答复质疑。</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36.2</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 xml:space="preserve">  质疑处理过程中，质疑人书面申请撤回质疑的，将终止质疑处理程序。</w:t>
      </w:r>
    </w:p>
    <w:p>
      <w:pPr>
        <w:pageBreakBefore w:val="0"/>
        <w:widowControl w:val="0"/>
        <w:kinsoku/>
        <w:wordWrap/>
        <w:overflowPunct/>
        <w:topLinePunct w:val="0"/>
        <w:bidi w:val="0"/>
        <w:spacing w:line="360" w:lineRule="exact"/>
        <w:ind w:left="960" w:leftChars="0" w:hanging="960" w:hangingChars="4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 xml:space="preserve">  质疑人拒绝配合采购方依法对质疑进行调查处理的，采购方将按质疑人自动撤回质疑处理；被质疑人拒绝配合采购方依法对质疑进行调查处理的，采购方将视同其认可质疑事项。</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36.2</w:t>
      </w:r>
      <w:r>
        <w:rPr>
          <w:rFonts w:hint="eastAsia" w:ascii="宋体" w:hAnsi="宋体" w:eastAsia="宋体" w:cs="宋体"/>
          <w:color w:val="auto"/>
          <w:sz w:val="24"/>
          <w:szCs w:val="24"/>
          <w:highlight w:val="none"/>
          <w:lang w:val="en-US" w:eastAsia="zh-CN"/>
        </w:rPr>
        <w:t xml:space="preserve">3 </w:t>
      </w:r>
      <w:r>
        <w:rPr>
          <w:rFonts w:hint="eastAsia" w:ascii="宋体" w:hAnsi="宋体" w:eastAsia="宋体" w:cs="宋体"/>
          <w:color w:val="auto"/>
          <w:sz w:val="24"/>
          <w:szCs w:val="24"/>
          <w:highlight w:val="none"/>
        </w:rPr>
        <w:t xml:space="preserve"> 质疑人拒绝配合采购方依法对质疑进行调查处理的，采购方将按质疑人自动撤回质疑处理；被质疑人拒绝配合采购方依法对质疑进行调查处理的，采购方将视同其认可质疑事项。</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color w:val="auto"/>
          <w:sz w:val="24"/>
          <w:szCs w:val="24"/>
          <w:highlight w:val="none"/>
        </w:rPr>
        <w:t>36.2</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采购方将在正式受理质疑后7个工作日内作出答复。</w:t>
      </w:r>
      <w:r>
        <w:rPr>
          <w:rFonts w:hint="eastAsia" w:ascii="宋体" w:hAnsi="宋体" w:eastAsia="宋体" w:cs="宋体"/>
          <w:color w:val="auto"/>
          <w:sz w:val="24"/>
          <w:szCs w:val="24"/>
          <w:highlight w:val="none"/>
          <w:lang w:val="en-US" w:eastAsia="zh-CN"/>
        </w:rPr>
        <w:t xml:space="preserve"> </w:t>
      </w:r>
    </w:p>
    <w:p>
      <w:pPr>
        <w:pStyle w:val="38"/>
        <w:pageBreakBefore w:val="0"/>
        <w:widowControl w:val="0"/>
        <w:kinsoku/>
        <w:wordWrap/>
        <w:overflowPunct/>
        <w:topLinePunct w:val="0"/>
        <w:bidi w:val="0"/>
        <w:spacing w:line="36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质疑答复应当包括下列内容：</w:t>
      </w:r>
    </w:p>
    <w:p>
      <w:pPr>
        <w:pStyle w:val="38"/>
        <w:pageBreakBefore w:val="0"/>
        <w:widowControl w:val="0"/>
        <w:kinsoku/>
        <w:wordWrap/>
        <w:overflowPunct/>
        <w:topLinePunct w:val="0"/>
        <w:bidi w:val="0"/>
        <w:spacing w:line="36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（一）质疑人的姓名或者名称；</w:t>
      </w:r>
    </w:p>
    <w:p>
      <w:pPr>
        <w:pStyle w:val="38"/>
        <w:pageBreakBefore w:val="0"/>
        <w:widowControl w:val="0"/>
        <w:kinsoku/>
        <w:wordWrap/>
        <w:overflowPunct/>
        <w:topLinePunct w:val="0"/>
        <w:bidi w:val="0"/>
        <w:spacing w:line="36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（二）收到质疑函的日期、质疑项目名称及编号；</w:t>
      </w:r>
    </w:p>
    <w:p>
      <w:pPr>
        <w:pStyle w:val="38"/>
        <w:pageBreakBefore w:val="0"/>
        <w:widowControl w:val="0"/>
        <w:kinsoku/>
        <w:wordWrap/>
        <w:overflowPunct/>
        <w:topLinePunct w:val="0"/>
        <w:bidi w:val="0"/>
        <w:spacing w:line="36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（三）质疑事项、质疑答复的具体内容、事实依据和法律依据；</w:t>
      </w:r>
    </w:p>
    <w:p>
      <w:pPr>
        <w:pStyle w:val="38"/>
        <w:pageBreakBefore w:val="0"/>
        <w:widowControl w:val="0"/>
        <w:kinsoku/>
        <w:wordWrap/>
        <w:overflowPunct/>
        <w:topLinePunct w:val="0"/>
        <w:bidi w:val="0"/>
        <w:spacing w:line="36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（四）告知质疑供应商依法投诉的权利；</w:t>
      </w:r>
    </w:p>
    <w:p>
      <w:pPr>
        <w:pStyle w:val="38"/>
        <w:pageBreakBefore w:val="0"/>
        <w:widowControl w:val="0"/>
        <w:kinsoku/>
        <w:wordWrap/>
        <w:overflowPunct/>
        <w:topLinePunct w:val="0"/>
        <w:bidi w:val="0"/>
        <w:spacing w:line="36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（五）质疑答复人名称；</w:t>
      </w:r>
    </w:p>
    <w:p>
      <w:pPr>
        <w:pStyle w:val="38"/>
        <w:pageBreakBefore w:val="0"/>
        <w:widowControl w:val="0"/>
        <w:kinsoku/>
        <w:wordWrap/>
        <w:overflowPunct/>
        <w:topLinePunct w:val="0"/>
        <w:bidi w:val="0"/>
        <w:spacing w:line="360" w:lineRule="exact"/>
        <w:ind w:left="0" w:leftChars="0"/>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（六）答复质疑的日期。</w:t>
      </w:r>
    </w:p>
    <w:p>
      <w:pPr>
        <w:pageBreakBefore w:val="0"/>
        <w:kinsoku/>
        <w:wordWrap/>
        <w:overflowPunct/>
        <w:topLinePunct w:val="0"/>
        <w:bidi w:val="0"/>
        <w:spacing w:line="360" w:lineRule="exact"/>
        <w:ind w:left="0" w:leftChars="0"/>
        <w:jc w:val="center"/>
        <w:textAlignment w:val="auto"/>
        <w:outlineLvl w:val="2"/>
        <w:rPr>
          <w:rFonts w:hint="eastAsia" w:ascii="宋体" w:hAnsi="宋体" w:eastAsia="宋体" w:cs="宋体"/>
          <w:b/>
          <w:bCs/>
          <w:color w:val="auto"/>
          <w:sz w:val="24"/>
          <w:szCs w:val="24"/>
          <w:highlight w:val="none"/>
        </w:rPr>
      </w:pPr>
      <w:bookmarkStart w:id="1385" w:name="_Toc12088"/>
      <w:bookmarkStart w:id="1386" w:name="_Toc27146"/>
      <w:bookmarkStart w:id="1387" w:name="_Toc2072"/>
      <w:bookmarkStart w:id="1388" w:name="_Toc6493"/>
      <w:bookmarkStart w:id="1389" w:name="_Toc27883"/>
      <w:bookmarkStart w:id="1390" w:name="_Toc4981"/>
      <w:bookmarkStart w:id="1391" w:name="_Toc16553"/>
      <w:bookmarkStart w:id="1392" w:name="_Toc6881"/>
      <w:bookmarkStart w:id="1393" w:name="_Toc3696"/>
      <w:bookmarkStart w:id="1394" w:name="_Toc18518"/>
      <w:bookmarkStart w:id="1395" w:name="_Toc11973"/>
      <w:bookmarkStart w:id="1396" w:name="_Toc11297"/>
      <w:bookmarkStart w:id="1397" w:name="_Toc11228"/>
      <w:bookmarkStart w:id="1398" w:name="_Toc2799"/>
      <w:bookmarkStart w:id="1399" w:name="_Toc23411"/>
      <w:bookmarkStart w:id="1400" w:name="_Toc30855"/>
      <w:bookmarkStart w:id="1401" w:name="_Toc12256"/>
      <w:bookmarkStart w:id="1402" w:name="_Toc25636"/>
      <w:bookmarkStart w:id="1403" w:name="_Toc16652"/>
      <w:bookmarkStart w:id="1404" w:name="_Toc9437"/>
      <w:bookmarkStart w:id="1405" w:name="_Toc12874"/>
      <w:bookmarkStart w:id="1406" w:name="_Toc24946"/>
      <w:bookmarkStart w:id="1407" w:name="_Toc27112"/>
      <w:bookmarkStart w:id="1408" w:name="_Toc727"/>
      <w:bookmarkStart w:id="1409" w:name="_Toc2500"/>
      <w:bookmarkStart w:id="1410" w:name="_Toc27601"/>
      <w:bookmarkStart w:id="1411" w:name="_Toc30093"/>
      <w:bookmarkStart w:id="1412" w:name="_Toc8353"/>
      <w:bookmarkStart w:id="1413" w:name="_Toc27096"/>
      <w:bookmarkStart w:id="1414" w:name="_Toc22908"/>
      <w:bookmarkStart w:id="1415" w:name="_Toc22478"/>
      <w:bookmarkStart w:id="1416" w:name="_Toc21268"/>
      <w:bookmarkStart w:id="1417" w:name="_Toc1819"/>
      <w:bookmarkStart w:id="1418" w:name="_Toc1369"/>
      <w:bookmarkStart w:id="1419" w:name="_Toc23541"/>
      <w:bookmarkStart w:id="1420" w:name="_Toc30512"/>
      <w:bookmarkStart w:id="1421" w:name="_Toc23737"/>
      <w:bookmarkStart w:id="1422" w:name="_Toc13021"/>
      <w:r>
        <w:rPr>
          <w:rFonts w:hint="eastAsia" w:ascii="宋体" w:hAnsi="宋体" w:eastAsia="宋体" w:cs="宋体"/>
          <w:b/>
          <w:bCs/>
          <w:color w:val="auto"/>
          <w:sz w:val="24"/>
          <w:szCs w:val="24"/>
          <w:highlight w:val="none"/>
        </w:rPr>
        <w:t>质疑函范本</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一、质疑供应商基本信息</w:t>
      </w:r>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质疑供应商：</w:t>
      </w:r>
      <w:r>
        <w:rPr>
          <w:rFonts w:hint="eastAsia" w:ascii="宋体" w:hAnsi="宋体" w:eastAsia="宋体" w:cs="宋体"/>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dotted"/>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授权代表：</w:t>
      </w:r>
      <w:r>
        <w:rPr>
          <w:rFonts w:hint="eastAsia" w:ascii="宋体" w:hAnsi="宋体" w:eastAsia="宋体" w:cs="宋体"/>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dotted"/>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二、质疑项目基本情况</w:t>
      </w:r>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质疑项目的名称：</w:t>
      </w:r>
      <w:r>
        <w:rPr>
          <w:rFonts w:hint="eastAsia" w:ascii="宋体" w:hAnsi="宋体" w:eastAsia="宋体" w:cs="宋体"/>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质疑项目的编号：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包号：</w:t>
      </w:r>
      <w:r>
        <w:rPr>
          <w:rFonts w:hint="eastAsia" w:ascii="宋体" w:hAnsi="宋体" w:eastAsia="宋体" w:cs="宋体"/>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采购人名称：</w:t>
      </w:r>
      <w:r>
        <w:rPr>
          <w:rFonts w:hint="eastAsia" w:ascii="宋体" w:hAnsi="宋体" w:eastAsia="宋体" w:cs="宋体"/>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采购文件获取日期：</w:t>
      </w:r>
      <w:r>
        <w:rPr>
          <w:rFonts w:hint="eastAsia" w:ascii="宋体" w:hAnsi="宋体" w:eastAsia="宋体" w:cs="宋体"/>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三、质疑事项具体内容</w:t>
      </w:r>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质疑事项1：</w:t>
      </w:r>
      <w:r>
        <w:rPr>
          <w:rFonts w:hint="eastAsia" w:ascii="宋体" w:hAnsi="宋体" w:eastAsia="宋体" w:cs="宋体"/>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事实依据：</w:t>
      </w:r>
      <w:r>
        <w:rPr>
          <w:rFonts w:hint="eastAsia" w:ascii="宋体" w:hAnsi="宋体" w:eastAsia="宋体" w:cs="宋体"/>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法律依据：</w:t>
      </w:r>
      <w:r>
        <w:rPr>
          <w:rFonts w:hint="eastAsia" w:ascii="宋体" w:hAnsi="宋体" w:eastAsia="宋体" w:cs="宋体"/>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质疑事项2</w:t>
      </w:r>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四、与质疑事项相关的质疑请求</w:t>
      </w:r>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请求：</w:t>
      </w:r>
      <w:r>
        <w:rPr>
          <w:rFonts w:hint="eastAsia" w:ascii="宋体" w:hAnsi="宋体" w:eastAsia="宋体" w:cs="宋体"/>
          <w:color w:val="auto"/>
          <w:sz w:val="24"/>
          <w:szCs w:val="24"/>
          <w:highlight w:val="none"/>
          <w:u w:val="single"/>
        </w:rPr>
        <w:t xml:space="preserve">                                               </w:t>
      </w:r>
    </w:p>
    <w:p>
      <w:pPr>
        <w:pageBreakBefore w:val="0"/>
        <w:kinsoku/>
        <w:wordWrap/>
        <w:overflowPunct/>
        <w:topLinePunct w:val="0"/>
        <w:bidi w:val="0"/>
        <w:spacing w:line="36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签字(签章)：                   公章：                      </w:t>
      </w:r>
    </w:p>
    <w:p>
      <w:pPr>
        <w:pageBreakBefore w:val="0"/>
        <w:kinsoku/>
        <w:wordWrap/>
        <w:overflowPunct/>
        <w:topLinePunct w:val="0"/>
        <w:bidi w:val="0"/>
        <w:spacing w:line="36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日期：    </w:t>
      </w:r>
    </w:p>
    <w:p>
      <w:pPr>
        <w:pageBreakBefore w:val="0"/>
        <w:kinsoku/>
        <w:wordWrap/>
        <w:overflowPunct/>
        <w:topLinePunct w:val="0"/>
        <w:bidi w:val="0"/>
        <w:spacing w:line="360" w:lineRule="exact"/>
        <w:ind w:left="0" w:leftChars="0"/>
        <w:textAlignment w:val="auto"/>
        <w:rPr>
          <w:rFonts w:hint="eastAsia" w:ascii="宋体" w:hAnsi="宋体" w:eastAsia="宋体" w:cs="宋体"/>
          <w:b/>
          <w:color w:val="auto"/>
          <w:sz w:val="24"/>
          <w:szCs w:val="24"/>
          <w:highlight w:val="none"/>
        </w:rPr>
      </w:pPr>
    </w:p>
    <w:p>
      <w:pPr>
        <w:pageBreakBefore w:val="0"/>
        <w:kinsoku/>
        <w:wordWrap/>
        <w:overflowPunct/>
        <w:topLinePunct w:val="0"/>
        <w:bidi w:val="0"/>
        <w:spacing w:line="360" w:lineRule="exact"/>
        <w:ind w:left="0" w:lef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质疑函制作说明：</w:t>
      </w:r>
    </w:p>
    <w:p>
      <w:pPr>
        <w:pageBreakBefore w:val="0"/>
        <w:widowControl/>
        <w:kinsoku/>
        <w:wordWrap/>
        <w:overflowPunct/>
        <w:topLinePunct w:val="0"/>
        <w:bidi w:val="0"/>
        <w:spacing w:line="360" w:lineRule="exact"/>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1.供应商提出质疑时，应提交质疑函和必要的证明材料。</w:t>
      </w:r>
    </w:p>
    <w:p>
      <w:pPr>
        <w:pageBreakBefore w:val="0"/>
        <w:widowControl/>
        <w:kinsoku/>
        <w:wordWrap/>
        <w:overflowPunct/>
        <w:topLinePunct w:val="0"/>
        <w:bidi w:val="0"/>
        <w:spacing w:line="360" w:lineRule="exact"/>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4"/>
          <w:szCs w:val="24"/>
          <w:highlight w:val="none"/>
        </w:rPr>
        <w:t>供应商签署的授权委托书。授权委托书应载明代理人的姓名或者名称、代理事项、具体权限、期限和相关事项。</w:t>
      </w:r>
    </w:p>
    <w:p>
      <w:pPr>
        <w:pageBreakBefore w:val="0"/>
        <w:widowControl/>
        <w:kinsoku/>
        <w:wordWrap/>
        <w:overflowPunct/>
        <w:topLinePunct w:val="0"/>
        <w:bidi w:val="0"/>
        <w:spacing w:line="360" w:lineRule="exact"/>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3.质疑供应商若对项目的某一分包进行质疑，质疑函中应列明具体分包号。</w:t>
      </w:r>
    </w:p>
    <w:p>
      <w:pPr>
        <w:pageBreakBefore w:val="0"/>
        <w:widowControl/>
        <w:kinsoku/>
        <w:wordWrap/>
        <w:overflowPunct/>
        <w:topLinePunct w:val="0"/>
        <w:bidi w:val="0"/>
        <w:spacing w:line="360" w:lineRule="exact"/>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4.质疑函的质疑事项应具体、明确，并有必要的事实依据和法律依据。</w:t>
      </w:r>
    </w:p>
    <w:p>
      <w:pPr>
        <w:pageBreakBefore w:val="0"/>
        <w:widowControl/>
        <w:kinsoku/>
        <w:wordWrap/>
        <w:overflowPunct/>
        <w:topLinePunct w:val="0"/>
        <w:bidi w:val="0"/>
        <w:spacing w:line="360" w:lineRule="exact"/>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5.质疑函的质疑请求应与质疑事项相关。</w:t>
      </w:r>
    </w:p>
    <w:p>
      <w:pPr>
        <w:pageBreakBefore w:val="0"/>
        <w:widowControl/>
        <w:kinsoku/>
        <w:wordWrap/>
        <w:overflowPunct/>
        <w:topLinePunct w:val="0"/>
        <w:bidi w:val="0"/>
        <w:spacing w:line="360" w:lineRule="exact"/>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6.质疑供应商为自然人的，质疑函应由本人签字；质疑供应商为法人或者其他组织的，质疑函应由法定代表人、主要负责人，或者其授权代表签字或者盖章，并加盖公章。</w:t>
      </w:r>
    </w:p>
    <w:p>
      <w:pPr>
        <w:pStyle w:val="4"/>
        <w:spacing w:line="400" w:lineRule="exact"/>
        <w:ind w:firstLine="0"/>
        <w:rPr>
          <w:rFonts w:hint="eastAsia" w:ascii="宋体" w:hAnsi="宋体" w:eastAsia="宋体" w:cs="宋体"/>
          <w:color w:val="auto"/>
          <w:kern w:val="2"/>
          <w:sz w:val="21"/>
          <w:szCs w:val="21"/>
          <w:highlight w:val="none"/>
        </w:rPr>
      </w:pPr>
      <w:r>
        <w:rPr>
          <w:rFonts w:hint="eastAsia" w:ascii="宋体" w:hAnsi="宋体" w:eastAsia="宋体" w:cs="宋体"/>
          <w:b/>
          <w:color w:val="auto"/>
          <w:szCs w:val="24"/>
          <w:highlight w:val="none"/>
        </w:rPr>
        <w:br w:type="page"/>
      </w:r>
    </w:p>
    <w:p>
      <w:pPr>
        <w:pStyle w:val="4"/>
        <w:ind w:firstLine="0"/>
        <w:jc w:val="center"/>
        <w:outlineLvl w:val="0"/>
        <w:rPr>
          <w:rFonts w:hint="eastAsia" w:ascii="宋体" w:hAnsi="宋体" w:eastAsia="宋体" w:cs="宋体"/>
          <w:b/>
          <w:bCs/>
          <w:color w:val="auto"/>
          <w:sz w:val="32"/>
          <w:szCs w:val="32"/>
          <w:highlight w:val="none"/>
        </w:rPr>
      </w:pPr>
      <w:bookmarkStart w:id="1423" w:name="_Toc29770"/>
      <w:bookmarkStart w:id="1424" w:name="_Toc5908"/>
      <w:bookmarkStart w:id="1425" w:name="_Toc728"/>
      <w:bookmarkStart w:id="1426" w:name="_Toc515647802"/>
      <w:bookmarkStart w:id="1427" w:name="_Toc702"/>
      <w:bookmarkStart w:id="1428" w:name="_Toc3574"/>
      <w:bookmarkStart w:id="1429" w:name="_Toc216582812"/>
      <w:r>
        <w:rPr>
          <w:rFonts w:hint="eastAsia" w:ascii="宋体" w:hAnsi="宋体" w:eastAsia="宋体" w:cs="宋体"/>
          <w:b/>
          <w:bCs/>
          <w:color w:val="auto"/>
          <w:sz w:val="32"/>
          <w:szCs w:val="32"/>
          <w:highlight w:val="none"/>
          <w:lang w:val="en-US" w:eastAsia="zh-CN"/>
        </w:rPr>
        <w:t>第2章  投标文件格式</w:t>
      </w:r>
      <w:bookmarkEnd w:id="1423"/>
      <w:bookmarkEnd w:id="1424"/>
      <w:bookmarkEnd w:id="1425"/>
      <w:bookmarkEnd w:id="1426"/>
      <w:bookmarkEnd w:id="1427"/>
      <w:bookmarkEnd w:id="1428"/>
      <w:bookmarkEnd w:id="1429"/>
    </w:p>
    <w:p>
      <w:pPr>
        <w:pStyle w:val="7"/>
        <w:pageBreakBefore w:val="0"/>
        <w:kinsoku/>
        <w:wordWrap/>
        <w:overflowPunct/>
        <w:topLinePunct w:val="0"/>
        <w:bidi w:val="0"/>
        <w:spacing w:before="0" w:line="360" w:lineRule="exact"/>
        <w:ind w:left="1080" w:leftChars="257" w:hanging="540"/>
        <w:rPr>
          <w:rFonts w:hint="eastAsia" w:ascii="宋体" w:hAnsi="宋体" w:eastAsia="宋体" w:cs="宋体"/>
          <w:color w:val="auto"/>
          <w:sz w:val="24"/>
          <w:szCs w:val="24"/>
          <w:highlight w:val="none"/>
        </w:rPr>
      </w:pPr>
      <w:bookmarkStart w:id="1430" w:name="_Toc4187"/>
      <w:bookmarkStart w:id="1431" w:name="_Toc22572"/>
      <w:bookmarkStart w:id="1432" w:name="_Toc32123"/>
      <w:bookmarkStart w:id="1433" w:name="_Toc18974"/>
      <w:bookmarkStart w:id="1434" w:name="_Toc18694"/>
      <w:bookmarkStart w:id="1435" w:name="_Toc32079"/>
      <w:bookmarkStart w:id="1436" w:name="_Toc515647803"/>
      <w:bookmarkStart w:id="1437" w:name="_Toc21614"/>
      <w:bookmarkStart w:id="1438" w:name="_Toc515647804"/>
      <w:bookmarkStart w:id="1439" w:name="_Toc29091"/>
      <w:bookmarkStart w:id="1440" w:name="_Toc3620"/>
      <w:bookmarkStart w:id="1441" w:name="_Toc14118"/>
      <w:bookmarkStart w:id="1442" w:name="_Toc13595"/>
      <w:bookmarkStart w:id="1443" w:name="_Toc16750"/>
      <w:bookmarkStart w:id="1444" w:name="_Toc16568"/>
      <w:bookmarkStart w:id="1445" w:name="_Toc522"/>
      <w:bookmarkStart w:id="1446" w:name="_Toc30524"/>
      <w:bookmarkStart w:id="1447" w:name="_Toc30630"/>
      <w:bookmarkStart w:id="1448" w:name="_Toc11138"/>
      <w:bookmarkStart w:id="1449" w:name="_Ref467988698"/>
      <w:bookmarkStart w:id="1450" w:name="_Toc480942349"/>
      <w:bookmarkStart w:id="1451" w:name="_Toc520356217"/>
      <w:bookmarkStart w:id="1452" w:name="_Toc216582813"/>
      <w:r>
        <w:rPr>
          <w:rFonts w:hint="eastAsia" w:ascii="宋体" w:hAnsi="宋体" w:eastAsia="宋体" w:cs="宋体"/>
          <w:color w:val="auto"/>
          <w:sz w:val="24"/>
          <w:szCs w:val="24"/>
          <w:highlight w:val="none"/>
        </w:rPr>
        <w:t>第一部分 开标一览表及资格证明文件</w:t>
      </w:r>
      <w:bookmarkEnd w:id="1430"/>
      <w:bookmarkEnd w:id="1431"/>
      <w:bookmarkEnd w:id="1432"/>
      <w:bookmarkEnd w:id="1433"/>
      <w:bookmarkEnd w:id="1434"/>
      <w:bookmarkEnd w:id="1435"/>
      <w:bookmarkEnd w:id="1436"/>
    </w:p>
    <w:p>
      <w:pPr>
        <w:keepNext w:val="0"/>
        <w:keepLines w:val="0"/>
        <w:pageBreakBefore w:val="0"/>
        <w:widowControl w:val="0"/>
        <w:tabs>
          <w:tab w:val="left" w:pos="5580"/>
        </w:tabs>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开标一览表</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eastAsia="zh-CN"/>
        </w:rPr>
        <w:t>合格有效的三证合一的营业执照（三证合一）或电子营业执照（需加盖公章）或同等法律效力的证明文件（发证机关或公证机关出具的证明材料）</w:t>
      </w:r>
      <w:r>
        <w:rPr>
          <w:rFonts w:hint="eastAsia" w:ascii="宋体" w:hAnsi="宋体" w:eastAsia="宋体" w:cs="宋体"/>
          <w:color w:val="auto"/>
          <w:sz w:val="24"/>
          <w:szCs w:val="24"/>
          <w:highlight w:val="none"/>
          <w:lang w:eastAsia="zh-CN"/>
        </w:rPr>
        <w:t>；</w:t>
      </w:r>
    </w:p>
    <w:p>
      <w:pPr>
        <w:pStyle w:val="4"/>
        <w:ind w:left="0" w:leftChars="0" w:firstLine="0" w:firstLineChars="0"/>
        <w:rPr>
          <w:rFonts w:hint="eastAsia"/>
          <w:lang w:eastAsia="zh-CN"/>
        </w:rPr>
      </w:pPr>
      <w:r>
        <w:rPr>
          <w:rFonts w:hint="eastAsia"/>
          <w:lang w:val="en-US" w:eastAsia="zh-CN"/>
        </w:rPr>
        <w:t>3.</w:t>
      </w:r>
      <w:r>
        <w:rPr>
          <w:rFonts w:hint="eastAsia"/>
          <w:lang w:val="en-US" w:eastAsia="zh-CN"/>
        </w:rPr>
        <w:fldChar w:fldCharType="begin"/>
      </w:r>
      <w:r>
        <w:rPr>
          <w:rFonts w:hint="eastAsia"/>
          <w:lang w:val="en-US" w:eastAsia="zh-CN"/>
        </w:rPr>
        <w:instrText xml:space="preserve"> HYPERLINK \l _Toc23909 </w:instrText>
      </w:r>
      <w:r>
        <w:rPr>
          <w:rFonts w:hint="eastAsia"/>
          <w:lang w:val="en-US" w:eastAsia="zh-CN"/>
        </w:rPr>
        <w:fldChar w:fldCharType="separate"/>
      </w:r>
      <w:r>
        <w:rPr>
          <w:rFonts w:hint="eastAsia"/>
          <w:lang w:val="en-US" w:eastAsia="zh-CN"/>
        </w:rPr>
        <w:t>具备《食品经营许可证》或《食品生产许可证》；</w:t>
      </w:r>
      <w:r>
        <w:rPr>
          <w:rFonts w:hint="eastAsia"/>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eastAsia="zh-CN"/>
        </w:rPr>
        <w:t>法定代表人资格证明(需提供法定代表人身份证)；</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提供近两年内任意一年的财务审计报告</w:t>
      </w:r>
      <w:r>
        <w:rPr>
          <w:rFonts w:hint="eastAsia" w:ascii="宋体" w:hAnsi="宋体" w:cs="宋体"/>
          <w:color w:val="auto"/>
          <w:sz w:val="24"/>
          <w:szCs w:val="24"/>
          <w:highlight w:val="none"/>
          <w:lang w:val="en-US" w:eastAsia="zh-CN"/>
        </w:rPr>
        <w:t>（新成立未满一年的新公司可提供近三个月内任意一个月的银行资信证明）</w:t>
      </w:r>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eastAsia="zh-CN"/>
        </w:rPr>
        <w:t>提供依法缴纳近六个月内任意一个月社会保险证明</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提供依法缴纳近六个月内任意一个月的税收证明</w:t>
      </w:r>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val="en-US" w:eastAsia="zh-CN"/>
        </w:rPr>
        <w:t>.根据《财政部关于在政府采购活动中查询及使用信用记录有关问题的通知》（财库﹝2016﹞125号）的要求，凡拟参加本次招标项目的供应商，如在“信用中国”网站（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重点领域严重失信主体名单查询-搜索栏输入单位全称）、中国政府采购网（http://www.ccgp.gov.cn/search/cr/）严重违法失信行为记录名单的（尚在处罚期内的），将拒绝其参加本次招标活动（以采购代理机构或采购人现场查询为准）</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参与政府采购活动前3年内未被列入失信、重大税收违法案件、财政部门禁止参加政府采购活动的承诺书；</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kern w:val="0"/>
          <w:sz w:val="24"/>
          <w:szCs w:val="24"/>
          <w:highlight w:val="none"/>
        </w:rPr>
      </w:pP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缴纳投标保证金的有效凭证</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kern w:val="0"/>
          <w:sz w:val="24"/>
          <w:szCs w:val="24"/>
          <w:highlight w:val="none"/>
        </w:rPr>
        <w:t>银行开户许可证复印件或银行基本账户信息(包含：银行账号及开户行名称）；</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.供应商可提供有利于投标的其他资格证明材料。</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宋体" w:hAnsi="宋体" w:eastAsia="宋体" w:cs="宋体"/>
          <w:b/>
          <w:bCs/>
          <w:color w:val="auto"/>
          <w:sz w:val="24"/>
          <w:szCs w:val="24"/>
          <w:highlight w:val="none"/>
        </w:rPr>
      </w:pP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各供应商应注意以下事项：①本项目要求各投标供应商提供“</w:t>
      </w:r>
      <w:r>
        <w:rPr>
          <w:rFonts w:hint="eastAsia" w:ascii="宋体" w:hAnsi="宋体" w:cs="宋体"/>
          <w:b/>
          <w:bCs/>
          <w:color w:val="auto"/>
          <w:sz w:val="21"/>
          <w:szCs w:val="21"/>
          <w:highlight w:val="none"/>
          <w:lang w:val="en-US" w:eastAsia="zh-CN"/>
        </w:rPr>
        <w:t>提供依法缴纳近六个月内任意一个月的税收证明</w:t>
      </w:r>
      <w:r>
        <w:rPr>
          <w:rFonts w:hint="eastAsia" w:ascii="宋体" w:hAnsi="宋体" w:eastAsia="宋体" w:cs="宋体"/>
          <w:b/>
          <w:bCs/>
          <w:color w:val="auto"/>
          <w:sz w:val="21"/>
          <w:szCs w:val="21"/>
          <w:highlight w:val="none"/>
        </w:rPr>
        <w:t>”，若供应商某月税收为零申报，须提供加盖税务局公章的无欠税证明或申报成功网页截图（供应商可自主登录“国家税务总局电子税务局”12366.chinatax.gov.cn/bsfw/onlinetaxation/main——税费申报及缴纳——申报结果查询）。②税务局代收的社保缴费证明不可作为本项目的完税证明（“税种”不可为养老保险、医疗保险、失业保险、工伤保险和生育保险）。</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bookmarkEnd w:id="1437"/>
    <w:bookmarkEnd w:id="1438"/>
    <w:bookmarkEnd w:id="1439"/>
    <w:bookmarkEnd w:id="1440"/>
    <w:bookmarkEnd w:id="1441"/>
    <w:bookmarkEnd w:id="1442"/>
    <w:bookmarkEnd w:id="1443"/>
    <w:bookmarkEnd w:id="1444"/>
    <w:bookmarkEnd w:id="1445"/>
    <w:bookmarkEnd w:id="1446"/>
    <w:bookmarkEnd w:id="1447"/>
    <w:bookmarkEnd w:id="1448"/>
    <w:p>
      <w:pPr>
        <w:pStyle w:val="8"/>
        <w:keepNext/>
        <w:keepLines/>
        <w:pageBreakBefore w:val="0"/>
        <w:widowControl w:val="0"/>
        <w:kinsoku/>
        <w:wordWrap/>
        <w:overflowPunct/>
        <w:topLinePunct w:val="0"/>
        <w:autoSpaceDE w:val="0"/>
        <w:autoSpaceDN w:val="0"/>
        <w:bidi w:val="0"/>
        <w:adjustRightInd w:val="0"/>
        <w:snapToGrid/>
        <w:spacing w:before="0" w:line="400" w:lineRule="exact"/>
        <w:jc w:val="left"/>
        <w:textAlignment w:val="auto"/>
        <w:outlineLvl w:val="2"/>
        <w:rPr>
          <w:rFonts w:hint="eastAsia" w:ascii="宋体" w:hAnsi="宋体" w:eastAsia="宋体" w:cs="宋体"/>
          <w:b/>
          <w:bCs/>
          <w:color w:val="auto"/>
          <w:sz w:val="24"/>
          <w:szCs w:val="24"/>
          <w:highlight w:val="none"/>
          <w:u w:val="none"/>
        </w:rPr>
      </w:pPr>
      <w:bookmarkStart w:id="1453" w:name="_Toc23664"/>
      <w:r>
        <w:rPr>
          <w:rFonts w:hint="eastAsia" w:ascii="宋体" w:hAnsi="宋体" w:eastAsia="宋体" w:cs="宋体"/>
          <w:b/>
          <w:bCs/>
          <w:color w:val="auto"/>
          <w:sz w:val="24"/>
          <w:szCs w:val="24"/>
          <w:highlight w:val="none"/>
          <w:u w:val="none"/>
        </w:rPr>
        <w:t>1.开标一览表；</w:t>
      </w:r>
      <w:bookmarkEnd w:id="1453"/>
    </w:p>
    <w:p>
      <w:pPr>
        <w:pStyle w:val="4"/>
        <w:tabs>
          <w:tab w:val="left" w:pos="5580"/>
        </w:tabs>
        <w:spacing w:line="400" w:lineRule="exact"/>
        <w:ind w:left="1080" w:leftChars="257" w:hanging="540"/>
        <w:jc w:val="center"/>
        <w:rPr>
          <w:rFonts w:hint="eastAsia" w:hAnsi="宋体" w:cs="宋体"/>
          <w:b/>
          <w:color w:val="auto"/>
          <w:highlight w:val="none"/>
          <w:lang w:eastAsia="zh-CN"/>
        </w:rPr>
      </w:pPr>
      <w:bookmarkStart w:id="1454" w:name="_Hlt520356241"/>
      <w:bookmarkEnd w:id="1454"/>
      <w:bookmarkStart w:id="1455" w:name="_Toc494296984"/>
    </w:p>
    <w:p>
      <w:pPr>
        <w:pStyle w:val="4"/>
        <w:tabs>
          <w:tab w:val="left" w:pos="5580"/>
        </w:tabs>
        <w:spacing w:line="400" w:lineRule="exact"/>
        <w:ind w:left="1080" w:leftChars="257" w:hanging="540"/>
        <w:jc w:val="center"/>
        <w:outlineLvl w:val="3"/>
        <w:rPr>
          <w:rFonts w:hint="eastAsia" w:ascii="宋体" w:hAnsi="宋体" w:eastAsia="宋体" w:cs="宋体"/>
          <w:color w:val="auto"/>
          <w:highlight w:val="none"/>
        </w:rPr>
      </w:pPr>
      <w:r>
        <w:rPr>
          <w:rFonts w:hint="eastAsia" w:hAnsi="宋体" w:cs="宋体"/>
          <w:b/>
          <w:color w:val="auto"/>
          <w:highlight w:val="none"/>
          <w:lang w:eastAsia="zh-CN"/>
        </w:rPr>
        <w:t>（</w:t>
      </w:r>
      <w:r>
        <w:rPr>
          <w:rFonts w:hint="eastAsia" w:hAnsi="宋体" w:cs="宋体"/>
          <w:b/>
          <w:color w:val="auto"/>
          <w:highlight w:val="none"/>
          <w:lang w:val="en-US" w:eastAsia="zh-CN"/>
        </w:rPr>
        <w:t>标项一）</w:t>
      </w:r>
      <w:r>
        <w:rPr>
          <w:rFonts w:hint="eastAsia" w:ascii="宋体" w:hAnsi="宋体" w:eastAsia="宋体" w:cs="宋体"/>
          <w:b/>
          <w:color w:val="auto"/>
          <w:highlight w:val="none"/>
        </w:rPr>
        <w:t>开标一览表</w:t>
      </w:r>
    </w:p>
    <w:p>
      <w:pPr>
        <w:pStyle w:val="4"/>
        <w:tabs>
          <w:tab w:val="left" w:pos="5580"/>
        </w:tabs>
        <w:spacing w:line="400" w:lineRule="exact"/>
        <w:ind w:left="1080" w:leftChars="257" w:hanging="540"/>
        <w:jc w:val="center"/>
        <w:rPr>
          <w:rFonts w:hint="eastAsia" w:hAnsi="宋体" w:cs="宋体"/>
          <w:b/>
          <w:color w:val="auto"/>
          <w:highlight w:val="none"/>
          <w:lang w:eastAsia="zh-CN"/>
        </w:rPr>
      </w:pPr>
    </w:p>
    <w:p>
      <w:pPr>
        <w:tabs>
          <w:tab w:val="left" w:pos="1800"/>
          <w:tab w:val="left" w:pos="5580"/>
        </w:tabs>
        <w:spacing w:line="400" w:lineRule="exact"/>
        <w:ind w:left="1080" w:leftChars="257" w:right="-867" w:rightChars="-413"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项目名称：　                  项目编号：                          </w:t>
      </w:r>
    </w:p>
    <w:p>
      <w:pPr>
        <w:tabs>
          <w:tab w:val="left" w:pos="1800"/>
          <w:tab w:val="left" w:pos="5580"/>
        </w:tabs>
        <w:spacing w:line="400" w:lineRule="exact"/>
        <w:ind w:left="1080" w:leftChars="257" w:right="-867" w:rightChars="-413" w:hanging="54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报价单位：人民币</w:t>
      </w:r>
      <w:r>
        <w:rPr>
          <w:rFonts w:hint="eastAsia" w:ascii="宋体" w:hAnsi="宋体" w:cs="宋体"/>
          <w:b/>
          <w:bCs/>
          <w:color w:val="auto"/>
          <w:sz w:val="24"/>
          <w:highlight w:val="none"/>
          <w:lang w:val="en-US" w:eastAsia="zh-CN"/>
        </w:rPr>
        <w:t>（</w:t>
      </w:r>
      <w:r>
        <w:rPr>
          <w:rFonts w:hint="eastAsia" w:ascii="宋体" w:hAnsi="宋体" w:eastAsia="宋体" w:cs="宋体"/>
          <w:b/>
          <w:bCs/>
          <w:color w:val="auto"/>
          <w:sz w:val="24"/>
          <w:highlight w:val="none"/>
        </w:rPr>
        <w:t>元</w:t>
      </w:r>
      <w:r>
        <w:rPr>
          <w:rFonts w:hint="eastAsia" w:ascii="宋体" w:hAnsi="宋体" w:cs="宋体"/>
          <w:b/>
          <w:bCs/>
          <w:color w:val="auto"/>
          <w:sz w:val="24"/>
          <w:highlight w:val="none"/>
          <w:lang w:val="en-US" w:eastAsia="zh-CN"/>
        </w:rPr>
        <w:t>）</w:t>
      </w:r>
      <w:r>
        <w:rPr>
          <w:rFonts w:hint="eastAsia" w:ascii="宋体" w:hAnsi="宋体" w:eastAsia="宋体" w:cs="宋体"/>
          <w:b/>
          <w:color w:val="auto"/>
          <w:sz w:val="24"/>
          <w:highlight w:val="none"/>
          <w:lang w:val="en-US" w:eastAsia="zh-CN"/>
        </w:rPr>
        <w:t xml:space="preserve">        </w:t>
      </w:r>
    </w:p>
    <w:tbl>
      <w:tblPr>
        <w:tblStyle w:val="27"/>
        <w:tblW w:w="8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17"/>
        <w:gridCol w:w="2973"/>
        <w:gridCol w:w="1388"/>
        <w:gridCol w:w="1415"/>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1117" w:type="dxa"/>
            <w:vAlign w:val="center"/>
          </w:tcPr>
          <w:p>
            <w:pPr>
              <w:tabs>
                <w:tab w:val="left" w:pos="5580"/>
              </w:tabs>
              <w:spacing w:line="400" w:lineRule="exact"/>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货物</w:t>
            </w:r>
            <w:r>
              <w:rPr>
                <w:rFonts w:hint="eastAsia" w:ascii="宋体" w:hAnsi="宋体" w:eastAsia="宋体" w:cs="宋体"/>
                <w:color w:val="auto"/>
                <w:sz w:val="24"/>
                <w:highlight w:val="none"/>
                <w:lang w:val="en-US" w:eastAsia="zh-CN"/>
              </w:rPr>
              <w:t>名称</w:t>
            </w:r>
          </w:p>
        </w:tc>
        <w:tc>
          <w:tcPr>
            <w:tcW w:w="2973" w:type="dxa"/>
            <w:vAlign w:val="center"/>
          </w:tcPr>
          <w:p>
            <w:pPr>
              <w:tabs>
                <w:tab w:val="left" w:pos="5580"/>
              </w:tabs>
              <w:spacing w:line="40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投标总价</w:t>
            </w:r>
          </w:p>
        </w:tc>
        <w:tc>
          <w:tcPr>
            <w:tcW w:w="1388" w:type="dxa"/>
            <w:vAlign w:val="center"/>
          </w:tcPr>
          <w:p>
            <w:pPr>
              <w:tabs>
                <w:tab w:val="left" w:pos="5580"/>
              </w:tabs>
              <w:spacing w:line="40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投标保证金</w:t>
            </w:r>
          </w:p>
        </w:tc>
        <w:tc>
          <w:tcPr>
            <w:tcW w:w="1415" w:type="dxa"/>
            <w:vAlign w:val="center"/>
          </w:tcPr>
          <w:p>
            <w:pPr>
              <w:tabs>
                <w:tab w:val="left" w:pos="5580"/>
              </w:tabs>
              <w:spacing w:line="400" w:lineRule="exact"/>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交货期</w:t>
            </w:r>
          </w:p>
        </w:tc>
        <w:tc>
          <w:tcPr>
            <w:tcW w:w="1415" w:type="dxa"/>
            <w:vAlign w:val="center"/>
          </w:tcPr>
          <w:p>
            <w:pPr>
              <w:tabs>
                <w:tab w:val="left" w:pos="5580"/>
              </w:tabs>
              <w:spacing w:line="400" w:lineRule="exact"/>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45" w:hRule="atLeast"/>
          <w:jc w:val="center"/>
        </w:trPr>
        <w:tc>
          <w:tcPr>
            <w:tcW w:w="1117" w:type="dxa"/>
            <w:vAlign w:val="center"/>
          </w:tcPr>
          <w:p>
            <w:pPr>
              <w:tabs>
                <w:tab w:val="left" w:pos="5580"/>
              </w:tabs>
              <w:spacing w:line="400" w:lineRule="exact"/>
              <w:jc w:val="center"/>
              <w:rPr>
                <w:rFonts w:hint="eastAsia" w:ascii="宋体" w:hAnsi="宋体" w:eastAsia="宋体" w:cs="宋体"/>
                <w:color w:val="auto"/>
                <w:sz w:val="24"/>
                <w:highlight w:val="none"/>
                <w:lang w:val="en-US" w:eastAsia="zh-CN"/>
              </w:rPr>
            </w:pPr>
          </w:p>
        </w:tc>
        <w:tc>
          <w:tcPr>
            <w:tcW w:w="2973" w:type="dxa"/>
            <w:vAlign w:val="center"/>
          </w:tcPr>
          <w:p>
            <w:pPr>
              <w:tabs>
                <w:tab w:val="left" w:pos="5580"/>
              </w:tabs>
              <w:spacing w:line="400" w:lineRule="exact"/>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大写：</w:t>
            </w:r>
          </w:p>
          <w:p>
            <w:pPr>
              <w:tabs>
                <w:tab w:val="left" w:pos="5580"/>
              </w:tabs>
              <w:spacing w:line="400" w:lineRule="exact"/>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小写：</w:t>
            </w:r>
          </w:p>
        </w:tc>
        <w:tc>
          <w:tcPr>
            <w:tcW w:w="1388" w:type="dxa"/>
            <w:vAlign w:val="center"/>
          </w:tcPr>
          <w:p>
            <w:pPr>
              <w:tabs>
                <w:tab w:val="left" w:pos="5580"/>
              </w:tabs>
              <w:spacing w:line="400" w:lineRule="exact"/>
              <w:jc w:val="center"/>
              <w:rPr>
                <w:rFonts w:hint="eastAsia" w:ascii="宋体" w:hAnsi="宋体" w:eastAsia="宋体" w:cs="宋体"/>
                <w:color w:val="auto"/>
                <w:sz w:val="24"/>
                <w:highlight w:val="none"/>
                <w:lang w:val="en-US" w:eastAsia="zh-CN"/>
              </w:rPr>
            </w:pPr>
          </w:p>
        </w:tc>
        <w:tc>
          <w:tcPr>
            <w:tcW w:w="1415" w:type="dxa"/>
            <w:vAlign w:val="center"/>
          </w:tcPr>
          <w:p>
            <w:pPr>
              <w:tabs>
                <w:tab w:val="left" w:pos="5580"/>
              </w:tabs>
              <w:spacing w:line="400" w:lineRule="exact"/>
              <w:jc w:val="both"/>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按采购单位要求时间，分批次供货</w:t>
            </w:r>
          </w:p>
        </w:tc>
        <w:tc>
          <w:tcPr>
            <w:tcW w:w="1415" w:type="dxa"/>
            <w:vAlign w:val="center"/>
          </w:tcPr>
          <w:p>
            <w:pPr>
              <w:tabs>
                <w:tab w:val="left" w:pos="5580"/>
              </w:tabs>
              <w:spacing w:line="400" w:lineRule="exact"/>
              <w:jc w:val="both"/>
              <w:rPr>
                <w:rFonts w:hint="eastAsia" w:ascii="宋体" w:hAnsi="宋体" w:cs="宋体"/>
                <w:color w:val="auto"/>
                <w:sz w:val="24"/>
                <w:highlight w:val="none"/>
                <w:lang w:val="en-US" w:eastAsia="zh-CN"/>
              </w:rPr>
            </w:pPr>
          </w:p>
        </w:tc>
      </w:tr>
    </w:tbl>
    <w:p>
      <w:pPr>
        <w:pStyle w:val="15"/>
        <w:tabs>
          <w:tab w:val="left" w:pos="5580"/>
        </w:tabs>
        <w:spacing w:line="400" w:lineRule="exact"/>
        <w:ind w:left="1080" w:leftChars="257" w:hanging="540"/>
        <w:rPr>
          <w:rFonts w:hint="eastAsia" w:ascii="宋体" w:hAnsi="宋体" w:eastAsia="宋体" w:cs="宋体"/>
          <w:color w:val="auto"/>
          <w:sz w:val="24"/>
          <w:highlight w:val="none"/>
        </w:rPr>
      </w:pPr>
    </w:p>
    <w:p>
      <w:pPr>
        <w:pStyle w:val="15"/>
        <w:tabs>
          <w:tab w:val="left" w:pos="5580"/>
        </w:tabs>
        <w:spacing w:line="400" w:lineRule="exact"/>
        <w:ind w:left="1080" w:leftChars="257" w:hanging="540"/>
        <w:rPr>
          <w:rFonts w:hint="eastAsia" w:ascii="宋体" w:hAnsi="宋体" w:eastAsia="宋体" w:cs="宋体"/>
          <w:color w:val="auto"/>
          <w:sz w:val="24"/>
          <w:highlight w:val="none"/>
          <w:u w:val="single"/>
        </w:rPr>
      </w:pPr>
    </w:p>
    <w:p>
      <w:pPr>
        <w:pStyle w:val="15"/>
        <w:tabs>
          <w:tab w:val="left" w:pos="5580"/>
        </w:tabs>
        <w:spacing w:line="400" w:lineRule="exact"/>
        <w:ind w:left="1080"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供应商名称（公章）：</w:t>
      </w:r>
      <w:r>
        <w:rPr>
          <w:rFonts w:hint="eastAsia" w:ascii="宋体" w:hAnsi="宋体" w:eastAsia="宋体" w:cs="宋体"/>
          <w:color w:val="auto"/>
          <w:sz w:val="24"/>
          <w:highlight w:val="none"/>
          <w:u w:val="single"/>
        </w:rPr>
        <w:t xml:space="preserve">                       </w:t>
      </w:r>
    </w:p>
    <w:p>
      <w:pPr>
        <w:pStyle w:val="15"/>
        <w:tabs>
          <w:tab w:val="left" w:pos="5580"/>
        </w:tabs>
        <w:spacing w:line="400" w:lineRule="exact"/>
        <w:ind w:left="1080" w:leftChars="257" w:hanging="540"/>
        <w:rPr>
          <w:rFonts w:hint="eastAsia" w:ascii="宋体" w:hAnsi="宋体" w:eastAsia="宋体" w:cs="宋体"/>
          <w:color w:val="auto"/>
          <w:sz w:val="24"/>
          <w:highlight w:val="none"/>
          <w:u w:val="single"/>
          <w:lang w:val="en-US" w:eastAsia="zh-CN"/>
        </w:rPr>
      </w:pPr>
      <w:r>
        <w:rPr>
          <w:rFonts w:hint="eastAsia" w:ascii="宋体" w:hAnsi="宋体" w:eastAsia="宋体" w:cs="宋体"/>
          <w:color w:val="auto"/>
          <w:sz w:val="24"/>
          <w:highlight w:val="none"/>
        </w:rPr>
        <w:t>法定代表人</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签字或盖章</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ab/>
      </w:r>
      <w:r>
        <w:rPr>
          <w:rFonts w:hint="eastAsia" w:hAnsi="宋体" w:cs="宋体"/>
          <w:color w:val="auto"/>
          <w:sz w:val="24"/>
          <w:highlight w:val="none"/>
          <w:u w:val="single"/>
          <w:lang w:val="en-US" w:eastAsia="zh-CN"/>
        </w:rPr>
        <w:t xml:space="preserve"> </w:t>
      </w:r>
    </w:p>
    <w:p>
      <w:pPr>
        <w:pStyle w:val="15"/>
        <w:tabs>
          <w:tab w:val="left" w:pos="5580"/>
        </w:tabs>
        <w:spacing w:line="400" w:lineRule="exact"/>
        <w:ind w:left="1080" w:leftChars="257" w:hanging="540"/>
        <w:rPr>
          <w:rFonts w:hint="eastAsia" w:ascii="宋体" w:hAnsi="宋体" w:eastAsia="宋体" w:cs="宋体"/>
          <w:color w:val="auto"/>
          <w:sz w:val="24"/>
          <w:highlight w:val="none"/>
        </w:rPr>
      </w:pPr>
    </w:p>
    <w:p>
      <w:pPr>
        <w:pStyle w:val="15"/>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注:1、此表应按供应商须知的规定</w:t>
      </w:r>
      <w:r>
        <w:rPr>
          <w:rFonts w:hint="eastAsia" w:ascii="宋体" w:hAnsi="宋体" w:eastAsia="宋体" w:cs="宋体"/>
          <w:color w:val="auto"/>
          <w:sz w:val="24"/>
          <w:szCs w:val="24"/>
          <w:highlight w:val="none"/>
          <w:lang w:val="en-US" w:eastAsia="zh-CN"/>
        </w:rPr>
        <w:t>制作</w:t>
      </w:r>
      <w:r>
        <w:rPr>
          <w:rFonts w:hint="eastAsia" w:ascii="宋体" w:hAnsi="宋体" w:eastAsia="宋体" w:cs="宋体"/>
          <w:color w:val="auto"/>
          <w:sz w:val="24"/>
          <w:szCs w:val="24"/>
          <w:highlight w:val="none"/>
        </w:rPr>
        <w:t>。</w:t>
      </w:r>
    </w:p>
    <w:p>
      <w:pPr>
        <w:pStyle w:val="15"/>
        <w:tabs>
          <w:tab w:val="left" w:pos="5580"/>
        </w:tabs>
        <w:spacing w:line="400" w:lineRule="exact"/>
        <w:ind w:left="741" w:leftChars="353"/>
        <w:jc w:val="left"/>
        <w:rPr>
          <w:rFonts w:hint="eastAsia" w:ascii="宋体" w:hAnsi="宋体" w:eastAsia="宋体" w:cs="宋体"/>
          <w:b/>
          <w:bCs/>
          <w:color w:val="auto"/>
          <w:sz w:val="24"/>
          <w:szCs w:val="24"/>
          <w:highlight w:val="none"/>
        </w:rPr>
      </w:pPr>
      <w:r>
        <w:rPr>
          <w:rFonts w:hint="eastAsia" w:hAnsi="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、此表中，投标总价应和投标分项报价表的总价相一致。</w:t>
      </w:r>
    </w:p>
    <w:p>
      <w:pPr>
        <w:pStyle w:val="15"/>
        <w:tabs>
          <w:tab w:val="left" w:pos="5580"/>
        </w:tabs>
        <w:spacing w:line="400" w:lineRule="exact"/>
        <w:ind w:left="741" w:leftChars="353"/>
        <w:rPr>
          <w:rFonts w:hint="eastAsia" w:ascii="宋体" w:hAnsi="宋体" w:eastAsia="宋体" w:cs="宋体"/>
          <w:b w:val="0"/>
          <w:bCs w:val="0"/>
          <w:color w:val="auto"/>
          <w:sz w:val="24"/>
          <w:szCs w:val="24"/>
          <w:highlight w:val="none"/>
        </w:rPr>
      </w:pPr>
      <w:r>
        <w:rPr>
          <w:rFonts w:hint="eastAsia" w:hAnsi="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、投标商报价时包含税费等一切与本次项目相关的费用。</w:t>
      </w:r>
    </w:p>
    <w:p>
      <w:pPr>
        <w:pStyle w:val="4"/>
        <w:rPr>
          <w:rFonts w:hint="eastAsia" w:ascii="宋体" w:hAnsi="宋体" w:eastAsia="宋体" w:cs="宋体"/>
          <w:color w:val="auto"/>
          <w:sz w:val="24"/>
          <w:szCs w:val="24"/>
          <w:highlight w:val="none"/>
        </w:rPr>
      </w:pPr>
    </w:p>
    <w:p>
      <w:pPr>
        <w:pStyle w:val="15"/>
        <w:tabs>
          <w:tab w:val="left" w:pos="5580"/>
        </w:tabs>
        <w:spacing w:line="240" w:lineRule="atLeast"/>
        <w:rPr>
          <w:rFonts w:hint="eastAsia" w:ascii="宋体" w:hAnsi="宋体" w:eastAsia="宋体" w:cs="宋体"/>
          <w:b/>
          <w:color w:val="auto"/>
          <w:sz w:val="24"/>
          <w:highlight w:val="none"/>
        </w:rPr>
      </w:pPr>
    </w:p>
    <w:p>
      <w:pPr>
        <w:pStyle w:val="15"/>
        <w:tabs>
          <w:tab w:val="left" w:pos="5580"/>
        </w:tabs>
        <w:spacing w:line="240" w:lineRule="atLeast"/>
        <w:rPr>
          <w:rFonts w:hint="eastAsia" w:ascii="宋体" w:hAnsi="宋体" w:eastAsia="宋体" w:cs="宋体"/>
          <w:b/>
          <w:color w:val="auto"/>
          <w:sz w:val="24"/>
          <w:highlight w:val="none"/>
        </w:rPr>
      </w:pPr>
    </w:p>
    <w:p>
      <w:pPr>
        <w:pStyle w:val="4"/>
        <w:tabs>
          <w:tab w:val="left" w:pos="5580"/>
        </w:tabs>
        <w:spacing w:line="400" w:lineRule="exact"/>
        <w:ind w:left="1080" w:leftChars="257" w:hanging="540"/>
        <w:jc w:val="center"/>
        <w:rPr>
          <w:rFonts w:hint="eastAsia" w:hAnsi="宋体" w:cs="宋体"/>
          <w:b/>
          <w:color w:val="auto"/>
          <w:highlight w:val="none"/>
          <w:lang w:eastAsia="zh-CN"/>
        </w:rPr>
      </w:pPr>
    </w:p>
    <w:p>
      <w:pPr>
        <w:pStyle w:val="4"/>
        <w:tabs>
          <w:tab w:val="left" w:pos="5580"/>
        </w:tabs>
        <w:spacing w:line="400" w:lineRule="exact"/>
        <w:ind w:left="1080" w:leftChars="257" w:hanging="540"/>
        <w:jc w:val="center"/>
        <w:rPr>
          <w:rFonts w:hint="eastAsia" w:hAnsi="宋体" w:cs="宋体"/>
          <w:b/>
          <w:color w:val="auto"/>
          <w:highlight w:val="none"/>
          <w:lang w:eastAsia="zh-CN"/>
        </w:rPr>
      </w:pPr>
    </w:p>
    <w:p>
      <w:pPr>
        <w:rPr>
          <w:rFonts w:hint="eastAsia" w:hAnsi="宋体" w:cs="宋体"/>
          <w:b/>
          <w:color w:val="auto"/>
          <w:highlight w:val="none"/>
          <w:lang w:eastAsia="zh-CN"/>
        </w:rPr>
      </w:pPr>
      <w:r>
        <w:rPr>
          <w:rFonts w:hint="eastAsia" w:hAnsi="宋体" w:cs="宋体"/>
          <w:b/>
          <w:color w:val="auto"/>
          <w:highlight w:val="none"/>
          <w:lang w:eastAsia="zh-CN"/>
        </w:rPr>
        <w:br w:type="page"/>
      </w:r>
    </w:p>
    <w:p>
      <w:pPr>
        <w:pStyle w:val="5"/>
        <w:rPr>
          <w:rFonts w:hint="eastAsia"/>
          <w:lang w:eastAsia="zh-CN"/>
        </w:rPr>
      </w:pPr>
    </w:p>
    <w:p>
      <w:pPr>
        <w:pStyle w:val="4"/>
        <w:tabs>
          <w:tab w:val="left" w:pos="5580"/>
        </w:tabs>
        <w:spacing w:line="400" w:lineRule="exact"/>
        <w:ind w:left="1080" w:leftChars="257" w:hanging="540"/>
        <w:jc w:val="center"/>
        <w:outlineLvl w:val="3"/>
        <w:rPr>
          <w:rFonts w:hint="eastAsia" w:ascii="宋体" w:hAnsi="宋体" w:eastAsia="宋体" w:cs="宋体"/>
          <w:color w:val="auto"/>
          <w:highlight w:val="none"/>
        </w:rPr>
      </w:pPr>
      <w:r>
        <w:rPr>
          <w:rFonts w:hint="eastAsia" w:hAnsi="宋体" w:cs="宋体"/>
          <w:b/>
          <w:color w:val="auto"/>
          <w:highlight w:val="none"/>
          <w:lang w:eastAsia="zh-CN"/>
        </w:rPr>
        <w:t>（</w:t>
      </w:r>
      <w:r>
        <w:rPr>
          <w:rFonts w:hint="eastAsia" w:hAnsi="宋体" w:cs="宋体"/>
          <w:b/>
          <w:color w:val="auto"/>
          <w:highlight w:val="none"/>
          <w:lang w:val="en-US" w:eastAsia="zh-CN"/>
        </w:rPr>
        <w:t>标项二）</w:t>
      </w:r>
      <w:r>
        <w:rPr>
          <w:rFonts w:hint="eastAsia" w:ascii="宋体" w:hAnsi="宋体" w:eastAsia="宋体" w:cs="宋体"/>
          <w:b/>
          <w:color w:val="auto"/>
          <w:highlight w:val="none"/>
        </w:rPr>
        <w:t>开标一览表</w:t>
      </w:r>
      <w:bookmarkEnd w:id="1455"/>
    </w:p>
    <w:p>
      <w:pPr>
        <w:tabs>
          <w:tab w:val="left" w:pos="1800"/>
          <w:tab w:val="left" w:pos="5580"/>
        </w:tabs>
        <w:spacing w:line="400" w:lineRule="exact"/>
        <w:ind w:left="1080" w:leftChars="257" w:right="-867" w:rightChars="-413"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项目名称：　                  项目编号：                          </w:t>
      </w:r>
    </w:p>
    <w:p>
      <w:pPr>
        <w:tabs>
          <w:tab w:val="left" w:pos="1800"/>
          <w:tab w:val="left" w:pos="5580"/>
        </w:tabs>
        <w:spacing w:line="400" w:lineRule="exact"/>
        <w:ind w:left="1080" w:leftChars="257" w:right="-867" w:rightChars="-413" w:hanging="54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报价单位：</w:t>
      </w:r>
      <w:r>
        <w:rPr>
          <w:rFonts w:hint="eastAsia" w:ascii="宋体" w:hAnsi="宋体" w:cs="宋体"/>
          <w:color w:val="auto"/>
          <w:sz w:val="24"/>
          <w:highlight w:val="none"/>
          <w:lang w:val="en-US" w:eastAsia="zh-CN"/>
        </w:rPr>
        <w:t>下浮率%</w:t>
      </w:r>
      <w:r>
        <w:rPr>
          <w:rFonts w:hint="eastAsia" w:ascii="宋体" w:hAnsi="宋体" w:eastAsia="宋体" w:cs="宋体"/>
          <w:b/>
          <w:color w:val="auto"/>
          <w:sz w:val="24"/>
          <w:highlight w:val="none"/>
          <w:lang w:val="en-US" w:eastAsia="zh-CN"/>
        </w:rPr>
        <w:t xml:space="preserve">        </w:t>
      </w:r>
    </w:p>
    <w:tbl>
      <w:tblPr>
        <w:tblStyle w:val="27"/>
        <w:tblW w:w="8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19"/>
        <w:gridCol w:w="2158"/>
        <w:gridCol w:w="1503"/>
        <w:gridCol w:w="1814"/>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1019" w:type="dxa"/>
            <w:vAlign w:val="center"/>
          </w:tcPr>
          <w:p>
            <w:pPr>
              <w:tabs>
                <w:tab w:val="left" w:pos="5580"/>
              </w:tabs>
              <w:spacing w:line="400" w:lineRule="exact"/>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货物</w:t>
            </w:r>
            <w:r>
              <w:rPr>
                <w:rFonts w:hint="eastAsia" w:ascii="宋体" w:hAnsi="宋体" w:eastAsia="宋体" w:cs="宋体"/>
                <w:color w:val="auto"/>
                <w:sz w:val="24"/>
                <w:highlight w:val="none"/>
                <w:lang w:val="en-US" w:eastAsia="zh-CN"/>
              </w:rPr>
              <w:t>名称</w:t>
            </w:r>
          </w:p>
        </w:tc>
        <w:tc>
          <w:tcPr>
            <w:tcW w:w="2158" w:type="dxa"/>
            <w:vAlign w:val="center"/>
          </w:tcPr>
          <w:p>
            <w:pPr>
              <w:tabs>
                <w:tab w:val="left" w:pos="5580"/>
              </w:tabs>
              <w:spacing w:line="400" w:lineRule="exact"/>
              <w:jc w:val="cente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w:t>
            </w:r>
            <w:r>
              <w:rPr>
                <w:rFonts w:hint="eastAsia" w:ascii="宋体" w:hAnsi="宋体" w:cs="宋体"/>
                <w:color w:val="auto"/>
                <w:sz w:val="24"/>
                <w:highlight w:val="none"/>
                <w:lang w:val="en-US" w:eastAsia="zh-CN"/>
              </w:rPr>
              <w:t>平均下浮率</w:t>
            </w:r>
          </w:p>
        </w:tc>
        <w:tc>
          <w:tcPr>
            <w:tcW w:w="1503" w:type="dxa"/>
            <w:vAlign w:val="center"/>
          </w:tcPr>
          <w:p>
            <w:pPr>
              <w:tabs>
                <w:tab w:val="left" w:pos="5580"/>
              </w:tabs>
              <w:spacing w:line="40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投标保证金</w:t>
            </w:r>
          </w:p>
        </w:tc>
        <w:tc>
          <w:tcPr>
            <w:tcW w:w="1814" w:type="dxa"/>
            <w:vAlign w:val="center"/>
          </w:tcPr>
          <w:p>
            <w:pPr>
              <w:tabs>
                <w:tab w:val="left" w:pos="5580"/>
              </w:tabs>
              <w:spacing w:line="400" w:lineRule="exact"/>
              <w:jc w:val="center"/>
              <w:rPr>
                <w:rFonts w:hint="eastAsia" w:ascii="宋体" w:hAnsi="宋体" w:eastAsia="宋体" w:cs="宋体"/>
                <w:color w:val="auto"/>
                <w:sz w:val="24"/>
                <w:highlight w:val="none"/>
                <w:lang w:val="en-US" w:eastAsia="zh-CN"/>
              </w:rPr>
            </w:pPr>
            <w:r>
              <w:rPr>
                <w:rFonts w:hint="eastAsia" w:ascii="宋体" w:hAnsi="宋体" w:cs="宋体"/>
                <w:color w:val="000000" w:themeColor="text1"/>
                <w:sz w:val="24"/>
                <w:highlight w:val="none"/>
                <w:lang w:val="en-US" w:eastAsia="zh-CN"/>
                <w14:textFill>
                  <w14:solidFill>
                    <w14:schemeClr w14:val="tx1"/>
                  </w14:solidFill>
                </w14:textFill>
              </w:rPr>
              <w:t>交货期</w:t>
            </w:r>
          </w:p>
        </w:tc>
        <w:tc>
          <w:tcPr>
            <w:tcW w:w="1814" w:type="dxa"/>
            <w:vAlign w:val="center"/>
          </w:tcPr>
          <w:p>
            <w:pPr>
              <w:tabs>
                <w:tab w:val="left" w:pos="5580"/>
              </w:tabs>
              <w:spacing w:line="400" w:lineRule="exact"/>
              <w:jc w:val="center"/>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45" w:hRule="atLeast"/>
          <w:jc w:val="center"/>
        </w:trPr>
        <w:tc>
          <w:tcPr>
            <w:tcW w:w="1019" w:type="dxa"/>
            <w:vAlign w:val="center"/>
          </w:tcPr>
          <w:p>
            <w:pPr>
              <w:tabs>
                <w:tab w:val="left" w:pos="5580"/>
              </w:tabs>
              <w:spacing w:line="400" w:lineRule="exact"/>
              <w:jc w:val="center"/>
              <w:rPr>
                <w:rFonts w:hint="eastAsia" w:ascii="宋体" w:hAnsi="宋体" w:eastAsia="宋体" w:cs="宋体"/>
                <w:color w:val="auto"/>
                <w:sz w:val="24"/>
                <w:highlight w:val="none"/>
                <w:lang w:val="en-US" w:eastAsia="zh-CN"/>
              </w:rPr>
            </w:pPr>
          </w:p>
        </w:tc>
        <w:tc>
          <w:tcPr>
            <w:tcW w:w="2158" w:type="dxa"/>
            <w:vAlign w:val="center"/>
          </w:tcPr>
          <w:p>
            <w:pPr>
              <w:tabs>
                <w:tab w:val="left" w:pos="5580"/>
              </w:tabs>
              <w:spacing w:line="400" w:lineRule="exact"/>
              <w:ind w:firstLine="1928" w:firstLineChars="800"/>
              <w:jc w:val="left"/>
              <w:rPr>
                <w:rFonts w:hint="default" w:ascii="宋体" w:hAnsi="宋体" w:eastAsia="宋体" w:cs="宋体"/>
                <w:color w:val="auto"/>
                <w:sz w:val="24"/>
                <w:highlight w:val="none"/>
                <w:lang w:val="en-US" w:eastAsia="zh-CN"/>
              </w:rPr>
            </w:pPr>
            <w:r>
              <w:rPr>
                <w:rFonts w:hint="eastAsia" w:ascii="宋体" w:hAnsi="宋体" w:cs="宋体"/>
                <w:b/>
                <w:bCs/>
                <w:color w:val="auto"/>
                <w:sz w:val="24"/>
                <w:highlight w:val="none"/>
                <w:lang w:val="en-US" w:eastAsia="zh-CN"/>
              </w:rPr>
              <w:t>%</w:t>
            </w:r>
          </w:p>
        </w:tc>
        <w:tc>
          <w:tcPr>
            <w:tcW w:w="1503" w:type="dxa"/>
            <w:vAlign w:val="center"/>
          </w:tcPr>
          <w:p>
            <w:pPr>
              <w:tabs>
                <w:tab w:val="left" w:pos="5580"/>
              </w:tabs>
              <w:spacing w:line="400" w:lineRule="exact"/>
              <w:jc w:val="center"/>
              <w:rPr>
                <w:rFonts w:hint="eastAsia" w:ascii="宋体" w:hAnsi="宋体" w:eastAsia="宋体" w:cs="宋体"/>
                <w:color w:val="auto"/>
                <w:sz w:val="24"/>
                <w:highlight w:val="none"/>
                <w:lang w:val="en-US" w:eastAsia="zh-CN"/>
              </w:rPr>
            </w:pPr>
          </w:p>
        </w:tc>
        <w:tc>
          <w:tcPr>
            <w:tcW w:w="1814" w:type="dxa"/>
            <w:vAlign w:val="center"/>
          </w:tcPr>
          <w:p>
            <w:pPr>
              <w:tabs>
                <w:tab w:val="left" w:pos="5580"/>
              </w:tabs>
              <w:spacing w:line="400" w:lineRule="exact"/>
              <w:jc w:val="center"/>
              <w:rPr>
                <w:rFonts w:hint="default" w:ascii="宋体" w:hAnsi="宋体" w:eastAsia="宋体" w:cs="宋体"/>
                <w:color w:val="auto"/>
                <w:sz w:val="24"/>
                <w:highlight w:val="none"/>
                <w:lang w:val="en-US" w:eastAsia="zh-CN"/>
              </w:rPr>
            </w:pPr>
            <w:r>
              <w:rPr>
                <w:rFonts w:hint="eastAsia" w:ascii="宋体" w:hAnsi="宋体" w:cs="宋体"/>
                <w:color w:val="000000" w:themeColor="text1"/>
                <w:sz w:val="24"/>
                <w:highlight w:val="none"/>
                <w:lang w:val="en-US" w:eastAsia="zh-CN"/>
                <w14:textFill>
                  <w14:solidFill>
                    <w14:schemeClr w14:val="tx1"/>
                  </w14:solidFill>
                </w14:textFill>
              </w:rPr>
              <w:t>按采购单位要求时间，分批次供货</w:t>
            </w:r>
          </w:p>
        </w:tc>
        <w:tc>
          <w:tcPr>
            <w:tcW w:w="1814" w:type="dxa"/>
            <w:vAlign w:val="center"/>
          </w:tcPr>
          <w:p>
            <w:pPr>
              <w:tabs>
                <w:tab w:val="left" w:pos="5580"/>
              </w:tabs>
              <w:spacing w:line="400" w:lineRule="exact"/>
              <w:jc w:val="center"/>
              <w:rPr>
                <w:rFonts w:hint="eastAsia" w:ascii="宋体" w:hAnsi="宋体" w:cs="宋体"/>
                <w:color w:val="000000" w:themeColor="text1"/>
                <w:sz w:val="24"/>
                <w:highlight w:val="none"/>
                <w:lang w:val="en-US" w:eastAsia="zh-CN"/>
                <w14:textFill>
                  <w14:solidFill>
                    <w14:schemeClr w14:val="tx1"/>
                  </w14:solidFill>
                </w14:textFill>
              </w:rPr>
            </w:pPr>
          </w:p>
        </w:tc>
      </w:tr>
    </w:tbl>
    <w:p>
      <w:pPr>
        <w:pStyle w:val="15"/>
        <w:tabs>
          <w:tab w:val="left" w:pos="5580"/>
        </w:tabs>
        <w:spacing w:line="400" w:lineRule="exact"/>
        <w:ind w:left="1080" w:leftChars="257" w:hanging="540"/>
        <w:rPr>
          <w:rFonts w:hint="eastAsia" w:ascii="宋体" w:hAnsi="宋体" w:eastAsia="宋体" w:cs="宋体"/>
          <w:color w:val="auto"/>
          <w:sz w:val="24"/>
          <w:highlight w:val="none"/>
        </w:rPr>
      </w:pPr>
    </w:p>
    <w:p>
      <w:pPr>
        <w:pStyle w:val="15"/>
        <w:tabs>
          <w:tab w:val="left" w:pos="5580"/>
        </w:tabs>
        <w:spacing w:line="400" w:lineRule="exact"/>
        <w:ind w:left="1080" w:leftChars="257" w:hanging="540"/>
        <w:rPr>
          <w:rFonts w:hint="eastAsia" w:ascii="宋体" w:hAnsi="宋体" w:eastAsia="宋体" w:cs="宋体"/>
          <w:color w:val="auto"/>
          <w:sz w:val="24"/>
          <w:highlight w:val="none"/>
          <w:u w:val="single"/>
        </w:rPr>
      </w:pPr>
    </w:p>
    <w:p>
      <w:pPr>
        <w:pStyle w:val="15"/>
        <w:tabs>
          <w:tab w:val="left" w:pos="5580"/>
        </w:tabs>
        <w:spacing w:line="400" w:lineRule="exact"/>
        <w:ind w:left="1080"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供应商名称（公章）：</w:t>
      </w:r>
      <w:r>
        <w:rPr>
          <w:rFonts w:hint="eastAsia" w:ascii="宋体" w:hAnsi="宋体" w:eastAsia="宋体" w:cs="宋体"/>
          <w:color w:val="auto"/>
          <w:sz w:val="24"/>
          <w:highlight w:val="none"/>
          <w:u w:val="single"/>
        </w:rPr>
        <w:t xml:space="preserve">                       </w:t>
      </w:r>
    </w:p>
    <w:p>
      <w:pPr>
        <w:pStyle w:val="15"/>
        <w:tabs>
          <w:tab w:val="left" w:pos="5580"/>
        </w:tabs>
        <w:spacing w:line="400" w:lineRule="exact"/>
        <w:ind w:left="1080" w:leftChars="257" w:hanging="540"/>
        <w:rPr>
          <w:rFonts w:hint="eastAsia" w:ascii="宋体" w:hAnsi="宋体" w:eastAsia="宋体" w:cs="宋体"/>
          <w:color w:val="auto"/>
          <w:sz w:val="24"/>
          <w:highlight w:val="none"/>
          <w:u w:val="single"/>
          <w:lang w:val="en-US" w:eastAsia="zh-CN"/>
        </w:rPr>
      </w:pPr>
      <w:r>
        <w:rPr>
          <w:rFonts w:hint="eastAsia" w:ascii="宋体" w:hAnsi="宋体" w:eastAsia="宋体" w:cs="宋体"/>
          <w:color w:val="auto"/>
          <w:sz w:val="24"/>
          <w:highlight w:val="none"/>
        </w:rPr>
        <w:t>法定代表人</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签字或盖章</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ab/>
      </w:r>
      <w:r>
        <w:rPr>
          <w:rFonts w:hint="eastAsia" w:hAnsi="宋体" w:cs="宋体"/>
          <w:color w:val="auto"/>
          <w:sz w:val="24"/>
          <w:highlight w:val="none"/>
          <w:u w:val="single"/>
          <w:lang w:val="en-US" w:eastAsia="zh-CN"/>
        </w:rPr>
        <w:t xml:space="preserve"> </w:t>
      </w:r>
    </w:p>
    <w:p>
      <w:pPr>
        <w:pStyle w:val="15"/>
        <w:tabs>
          <w:tab w:val="left" w:pos="5580"/>
        </w:tabs>
        <w:spacing w:line="400" w:lineRule="exact"/>
        <w:ind w:left="1080" w:leftChars="257" w:hanging="540"/>
        <w:rPr>
          <w:rFonts w:hint="eastAsia" w:ascii="宋体" w:hAnsi="宋体" w:eastAsia="宋体" w:cs="宋体"/>
          <w:color w:val="auto"/>
          <w:sz w:val="24"/>
          <w:highlight w:val="none"/>
        </w:rPr>
      </w:pPr>
    </w:p>
    <w:p>
      <w:pPr>
        <w:pStyle w:val="15"/>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注:1、此表应按供应商须知的规定</w:t>
      </w:r>
      <w:r>
        <w:rPr>
          <w:rFonts w:hint="eastAsia" w:ascii="宋体" w:hAnsi="宋体" w:eastAsia="宋体" w:cs="宋体"/>
          <w:color w:val="auto"/>
          <w:sz w:val="24"/>
          <w:szCs w:val="24"/>
          <w:highlight w:val="none"/>
          <w:lang w:val="en-US" w:eastAsia="zh-CN"/>
        </w:rPr>
        <w:t>制作</w:t>
      </w:r>
      <w:r>
        <w:rPr>
          <w:rFonts w:hint="eastAsia" w:ascii="宋体" w:hAnsi="宋体" w:eastAsia="宋体" w:cs="宋体"/>
          <w:color w:val="auto"/>
          <w:sz w:val="24"/>
          <w:szCs w:val="24"/>
          <w:highlight w:val="none"/>
        </w:rPr>
        <w:t>。</w:t>
      </w:r>
    </w:p>
    <w:p>
      <w:pPr>
        <w:pStyle w:val="15"/>
        <w:tabs>
          <w:tab w:val="left" w:pos="5580"/>
        </w:tabs>
        <w:spacing w:line="400" w:lineRule="exact"/>
        <w:ind w:left="741" w:leftChars="353"/>
        <w:rPr>
          <w:rFonts w:hint="eastAsia" w:ascii="宋体" w:hAnsi="宋体" w:eastAsia="宋体" w:cs="宋体"/>
          <w:b w:val="0"/>
          <w:bCs w:val="0"/>
          <w:color w:val="auto"/>
          <w:sz w:val="24"/>
          <w:szCs w:val="24"/>
          <w:highlight w:val="none"/>
        </w:rPr>
      </w:pPr>
      <w:r>
        <w:rPr>
          <w:rFonts w:hint="eastAsia" w:hAnsi="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、投标商报价时包含税费等一切与本次项目相关的费用。</w:t>
      </w:r>
    </w:p>
    <w:p>
      <w:pPr>
        <w:pStyle w:val="4"/>
        <w:rPr>
          <w:rFonts w:hint="eastAsia" w:ascii="宋体" w:hAnsi="宋体" w:eastAsia="宋体" w:cs="宋体"/>
          <w:color w:val="auto"/>
          <w:sz w:val="24"/>
          <w:szCs w:val="24"/>
          <w:highlight w:val="none"/>
        </w:rPr>
      </w:pPr>
    </w:p>
    <w:p>
      <w:pPr>
        <w:pStyle w:val="15"/>
        <w:tabs>
          <w:tab w:val="left" w:pos="5580"/>
        </w:tabs>
        <w:spacing w:line="240" w:lineRule="atLeast"/>
        <w:rPr>
          <w:rFonts w:hint="eastAsia" w:ascii="宋体" w:hAnsi="宋体" w:eastAsia="宋体" w:cs="宋体"/>
          <w:b/>
          <w:color w:val="auto"/>
          <w:sz w:val="24"/>
          <w:highlight w:val="none"/>
        </w:rPr>
      </w:pPr>
    </w:p>
    <w:p>
      <w:pPr>
        <w:pStyle w:val="15"/>
        <w:tabs>
          <w:tab w:val="left" w:pos="5580"/>
        </w:tabs>
        <w:spacing w:line="240" w:lineRule="atLeast"/>
        <w:rPr>
          <w:rFonts w:hint="eastAsia" w:ascii="宋体" w:hAnsi="宋体" w:eastAsia="宋体" w:cs="宋体"/>
          <w:b/>
          <w:color w:val="auto"/>
          <w:sz w:val="24"/>
          <w:highlight w:val="none"/>
        </w:rPr>
      </w:pPr>
    </w:p>
    <w:p>
      <w:pPr>
        <w:pStyle w:val="15"/>
        <w:tabs>
          <w:tab w:val="left" w:pos="5580"/>
        </w:tabs>
        <w:spacing w:line="240" w:lineRule="atLeast"/>
        <w:rPr>
          <w:rFonts w:hint="eastAsia" w:ascii="宋体" w:hAnsi="宋体" w:eastAsia="宋体" w:cs="宋体"/>
          <w:b/>
          <w:color w:val="auto"/>
          <w:sz w:val="24"/>
          <w:highlight w:val="none"/>
        </w:rPr>
      </w:pPr>
    </w:p>
    <w:p>
      <w:pPr>
        <w:pStyle w:val="4"/>
        <w:rPr>
          <w:rFonts w:hint="eastAsia" w:ascii="宋体" w:hAnsi="宋体" w:eastAsia="宋体" w:cs="宋体"/>
          <w:b/>
          <w:color w:val="auto"/>
          <w:sz w:val="24"/>
          <w:highlight w:val="none"/>
        </w:rPr>
      </w:pPr>
    </w:p>
    <w:p>
      <w:pPr>
        <w:pStyle w:val="5"/>
        <w:rPr>
          <w:rFonts w:hint="eastAsia" w:ascii="宋体" w:hAnsi="宋体" w:eastAsia="宋体" w:cs="宋体"/>
          <w:b/>
          <w:color w:val="auto"/>
          <w:sz w:val="24"/>
          <w:highlight w:val="none"/>
        </w:rPr>
      </w:pPr>
    </w:p>
    <w:p>
      <w:pPr>
        <w:rPr>
          <w:rFonts w:hint="eastAsia" w:ascii="宋体" w:hAnsi="宋体" w:eastAsia="宋体" w:cs="宋体"/>
          <w:b/>
          <w:color w:val="auto"/>
          <w:sz w:val="24"/>
          <w:highlight w:val="none"/>
        </w:rPr>
      </w:pPr>
    </w:p>
    <w:p>
      <w:pPr>
        <w:pStyle w:val="21"/>
        <w:rPr>
          <w:rFonts w:hint="eastAsia" w:ascii="宋体" w:hAnsi="宋体" w:eastAsia="宋体" w:cs="宋体"/>
          <w:b/>
          <w:color w:val="auto"/>
          <w:sz w:val="24"/>
          <w:highlight w:val="none"/>
        </w:rPr>
      </w:pPr>
    </w:p>
    <w:p>
      <w:pPr>
        <w:pStyle w:val="12"/>
        <w:rPr>
          <w:rFonts w:hint="eastAsia" w:ascii="宋体" w:hAnsi="宋体" w:eastAsia="宋体" w:cs="宋体"/>
          <w:b/>
          <w:color w:val="auto"/>
          <w:sz w:val="24"/>
          <w:highlight w:val="none"/>
        </w:rPr>
      </w:pPr>
    </w:p>
    <w:p>
      <w:pPr>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p>
    <w:p>
      <w:pPr>
        <w:pStyle w:val="8"/>
        <w:keepNext/>
        <w:keepLines/>
        <w:pageBreakBefore w:val="0"/>
        <w:widowControl w:val="0"/>
        <w:kinsoku/>
        <w:wordWrap/>
        <w:overflowPunct/>
        <w:topLinePunct w:val="0"/>
        <w:autoSpaceDE w:val="0"/>
        <w:autoSpaceDN w:val="0"/>
        <w:bidi w:val="0"/>
        <w:adjustRightInd w:val="0"/>
        <w:snapToGrid/>
        <w:spacing w:before="0" w:line="400" w:lineRule="exact"/>
        <w:jc w:val="left"/>
        <w:textAlignment w:val="auto"/>
        <w:outlineLvl w:val="2"/>
        <w:rPr>
          <w:rFonts w:hint="eastAsia" w:ascii="宋体" w:hAnsi="宋体" w:eastAsia="宋体" w:cs="宋体"/>
          <w:b/>
          <w:bCs/>
          <w:color w:val="auto"/>
          <w:sz w:val="24"/>
          <w:szCs w:val="24"/>
          <w:highlight w:val="none"/>
          <w:u w:val="none"/>
        </w:rPr>
      </w:pPr>
      <w:bookmarkStart w:id="1456" w:name="_Toc32165"/>
      <w:r>
        <w:rPr>
          <w:rFonts w:hint="eastAsia" w:ascii="宋体" w:hAnsi="宋体" w:eastAsia="宋体" w:cs="宋体"/>
          <w:b/>
          <w:bCs/>
          <w:color w:val="auto"/>
          <w:sz w:val="24"/>
          <w:szCs w:val="24"/>
          <w:highlight w:val="none"/>
          <w:u w:val="none"/>
        </w:rPr>
        <w:t>2.</w:t>
      </w:r>
      <w:r>
        <w:rPr>
          <w:rFonts w:hint="eastAsia" w:hAnsi="宋体" w:cs="宋体"/>
          <w:b/>
          <w:bCs/>
          <w:color w:val="auto"/>
          <w:sz w:val="24"/>
          <w:szCs w:val="24"/>
          <w:highlight w:val="none"/>
          <w:u w:val="none"/>
          <w:lang w:eastAsia="zh-CN"/>
        </w:rPr>
        <w:t>合格有效的三证合一的营业执照（三证合一）或电子营业执照（需加盖公章）或同等法律效力的证明文件（发证机关或公证机关出具的证明材料）</w:t>
      </w:r>
      <w:r>
        <w:rPr>
          <w:rFonts w:hint="eastAsia" w:ascii="宋体" w:hAnsi="宋体" w:eastAsia="宋体" w:cs="宋体"/>
          <w:b/>
          <w:bCs/>
          <w:color w:val="auto"/>
          <w:sz w:val="24"/>
          <w:szCs w:val="24"/>
          <w:highlight w:val="none"/>
          <w:u w:val="none"/>
        </w:rPr>
        <w:t>；</w:t>
      </w:r>
      <w:bookmarkEnd w:id="1456"/>
    </w:p>
    <w:p>
      <w:pPr>
        <w:pStyle w:val="15"/>
        <w:tabs>
          <w:tab w:val="left" w:pos="5580"/>
        </w:tabs>
        <w:spacing w:line="240" w:lineRule="atLeast"/>
        <w:jc w:val="center"/>
        <w:rPr>
          <w:rFonts w:hint="eastAsia" w:ascii="宋体" w:hAnsi="宋体" w:eastAsia="宋体" w:cs="宋体"/>
          <w:b/>
          <w:color w:val="auto"/>
          <w:sz w:val="24"/>
          <w:highlight w:val="none"/>
        </w:rPr>
      </w:pPr>
    </w:p>
    <w:p>
      <w:pPr>
        <w:pStyle w:val="15"/>
        <w:tabs>
          <w:tab w:val="left" w:pos="5580"/>
        </w:tabs>
        <w:spacing w:line="240" w:lineRule="atLeast"/>
        <w:jc w:val="center"/>
        <w:rPr>
          <w:rFonts w:hint="eastAsia" w:ascii="宋体" w:hAnsi="宋体" w:eastAsia="宋体" w:cs="宋体"/>
          <w:b/>
          <w:color w:val="auto"/>
          <w:sz w:val="24"/>
          <w:highlight w:val="none"/>
        </w:rPr>
      </w:pPr>
    </w:p>
    <w:p>
      <w:pPr>
        <w:pStyle w:val="22"/>
        <w:ind w:left="0" w:leftChars="0" w:firstLine="0" w:firstLineChars="0"/>
        <w:rPr>
          <w:rFonts w:hint="eastAsia" w:ascii="宋体" w:hAnsi="宋体" w:eastAsia="宋体" w:cs="宋体"/>
          <w:b/>
          <w:color w:val="auto"/>
          <w:sz w:val="24"/>
          <w:highlight w:val="none"/>
        </w:rPr>
      </w:pPr>
    </w:p>
    <w:p>
      <w:pPr>
        <w:rPr>
          <w:rFonts w:hint="eastAsia" w:ascii="宋体" w:hAnsi="宋体" w:eastAsia="宋体" w:cs="宋体"/>
          <w:b/>
          <w:color w:val="auto"/>
          <w:sz w:val="24"/>
          <w:highlight w:val="none"/>
        </w:rPr>
      </w:pPr>
    </w:p>
    <w:p>
      <w:pPr>
        <w:pStyle w:val="21"/>
        <w:rPr>
          <w:rFonts w:hint="eastAsia" w:ascii="宋体" w:hAnsi="宋体" w:eastAsia="宋体" w:cs="宋体"/>
          <w:b/>
          <w:color w:val="auto"/>
          <w:sz w:val="24"/>
          <w:highlight w:val="none"/>
        </w:rPr>
      </w:pPr>
    </w:p>
    <w:p>
      <w:pPr>
        <w:pStyle w:val="12"/>
        <w:rPr>
          <w:rFonts w:hint="eastAsia" w:ascii="宋体" w:hAnsi="宋体" w:eastAsia="宋体" w:cs="宋体"/>
          <w:b/>
          <w:color w:val="auto"/>
          <w:sz w:val="24"/>
          <w:highlight w:val="none"/>
        </w:rPr>
      </w:pPr>
    </w:p>
    <w:p>
      <w:pPr>
        <w:pStyle w:val="13"/>
        <w:rPr>
          <w:rFonts w:hint="eastAsia"/>
        </w:rPr>
      </w:pPr>
    </w:p>
    <w:p>
      <w:pPr>
        <w:rPr>
          <w:rFonts w:hint="eastAsia"/>
        </w:rPr>
      </w:pPr>
    </w:p>
    <w:p>
      <w:pPr>
        <w:rPr>
          <w:rFonts w:hint="eastAsia"/>
        </w:rPr>
      </w:pPr>
    </w:p>
    <w:p>
      <w:pPr>
        <w:pStyle w:val="15"/>
        <w:tabs>
          <w:tab w:val="left" w:pos="5580"/>
        </w:tabs>
        <w:spacing w:line="240" w:lineRule="atLeast"/>
        <w:jc w:val="center"/>
        <w:rPr>
          <w:rFonts w:hint="eastAsia" w:ascii="宋体" w:hAnsi="宋体" w:eastAsia="宋体" w:cs="宋体"/>
          <w:b/>
          <w:color w:val="auto"/>
          <w:sz w:val="24"/>
          <w:highlight w:val="none"/>
        </w:rPr>
      </w:pPr>
    </w:p>
    <w:p>
      <w:pPr>
        <w:pStyle w:val="15"/>
        <w:keepNext w:val="0"/>
        <w:keepLines w:val="0"/>
        <w:pageBreakBefore w:val="0"/>
        <w:widowControl w:val="0"/>
        <w:tabs>
          <w:tab w:val="left" w:pos="5580"/>
        </w:tabs>
        <w:kinsoku/>
        <w:wordWrap/>
        <w:overflowPunct/>
        <w:topLinePunct w:val="0"/>
        <w:autoSpaceDE/>
        <w:autoSpaceDN/>
        <w:bidi w:val="0"/>
        <w:adjustRightInd/>
        <w:snapToGrid/>
        <w:spacing w:line="240" w:lineRule="atLeast"/>
        <w:textAlignment w:val="auto"/>
        <w:outlineLvl w:val="2"/>
        <w:rPr>
          <w:rFonts w:hint="eastAsia" w:ascii="宋体" w:hAnsi="宋体" w:eastAsia="宋体" w:cs="宋体"/>
          <w:b/>
          <w:color w:val="auto"/>
          <w:sz w:val="24"/>
          <w:highlight w:val="none"/>
        </w:rPr>
      </w:pPr>
      <w:bookmarkStart w:id="1457" w:name="_Toc16923"/>
      <w:r>
        <w:rPr>
          <w:rFonts w:hint="eastAsia" w:ascii="宋体" w:hAnsi="宋体" w:eastAsia="宋体" w:cs="宋体"/>
          <w:b/>
          <w:color w:val="auto"/>
          <w:sz w:val="24"/>
          <w:highlight w:val="none"/>
          <w:lang w:val="en-US" w:eastAsia="zh-CN"/>
        </w:rPr>
        <w:t>3.</w:t>
      </w:r>
      <w:r>
        <w:rPr>
          <w:rFonts w:hint="eastAsia" w:ascii="宋体" w:hAnsi="宋体" w:eastAsia="宋体" w:cs="宋体"/>
          <w:b/>
          <w:color w:val="auto"/>
          <w:sz w:val="24"/>
          <w:highlight w:val="none"/>
          <w:lang w:val="en-US" w:eastAsia="zh-CN"/>
        </w:rPr>
        <w:fldChar w:fldCharType="begin"/>
      </w:r>
      <w:r>
        <w:rPr>
          <w:rFonts w:hint="eastAsia" w:ascii="宋体" w:hAnsi="宋体" w:eastAsia="宋体" w:cs="宋体"/>
          <w:b/>
          <w:color w:val="auto"/>
          <w:sz w:val="24"/>
          <w:highlight w:val="none"/>
          <w:lang w:val="en-US" w:eastAsia="zh-CN"/>
        </w:rPr>
        <w:instrText xml:space="preserve"> HYPERLINK \l _Toc23909 </w:instrText>
      </w:r>
      <w:r>
        <w:rPr>
          <w:rFonts w:hint="eastAsia" w:ascii="宋体" w:hAnsi="宋体" w:eastAsia="宋体" w:cs="宋体"/>
          <w:b/>
          <w:color w:val="auto"/>
          <w:sz w:val="24"/>
          <w:highlight w:val="none"/>
          <w:lang w:val="en-US" w:eastAsia="zh-CN"/>
        </w:rPr>
        <w:fldChar w:fldCharType="separate"/>
      </w:r>
      <w:r>
        <w:rPr>
          <w:rFonts w:hint="eastAsia" w:ascii="宋体" w:hAnsi="宋体" w:eastAsia="宋体" w:cs="宋体"/>
          <w:b/>
          <w:color w:val="auto"/>
          <w:sz w:val="24"/>
          <w:highlight w:val="none"/>
          <w:lang w:val="en-US" w:eastAsia="zh-CN"/>
        </w:rPr>
        <w:t>具备《食品经营许可证》或《食品生产许可证》；</w:t>
      </w:r>
      <w:r>
        <w:rPr>
          <w:rFonts w:hint="eastAsia" w:ascii="宋体" w:hAnsi="宋体" w:eastAsia="宋体" w:cs="宋体"/>
          <w:b/>
          <w:color w:val="auto"/>
          <w:sz w:val="24"/>
          <w:highlight w:val="none"/>
          <w:lang w:val="en-US" w:eastAsia="zh-CN"/>
        </w:rPr>
        <w:fldChar w:fldCharType="end"/>
      </w:r>
      <w:bookmarkEnd w:id="1457"/>
    </w:p>
    <w:p>
      <w:pPr>
        <w:pStyle w:val="15"/>
        <w:tabs>
          <w:tab w:val="left" w:pos="5580"/>
        </w:tabs>
        <w:spacing w:line="240" w:lineRule="atLeast"/>
        <w:rPr>
          <w:rFonts w:hint="eastAsia" w:ascii="宋体" w:hAnsi="宋体" w:eastAsia="宋体" w:cs="宋体"/>
          <w:b/>
          <w:color w:val="auto"/>
          <w:sz w:val="24"/>
          <w:highlight w:val="none"/>
        </w:rPr>
      </w:pPr>
    </w:p>
    <w:p>
      <w:pPr>
        <w:pStyle w:val="15"/>
        <w:tabs>
          <w:tab w:val="left" w:pos="5580"/>
        </w:tabs>
        <w:spacing w:line="240" w:lineRule="atLeast"/>
        <w:rPr>
          <w:rFonts w:hint="eastAsia" w:ascii="宋体" w:hAnsi="宋体" w:eastAsia="宋体" w:cs="宋体"/>
          <w:b/>
          <w:color w:val="auto"/>
          <w:sz w:val="24"/>
          <w:highlight w:val="none"/>
        </w:rPr>
      </w:pPr>
    </w:p>
    <w:p>
      <w:pPr>
        <w:rPr>
          <w:rFonts w:hint="eastAsia" w:ascii="宋体" w:hAnsi="宋体" w:eastAsia="宋体" w:cs="宋体"/>
          <w:b/>
          <w:color w:val="auto"/>
          <w:sz w:val="24"/>
          <w:szCs w:val="20"/>
          <w:highlight w:val="none"/>
          <w:lang w:val="en-US" w:eastAsia="zh-CN"/>
        </w:rPr>
      </w:pPr>
    </w:p>
    <w:p>
      <w:pPr>
        <w:pStyle w:val="21"/>
        <w:rPr>
          <w:rFonts w:hint="eastAsia"/>
          <w:lang w:val="en-US" w:eastAsia="zh-CN"/>
        </w:rPr>
      </w:pPr>
    </w:p>
    <w:p>
      <w:pPr>
        <w:pStyle w:val="21"/>
        <w:rPr>
          <w:rFonts w:hint="eastAsia" w:ascii="宋体" w:hAnsi="宋体" w:eastAsia="宋体" w:cs="宋体"/>
          <w:b/>
          <w:color w:val="auto"/>
          <w:sz w:val="24"/>
          <w:szCs w:val="20"/>
          <w:highlight w:val="none"/>
          <w:lang w:val="en-US" w:eastAsia="zh-CN"/>
        </w:rPr>
      </w:pPr>
    </w:p>
    <w:p>
      <w:pPr>
        <w:pStyle w:val="12"/>
        <w:rPr>
          <w:rFonts w:hint="eastAsia"/>
          <w:lang w:val="en-US" w:eastAsia="zh-CN"/>
        </w:rPr>
      </w:pPr>
    </w:p>
    <w:p>
      <w:pPr>
        <w:pStyle w:val="21"/>
        <w:rPr>
          <w:rFonts w:hint="eastAsia" w:ascii="宋体" w:hAnsi="宋体" w:eastAsia="宋体" w:cs="宋体"/>
          <w:b/>
          <w:color w:val="auto"/>
          <w:sz w:val="24"/>
          <w:szCs w:val="20"/>
          <w:highlight w:val="none"/>
          <w:lang w:val="en-US" w:eastAsia="zh-CN"/>
        </w:rPr>
      </w:pPr>
    </w:p>
    <w:p>
      <w:pPr>
        <w:pStyle w:val="12"/>
        <w:rPr>
          <w:rFonts w:hint="eastAsia" w:ascii="宋体" w:hAnsi="宋体" w:eastAsia="宋体" w:cs="宋体"/>
          <w:b/>
          <w:color w:val="auto"/>
          <w:sz w:val="24"/>
          <w:szCs w:val="20"/>
          <w:highlight w:val="none"/>
          <w:lang w:val="en-US" w:eastAsia="zh-CN"/>
        </w:rPr>
      </w:pPr>
    </w:p>
    <w:p>
      <w:pPr>
        <w:pStyle w:val="13"/>
        <w:rPr>
          <w:rFonts w:hint="eastAsia" w:ascii="宋体" w:hAnsi="宋体" w:eastAsia="宋体" w:cs="宋体"/>
          <w:b/>
          <w:color w:val="auto"/>
          <w:sz w:val="24"/>
          <w:szCs w:val="20"/>
          <w:highlight w:val="none"/>
          <w:lang w:val="en-US" w:eastAsia="zh-CN"/>
        </w:rPr>
      </w:pPr>
    </w:p>
    <w:p>
      <w:pPr>
        <w:rPr>
          <w:rFonts w:hint="eastAsia" w:ascii="宋体" w:hAnsi="宋体" w:eastAsia="宋体" w:cs="宋体"/>
          <w:b/>
          <w:color w:val="auto"/>
          <w:sz w:val="24"/>
          <w:szCs w:val="20"/>
          <w:highlight w:val="none"/>
          <w:lang w:val="en-US" w:eastAsia="zh-CN"/>
        </w:rPr>
      </w:pPr>
    </w:p>
    <w:p>
      <w:pPr>
        <w:pStyle w:val="21"/>
        <w:rPr>
          <w:rFonts w:hint="eastAsia" w:ascii="宋体" w:hAnsi="宋体" w:eastAsia="宋体" w:cs="宋体"/>
          <w:b/>
          <w:color w:val="auto"/>
          <w:sz w:val="24"/>
          <w:szCs w:val="20"/>
          <w:highlight w:val="none"/>
          <w:lang w:val="en-US" w:eastAsia="zh-CN"/>
        </w:rPr>
      </w:pPr>
    </w:p>
    <w:p>
      <w:pPr>
        <w:pStyle w:val="12"/>
        <w:rPr>
          <w:rFonts w:hint="eastAsia" w:ascii="宋体" w:hAnsi="宋体" w:eastAsia="宋体" w:cs="宋体"/>
          <w:b/>
          <w:color w:val="auto"/>
          <w:sz w:val="24"/>
          <w:szCs w:val="20"/>
          <w:highlight w:val="none"/>
          <w:lang w:val="en-US" w:eastAsia="zh-CN"/>
        </w:rPr>
      </w:pPr>
    </w:p>
    <w:p>
      <w:pPr>
        <w:pStyle w:val="13"/>
        <w:rPr>
          <w:rFonts w:hint="eastAsia" w:ascii="宋体" w:hAnsi="宋体" w:eastAsia="宋体" w:cs="宋体"/>
          <w:b/>
          <w:color w:val="auto"/>
          <w:sz w:val="24"/>
          <w:szCs w:val="20"/>
          <w:highlight w:val="none"/>
          <w:lang w:val="en-US" w:eastAsia="zh-CN"/>
        </w:rPr>
      </w:pPr>
    </w:p>
    <w:p>
      <w:pPr>
        <w:rPr>
          <w:rFonts w:hint="eastAsia" w:ascii="宋体" w:hAnsi="宋体" w:eastAsia="宋体" w:cs="宋体"/>
          <w:b/>
          <w:color w:val="auto"/>
          <w:sz w:val="24"/>
          <w:szCs w:val="20"/>
          <w:highlight w:val="none"/>
          <w:lang w:val="en-US" w:eastAsia="zh-CN"/>
        </w:rPr>
      </w:pPr>
    </w:p>
    <w:p>
      <w:pPr>
        <w:pStyle w:val="21"/>
        <w:rPr>
          <w:rFonts w:hint="eastAsia" w:ascii="宋体" w:hAnsi="宋体" w:eastAsia="宋体" w:cs="宋体"/>
          <w:b/>
          <w:color w:val="auto"/>
          <w:sz w:val="24"/>
          <w:szCs w:val="20"/>
          <w:highlight w:val="none"/>
          <w:lang w:val="en-US" w:eastAsia="zh-CN"/>
        </w:rPr>
      </w:pPr>
    </w:p>
    <w:p>
      <w:pPr>
        <w:pStyle w:val="12"/>
        <w:rPr>
          <w:rFonts w:hint="eastAsia" w:ascii="宋体" w:hAnsi="宋体" w:eastAsia="宋体" w:cs="宋体"/>
          <w:b/>
          <w:color w:val="auto"/>
          <w:sz w:val="24"/>
          <w:szCs w:val="20"/>
          <w:highlight w:val="none"/>
          <w:lang w:val="en-US" w:eastAsia="zh-CN"/>
        </w:rPr>
      </w:pPr>
    </w:p>
    <w:p>
      <w:pPr>
        <w:pStyle w:val="13"/>
        <w:rPr>
          <w:rFonts w:hint="eastAsia" w:ascii="宋体" w:hAnsi="宋体" w:eastAsia="宋体" w:cs="宋体"/>
          <w:b/>
          <w:color w:val="auto"/>
          <w:sz w:val="24"/>
          <w:szCs w:val="20"/>
          <w:highlight w:val="none"/>
          <w:lang w:val="en-US" w:eastAsia="zh-CN"/>
        </w:rPr>
      </w:pPr>
    </w:p>
    <w:p>
      <w:pPr>
        <w:rPr>
          <w:rFonts w:hint="eastAsia" w:ascii="宋体" w:hAnsi="宋体" w:eastAsia="宋体" w:cs="宋体"/>
          <w:b/>
          <w:color w:val="auto"/>
          <w:sz w:val="24"/>
          <w:szCs w:val="20"/>
          <w:highlight w:val="none"/>
          <w:lang w:val="en-US" w:eastAsia="zh-CN"/>
        </w:rPr>
      </w:pPr>
    </w:p>
    <w:p>
      <w:pPr>
        <w:pStyle w:val="21"/>
        <w:rPr>
          <w:rFonts w:hint="eastAsia" w:ascii="宋体" w:hAnsi="宋体" w:eastAsia="宋体" w:cs="宋体"/>
          <w:b/>
          <w:color w:val="auto"/>
          <w:sz w:val="24"/>
          <w:szCs w:val="20"/>
          <w:highlight w:val="none"/>
          <w:lang w:val="en-US" w:eastAsia="zh-CN"/>
        </w:rPr>
      </w:pPr>
    </w:p>
    <w:p>
      <w:pPr>
        <w:rPr>
          <w:rFonts w:hint="eastAsia" w:ascii="宋体" w:hAnsi="宋体" w:eastAsia="宋体" w:cs="宋体"/>
          <w:b/>
          <w:color w:val="auto"/>
          <w:sz w:val="24"/>
          <w:szCs w:val="20"/>
          <w:highlight w:val="none"/>
          <w:lang w:val="en-US" w:eastAsia="zh-CN"/>
        </w:rPr>
      </w:pPr>
      <w:r>
        <w:rPr>
          <w:rFonts w:hint="eastAsia" w:ascii="宋体" w:hAnsi="宋体" w:eastAsia="宋体" w:cs="宋体"/>
          <w:b/>
          <w:color w:val="auto"/>
          <w:sz w:val="24"/>
          <w:szCs w:val="20"/>
          <w:highlight w:val="none"/>
          <w:lang w:val="en-US" w:eastAsia="zh-CN"/>
        </w:rPr>
        <w:br w:type="page"/>
      </w:r>
    </w:p>
    <w:p>
      <w:pPr>
        <w:pStyle w:val="9"/>
        <w:keepNext/>
        <w:keepLines/>
        <w:pageBreakBefore w:val="0"/>
        <w:widowControl w:val="0"/>
        <w:kinsoku/>
        <w:wordWrap/>
        <w:overflowPunct/>
        <w:topLinePunct w:val="0"/>
        <w:autoSpaceDE w:val="0"/>
        <w:autoSpaceDN w:val="0"/>
        <w:bidi w:val="0"/>
        <w:adjustRightInd w:val="0"/>
        <w:snapToGrid/>
        <w:spacing w:before="0" w:line="400" w:lineRule="exact"/>
        <w:jc w:val="left"/>
        <w:textAlignment w:val="auto"/>
        <w:outlineLvl w:val="2"/>
        <w:rPr>
          <w:rFonts w:hint="eastAsia" w:ascii="宋体" w:hAnsi="宋体" w:eastAsia="宋体" w:cs="宋体"/>
          <w:b/>
          <w:bCs/>
          <w:color w:val="auto"/>
          <w:sz w:val="24"/>
          <w:szCs w:val="24"/>
          <w:highlight w:val="none"/>
          <w:u w:val="none"/>
          <w:lang w:val="en-US" w:eastAsia="zh-CN"/>
        </w:rPr>
      </w:pPr>
      <w:bookmarkStart w:id="1458" w:name="_Toc4903"/>
      <w:r>
        <w:rPr>
          <w:rFonts w:hint="eastAsia" w:hAnsi="宋体" w:cs="宋体"/>
          <w:b/>
          <w:bCs/>
          <w:color w:val="auto"/>
          <w:sz w:val="24"/>
          <w:szCs w:val="24"/>
          <w:highlight w:val="none"/>
          <w:u w:val="none"/>
          <w:lang w:val="en-US" w:eastAsia="zh-CN"/>
        </w:rPr>
        <w:t>4</w:t>
      </w:r>
      <w:r>
        <w:rPr>
          <w:rFonts w:hint="eastAsia" w:ascii="宋体" w:hAnsi="宋体" w:eastAsia="宋体" w:cs="宋体"/>
          <w:b/>
          <w:bCs/>
          <w:color w:val="auto"/>
          <w:sz w:val="24"/>
          <w:szCs w:val="24"/>
          <w:highlight w:val="none"/>
          <w:u w:val="none"/>
          <w:lang w:val="en-US" w:eastAsia="zh-CN"/>
        </w:rPr>
        <w:t>.</w:t>
      </w:r>
      <w:r>
        <w:rPr>
          <w:rFonts w:hint="eastAsia" w:hAnsi="宋体" w:cs="宋体"/>
          <w:b/>
          <w:bCs/>
          <w:color w:val="auto"/>
          <w:sz w:val="24"/>
          <w:szCs w:val="24"/>
          <w:highlight w:val="none"/>
          <w:u w:val="none"/>
          <w:lang w:val="en-US" w:eastAsia="zh-CN"/>
        </w:rPr>
        <w:t>法定代表人资格证明(需提供法定代表人身份证)；</w:t>
      </w:r>
      <w:bookmarkEnd w:id="1458"/>
    </w:p>
    <w:p>
      <w:pPr>
        <w:adjustRightInd w:val="0"/>
        <w:snapToGrid w:val="0"/>
        <w:spacing w:before="240" w:beforeLines="100" w:after="240" w:afterLines="100" w:line="360"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法定代表人身份证明</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同志，现任我单位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职务，为法定代表人，特此证明。</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签发日期：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单位：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附：代表人性别：</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年龄：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身份证号码：</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合格有效的三证合一的营业执照（三证合一）或电子营业执照（需加盖公章）或同等法律效力的证明文件（发证机关或公证机关出具的证明材料）</w:t>
      </w:r>
      <w:r>
        <w:rPr>
          <w:rFonts w:hint="eastAsia" w:ascii="宋体" w:hAnsi="宋体" w:eastAsia="宋体" w:cs="宋体"/>
          <w:color w:val="auto"/>
          <w:sz w:val="24"/>
          <w:szCs w:val="24"/>
          <w:highlight w:val="none"/>
        </w:rPr>
        <w:t>号码：</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经济性质：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1、法定代表人为企业事业单位、国家机关、社会团体的主要行政负责人。</w:t>
      </w: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b/>
          <w:bCs/>
          <w:color w:val="auto"/>
          <w:sz w:val="24"/>
          <w:szCs w:val="24"/>
          <w:highlight w:val="none"/>
        </w:rPr>
        <w:t>2、</w:t>
      </w:r>
      <w:r>
        <w:rPr>
          <w:rFonts w:hint="eastAsia" w:ascii="宋体" w:hAnsi="宋体" w:eastAsia="宋体" w:cs="宋体"/>
          <w:b/>
          <w:bCs/>
          <w:color w:val="auto"/>
          <w:sz w:val="24"/>
          <w:szCs w:val="24"/>
          <w:highlight w:val="none"/>
          <w:lang w:val="en-US" w:eastAsia="zh-CN"/>
        </w:rPr>
        <w:t>提供身份证正反面。</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内容必须填写真实、清楚、涂改无效，不得转让。</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mc:AlternateContent>
          <mc:Choice Requires="wps">
            <w:drawing>
              <wp:anchor distT="0" distB="0" distL="0" distR="0" simplePos="0" relativeHeight="251661312" behindDoc="0" locked="0" layoutInCell="1" allowOverlap="1">
                <wp:simplePos x="0" y="0"/>
                <wp:positionH relativeFrom="column">
                  <wp:posOffset>154305</wp:posOffset>
                </wp:positionH>
                <wp:positionV relativeFrom="paragraph">
                  <wp:posOffset>10795</wp:posOffset>
                </wp:positionV>
                <wp:extent cx="2333625" cy="1584325"/>
                <wp:effectExtent l="4445" t="4445" r="5080" b="11430"/>
                <wp:wrapNone/>
                <wp:docPr id="1026" name="流程图: 可选过程 14"/>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wps:txbx>
                      <wps:bodyPr wrap="square" upright="1"/>
                    </wps:wsp>
                  </a:graphicData>
                </a:graphic>
              </wp:anchor>
            </w:drawing>
          </mc:Choice>
          <mc:Fallback>
            <w:pict>
              <v:shape id="流程图: 可选过程 14" o:spid="_x0000_s1026" o:spt="176" type="#_x0000_t176" style="position:absolute;left:0pt;margin-left:12.15pt;margin-top:0.85pt;height:124.75pt;width:183.75pt;z-index:251661312;mso-width-relative:page;mso-height-relative:page;" fillcolor="#FFFFFF" filled="t" stroked="t" coordsize="21600,21600" o:gfxdata="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5WTr11gAAAAgBAAAPAAAAAAAAAAEAIAAAACIAAABkcnMvZG93bnJldi54&#10;bWxQSwECFAAUAAAACACHTuJAmbji5zUCAABiBAAADgAAAAAAAAABACAAAAAlAQAAZHJzL2Uyb0Rv&#10;Yy54bWxQSwUGAAAAAAYABgBZAQAAzA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v:textbox>
              </v:shape>
            </w:pict>
          </mc:Fallback>
        </mc:AlternateContent>
      </w:r>
      <w:r>
        <w:rPr>
          <w:rFonts w:hint="eastAsia" w:ascii="宋体" w:hAnsi="宋体" w:eastAsia="宋体" w:cs="宋体"/>
          <w:color w:val="auto"/>
          <w:sz w:val="24"/>
          <w:szCs w:val="24"/>
          <w:highlight w:val="none"/>
        </w:rPr>
        <mc:AlternateContent>
          <mc:Choice Requires="wps">
            <w:drawing>
              <wp:anchor distT="0" distB="0" distL="0" distR="0" simplePos="0" relativeHeight="251661312" behindDoc="0" locked="0" layoutInCell="1" allowOverlap="1">
                <wp:simplePos x="0" y="0"/>
                <wp:positionH relativeFrom="column">
                  <wp:posOffset>2918460</wp:posOffset>
                </wp:positionH>
                <wp:positionV relativeFrom="paragraph">
                  <wp:posOffset>28575</wp:posOffset>
                </wp:positionV>
                <wp:extent cx="2392045" cy="1557020"/>
                <wp:effectExtent l="5080" t="4445" r="12700" b="10160"/>
                <wp:wrapNone/>
                <wp:docPr id="1027" name="圆角矩形 15"/>
                <wp:cNvGraphicFramePr/>
                <a:graphic xmlns:a="http://schemas.openxmlformats.org/drawingml/2006/main">
                  <a:graphicData uri="http://schemas.microsoft.com/office/word/2010/wordprocessingShape">
                    <wps:wsp>
                      <wps:cNvSpPr/>
                      <wps:spPr>
                        <a:xfrm>
                          <a:off x="0" y="0"/>
                          <a:ext cx="2392045" cy="1557020"/>
                        </a:xfrm>
                        <a:prstGeom prst="roundRect">
                          <a:avLst>
                            <a:gd name="adj" fmla="val 16667"/>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r>
                              <w:rPr>
                                <w:rFonts w:hint="eastAsia" w:hAnsi="宋体"/>
                                <w:szCs w:val="21"/>
                              </w:rPr>
                              <w:t xml:space="preserve">  </w:t>
                            </w: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p/>
                          <w:p>
                            <w:pPr>
                              <w:pStyle w:val="4"/>
                            </w:pPr>
                          </w:p>
                          <w:p>
                            <w:pPr>
                              <w:pStyle w:val="4"/>
                            </w:pPr>
                          </w:p>
                          <w:p>
                            <w:pPr>
                              <w:pStyle w:val="4"/>
                            </w:pPr>
                          </w:p>
                          <w:p>
                            <w:pPr>
                              <w:pStyle w:val="4"/>
                            </w:pPr>
                          </w:p>
                        </w:txbxContent>
                      </wps:txbx>
                      <wps:bodyPr wrap="square" upright="1"/>
                    </wps:wsp>
                  </a:graphicData>
                </a:graphic>
              </wp:anchor>
            </w:drawing>
          </mc:Choice>
          <mc:Fallback>
            <w:pict>
              <v:roundrect id="圆角矩形 15" o:spid="_x0000_s1026" o:spt="2" style="position:absolute;left:0pt;margin-left:229.8pt;margin-top:2.25pt;height:122.6pt;width:188.35pt;z-index:251661312;mso-width-relative:page;mso-height-relative:page;" fillcolor="#FFFFFF" filled="t" stroked="t" coordsize="21600,21600" arcsize="0.166666666666667" o:gfxdata="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UD8jnaAAAACQEAAA8AAAAAAAAAAQAgAAAAIgAAAGRycy9kb3du&#10;cmV2LnhtbFBLAQIUABQAAAAIAIdO4kDJv7a+NgIAAHMEAAAOAAAAAAAAAAEAIAAAACkBAABkcnMv&#10;ZTJvRG9jLnhtbFBLBQYAAAAABgAGAFkBAADRBQAAAAA=&#10;">
                <v:fill on="t" focussize="0,0"/>
                <v:stroke color="#000000" joinstyle="miter"/>
                <v:imagedata o:title=""/>
                <o:lock v:ext="edit" aspectratio="f"/>
                <v:textbox>
                  <w:txbxContent>
                    <w:p>
                      <w:pPr>
                        <w:jc w:val="center"/>
                        <w:rPr>
                          <w:rFonts w:hAnsi="宋体"/>
                          <w:szCs w:val="21"/>
                        </w:rPr>
                      </w:pPr>
                      <w:r>
                        <w:rPr>
                          <w:rFonts w:hint="eastAsia" w:hAnsi="宋体"/>
                          <w:szCs w:val="21"/>
                        </w:rPr>
                        <w:t xml:space="preserve">  </w:t>
                      </w: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p/>
                    <w:p>
                      <w:pPr>
                        <w:pStyle w:val="4"/>
                      </w:pPr>
                    </w:p>
                    <w:p>
                      <w:pPr>
                        <w:pStyle w:val="4"/>
                      </w:pPr>
                    </w:p>
                    <w:p>
                      <w:pPr>
                        <w:pStyle w:val="4"/>
                      </w:pPr>
                    </w:p>
                    <w:p>
                      <w:pPr>
                        <w:pStyle w:val="4"/>
                      </w:pPr>
                    </w:p>
                  </w:txbxContent>
                </v:textbox>
              </v:roundrect>
            </w:pict>
          </mc:Fallback>
        </mc:AlternateConten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eastAsia="宋体" w:cs="宋体"/>
          <w:color w:val="auto"/>
          <w:sz w:val="24"/>
          <w:szCs w:val="24"/>
          <w:highlight w:val="none"/>
        </w:rPr>
      </w:pPr>
    </w:p>
    <w:p>
      <w:pPr>
        <w:autoSpaceDE w:val="0"/>
        <w:autoSpaceDN w:val="0"/>
        <w:adjustRightInd w:val="0"/>
        <w:spacing w:line="360" w:lineRule="auto"/>
        <w:ind w:right="246"/>
        <w:rPr>
          <w:rFonts w:hint="eastAsia" w:ascii="宋体" w:hAnsi="宋体" w:eastAsia="宋体" w:cs="宋体"/>
          <w:color w:val="auto"/>
          <w:kern w:val="0"/>
          <w:sz w:val="24"/>
          <w:szCs w:val="24"/>
          <w:highlight w:val="none"/>
        </w:rPr>
      </w:pPr>
    </w:p>
    <w:p>
      <w:pPr>
        <w:autoSpaceDE w:val="0"/>
        <w:autoSpaceDN w:val="0"/>
        <w:adjustRightInd w:val="0"/>
        <w:spacing w:line="360" w:lineRule="auto"/>
        <w:ind w:right="246"/>
        <w:rPr>
          <w:rFonts w:hint="eastAsia" w:ascii="宋体" w:hAnsi="宋体" w:eastAsia="宋体" w:cs="宋体"/>
          <w:color w:val="auto"/>
          <w:kern w:val="0"/>
          <w:sz w:val="24"/>
          <w:szCs w:val="24"/>
          <w:highlight w:val="none"/>
        </w:rPr>
      </w:pPr>
    </w:p>
    <w:p>
      <w:pPr>
        <w:autoSpaceDE w:val="0"/>
        <w:autoSpaceDN w:val="0"/>
        <w:adjustRightInd w:val="0"/>
        <w:spacing w:line="360" w:lineRule="auto"/>
        <w:ind w:right="246" w:firstLine="784" w:firstLineChars="327"/>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lang w:val="en-US" w:eastAsia="zh-CN"/>
        </w:rPr>
        <w:t>名称</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公</w:t>
      </w:r>
      <w:r>
        <w:rPr>
          <w:rFonts w:hint="eastAsia" w:ascii="宋体" w:hAnsi="宋体" w:eastAsia="宋体" w:cs="宋体"/>
          <w:color w:val="auto"/>
          <w:kern w:val="0"/>
          <w:sz w:val="24"/>
          <w:szCs w:val="24"/>
          <w:highlight w:val="none"/>
        </w:rPr>
        <w:t>章）：</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w:t>
      </w:r>
    </w:p>
    <w:p>
      <w:pPr>
        <w:adjustRightInd w:val="0"/>
        <w:snapToGrid w:val="0"/>
        <w:spacing w:line="360" w:lineRule="auto"/>
        <w:ind w:firstLine="784" w:firstLineChars="327"/>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法定代表人</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签/章</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autoSpaceDE w:val="0"/>
        <w:autoSpaceDN w:val="0"/>
        <w:adjustRightInd w:val="0"/>
        <w:spacing w:line="360" w:lineRule="auto"/>
        <w:ind w:right="246" w:firstLine="784" w:firstLineChars="327"/>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日期：</w:t>
      </w:r>
      <w:r>
        <w:rPr>
          <w:rFonts w:hint="eastAsia" w:ascii="宋体" w:hAnsi="宋体" w:eastAsia="宋体" w:cs="宋体"/>
          <w:color w:val="auto"/>
          <w:kern w:val="0"/>
          <w:sz w:val="24"/>
          <w:szCs w:val="24"/>
          <w:highlight w:val="none"/>
          <w:u w:val="single"/>
          <w:lang w:eastAsia="zh-CN"/>
        </w:rPr>
        <w:t xml:space="preserve">                           </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single"/>
          <w:lang w:eastAsia="zh-CN"/>
        </w:rPr>
        <w:t xml:space="preserve">        </w:t>
      </w:r>
      <w:r>
        <w:rPr>
          <w:rFonts w:hint="eastAsia" w:ascii="宋体" w:hAnsi="宋体" w:eastAsia="宋体" w:cs="宋体"/>
          <w:color w:val="auto"/>
          <w:kern w:val="0"/>
          <w:sz w:val="24"/>
          <w:szCs w:val="24"/>
          <w:highlight w:val="none"/>
          <w:lang w:eastAsia="zh-CN"/>
        </w:rPr>
        <w:t xml:space="preserve">         </w:t>
      </w:r>
    </w:p>
    <w:p>
      <w:pPr>
        <w:adjustRightInd w:val="0"/>
        <w:snapToGrid w:val="0"/>
        <w:spacing w:line="400" w:lineRule="exact"/>
        <w:ind w:firstLine="784" w:firstLineChars="327"/>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 xml:space="preserve">                                  </w:t>
      </w:r>
    </w:p>
    <w:p>
      <w:pPr>
        <w:pStyle w:val="15"/>
        <w:tabs>
          <w:tab w:val="left" w:pos="5580"/>
        </w:tabs>
        <w:spacing w:line="400" w:lineRule="exact"/>
        <w:ind w:left="1080"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说明：1.供应商为自然人的，应提供身份证明的复印件。</w:t>
      </w:r>
    </w:p>
    <w:p>
      <w:pPr>
        <w:pStyle w:val="15"/>
        <w:tabs>
          <w:tab w:val="left" w:pos="5580"/>
        </w:tabs>
        <w:spacing w:line="400" w:lineRule="exact"/>
        <w:ind w:left="1080"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.联合体投标应提供联合体各方满足以上要求的证明文件。</w:t>
      </w:r>
      <w:bookmarkStart w:id="1459" w:name="_Toc16640"/>
      <w:bookmarkStart w:id="1460" w:name="_Toc13107"/>
      <w:bookmarkStart w:id="1461" w:name="_Toc22472"/>
      <w:bookmarkStart w:id="1462" w:name="_Toc21867"/>
      <w:bookmarkStart w:id="1463" w:name="_Toc5436"/>
      <w:bookmarkStart w:id="1464" w:name="_Toc1083"/>
      <w:bookmarkStart w:id="1465" w:name="_Toc6829"/>
      <w:bookmarkStart w:id="1466" w:name="_Toc515647807"/>
    </w:p>
    <w:p>
      <w:pPr>
        <w:rPr>
          <w:rFonts w:hint="eastAsia" w:ascii="宋体" w:hAnsi="宋体" w:eastAsia="宋体" w:cs="宋体"/>
          <w:b/>
          <w:bCs/>
          <w:color w:val="auto"/>
          <w:sz w:val="24"/>
          <w:highlight w:val="none"/>
        </w:rPr>
      </w:pPr>
      <w:bookmarkStart w:id="1467" w:name="_Toc32380"/>
      <w:bookmarkStart w:id="1468" w:name="_Toc24769"/>
      <w:bookmarkStart w:id="1469" w:name="_Toc6179"/>
    </w:p>
    <w:p>
      <w:pPr>
        <w:rPr>
          <w:rFonts w:hint="eastAsia" w:ascii="宋体" w:hAnsi="宋体" w:eastAsia="宋体" w:cs="宋体"/>
          <w:color w:val="auto"/>
          <w:sz w:val="28"/>
          <w:szCs w:val="28"/>
          <w:highlight w:val="none"/>
          <w:lang w:val="en-US" w:eastAsia="zh-CN"/>
        </w:rPr>
      </w:pPr>
      <w:r>
        <w:rPr>
          <w:rFonts w:hint="eastAsia" w:ascii="宋体" w:hAnsi="宋体" w:eastAsia="宋体" w:cs="宋体"/>
          <w:b/>
          <w:bCs/>
          <w:color w:val="auto"/>
          <w:sz w:val="24"/>
          <w:highlight w:val="none"/>
        </w:rPr>
        <w:br w:type="page"/>
      </w:r>
      <w:bookmarkEnd w:id="1459"/>
      <w:bookmarkEnd w:id="1460"/>
      <w:bookmarkEnd w:id="1461"/>
      <w:bookmarkEnd w:id="1462"/>
      <w:bookmarkEnd w:id="1463"/>
      <w:bookmarkEnd w:id="1464"/>
      <w:bookmarkEnd w:id="1465"/>
      <w:bookmarkEnd w:id="1466"/>
      <w:bookmarkEnd w:id="1467"/>
      <w:bookmarkEnd w:id="1468"/>
      <w:bookmarkEnd w:id="1469"/>
    </w:p>
    <w:p>
      <w:pPr>
        <w:pStyle w:val="9"/>
        <w:keepNext/>
        <w:keepLines/>
        <w:pageBreakBefore w:val="0"/>
        <w:widowControl w:val="0"/>
        <w:kinsoku/>
        <w:wordWrap/>
        <w:overflowPunct/>
        <w:topLinePunct w:val="0"/>
        <w:autoSpaceDE w:val="0"/>
        <w:autoSpaceDN w:val="0"/>
        <w:bidi w:val="0"/>
        <w:adjustRightInd w:val="0"/>
        <w:snapToGrid/>
        <w:spacing w:before="0" w:line="400" w:lineRule="exact"/>
        <w:jc w:val="left"/>
        <w:textAlignment w:val="auto"/>
        <w:outlineLvl w:val="2"/>
        <w:rPr>
          <w:rFonts w:hint="eastAsia" w:ascii="宋体" w:hAnsi="宋体" w:eastAsia="宋体" w:cs="宋体"/>
          <w:b/>
          <w:bCs/>
          <w:color w:val="auto"/>
          <w:sz w:val="24"/>
          <w:szCs w:val="24"/>
          <w:highlight w:val="none"/>
          <w:u w:val="none"/>
        </w:rPr>
      </w:pPr>
      <w:bookmarkStart w:id="1470" w:name="_Toc16551"/>
      <w:r>
        <w:rPr>
          <w:rFonts w:hint="eastAsia" w:hAnsi="宋体" w:cs="宋体"/>
          <w:b/>
          <w:bCs/>
          <w:color w:val="auto"/>
          <w:sz w:val="24"/>
          <w:szCs w:val="24"/>
          <w:highlight w:val="none"/>
          <w:u w:val="none"/>
          <w:lang w:val="en-US" w:eastAsia="zh-CN"/>
        </w:rPr>
        <w:t>5.提供近两年内任意一年的财务审计报告（新成立未满一年的新公司可提供近三个月内任意一个月的银行资信证明）</w:t>
      </w:r>
      <w:r>
        <w:rPr>
          <w:rFonts w:hint="eastAsia" w:ascii="宋体" w:hAnsi="宋体" w:eastAsia="宋体" w:cs="宋体"/>
          <w:b/>
          <w:bCs/>
          <w:color w:val="auto"/>
          <w:sz w:val="24"/>
          <w:szCs w:val="24"/>
          <w:highlight w:val="none"/>
          <w:u w:val="none"/>
          <w:lang w:val="en-US" w:eastAsia="zh-CN"/>
        </w:rPr>
        <w:t>；</w:t>
      </w:r>
      <w:bookmarkEnd w:id="1470"/>
    </w:p>
    <w:p>
      <w:pPr>
        <w:pStyle w:val="2"/>
        <w:spacing w:line="400" w:lineRule="exact"/>
        <w:ind w:firstLine="0" w:firstLineChars="0"/>
        <w:rPr>
          <w:rFonts w:hint="eastAsia" w:ascii="宋体" w:hAnsi="宋体" w:eastAsia="宋体" w:cs="宋体"/>
          <w:b/>
          <w:color w:val="auto"/>
          <w:kern w:val="0"/>
          <w:szCs w:val="20"/>
          <w:highlight w:val="none"/>
        </w:rPr>
      </w:pPr>
    </w:p>
    <w:p>
      <w:pPr>
        <w:pStyle w:val="5"/>
        <w:rPr>
          <w:rFonts w:hint="eastAsia" w:ascii="宋体" w:hAnsi="宋体" w:eastAsia="宋体" w:cs="宋体"/>
          <w:highlight w:val="none"/>
        </w:rPr>
      </w:pPr>
    </w:p>
    <w:p>
      <w:pPr>
        <w:rPr>
          <w:rFonts w:hint="eastAsia" w:ascii="宋体" w:hAnsi="宋体" w:eastAsia="宋体" w:cs="宋体"/>
          <w:highlight w:val="none"/>
        </w:rPr>
      </w:pPr>
    </w:p>
    <w:p>
      <w:pPr>
        <w:pStyle w:val="9"/>
        <w:keepNext/>
        <w:keepLines/>
        <w:pageBreakBefore w:val="0"/>
        <w:widowControl w:val="0"/>
        <w:kinsoku/>
        <w:wordWrap/>
        <w:overflowPunct/>
        <w:topLinePunct w:val="0"/>
        <w:autoSpaceDE w:val="0"/>
        <w:autoSpaceDN w:val="0"/>
        <w:bidi w:val="0"/>
        <w:adjustRightInd w:val="0"/>
        <w:snapToGrid/>
        <w:spacing w:before="0" w:line="400" w:lineRule="exact"/>
        <w:jc w:val="left"/>
        <w:textAlignment w:val="auto"/>
        <w:outlineLvl w:val="2"/>
        <w:rPr>
          <w:rFonts w:hint="eastAsia" w:hAnsi="宋体" w:cs="宋体"/>
          <w:b/>
          <w:bCs/>
          <w:color w:val="auto"/>
          <w:sz w:val="24"/>
          <w:szCs w:val="24"/>
          <w:highlight w:val="none"/>
          <w:u w:val="none"/>
          <w:lang w:val="en-US" w:eastAsia="zh-CN"/>
        </w:rPr>
      </w:pPr>
      <w:bookmarkStart w:id="1471" w:name="_Toc8808"/>
      <w:r>
        <w:rPr>
          <w:rFonts w:hint="eastAsia" w:hAnsi="宋体" w:cs="宋体"/>
          <w:b/>
          <w:bCs/>
          <w:color w:val="auto"/>
          <w:sz w:val="24"/>
          <w:szCs w:val="24"/>
          <w:highlight w:val="none"/>
          <w:u w:val="none"/>
          <w:lang w:val="en-US" w:eastAsia="zh-CN"/>
        </w:rPr>
        <w:t>6.提供依法缴纳近六个月内任意一个月社会保险证明；</w:t>
      </w:r>
      <w:bookmarkEnd w:id="1471"/>
    </w:p>
    <w:p>
      <w:pPr>
        <w:pStyle w:val="4"/>
        <w:ind w:left="0" w:leftChars="0" w:firstLine="0" w:firstLineChars="0"/>
        <w:rPr>
          <w:rFonts w:hint="eastAsia" w:ascii="宋体" w:hAnsi="宋体" w:eastAsia="宋体" w:cs="宋体"/>
          <w:highlight w:val="none"/>
        </w:rPr>
      </w:pPr>
    </w:p>
    <w:p>
      <w:pPr>
        <w:pStyle w:val="5"/>
        <w:rPr>
          <w:rFonts w:hint="eastAsia" w:ascii="宋体" w:hAnsi="宋体" w:eastAsia="宋体" w:cs="宋体"/>
          <w:highlight w:val="none"/>
        </w:rPr>
      </w:pPr>
    </w:p>
    <w:p>
      <w:pPr>
        <w:pStyle w:val="4"/>
        <w:rPr>
          <w:rFonts w:hint="eastAsia" w:ascii="宋体" w:hAnsi="宋体" w:eastAsia="宋体" w:cs="宋体"/>
          <w:highlight w:val="none"/>
        </w:rPr>
      </w:pPr>
    </w:p>
    <w:p>
      <w:pPr>
        <w:pStyle w:val="9"/>
        <w:keepNext/>
        <w:keepLines/>
        <w:pageBreakBefore w:val="0"/>
        <w:widowControl w:val="0"/>
        <w:kinsoku/>
        <w:wordWrap/>
        <w:overflowPunct/>
        <w:topLinePunct w:val="0"/>
        <w:autoSpaceDE w:val="0"/>
        <w:autoSpaceDN w:val="0"/>
        <w:bidi w:val="0"/>
        <w:adjustRightInd w:val="0"/>
        <w:snapToGrid/>
        <w:spacing w:before="0" w:line="400" w:lineRule="exact"/>
        <w:jc w:val="left"/>
        <w:textAlignment w:val="auto"/>
        <w:outlineLvl w:val="2"/>
        <w:rPr>
          <w:rFonts w:hint="eastAsia" w:ascii="宋体" w:hAnsi="宋体" w:eastAsia="宋体" w:cs="宋体"/>
          <w:b/>
          <w:bCs/>
          <w:color w:val="auto"/>
          <w:sz w:val="24"/>
          <w:szCs w:val="24"/>
          <w:highlight w:val="none"/>
          <w:u w:val="none"/>
        </w:rPr>
      </w:pPr>
      <w:bookmarkStart w:id="1472" w:name="_Toc6615"/>
      <w:r>
        <w:rPr>
          <w:rFonts w:hint="eastAsia" w:hAnsi="宋体" w:cs="宋体"/>
          <w:b/>
          <w:bCs/>
          <w:color w:val="auto"/>
          <w:sz w:val="24"/>
          <w:szCs w:val="24"/>
          <w:highlight w:val="none"/>
          <w:u w:val="none"/>
          <w:lang w:val="en-US" w:eastAsia="zh-CN"/>
        </w:rPr>
        <w:t>7.提供依法缴纳近六个月内任意一个月的税收证明</w:t>
      </w:r>
      <w:r>
        <w:rPr>
          <w:rFonts w:hint="eastAsia" w:ascii="宋体" w:hAnsi="宋体" w:eastAsia="宋体" w:cs="宋体"/>
          <w:b/>
          <w:bCs/>
          <w:color w:val="auto"/>
          <w:sz w:val="24"/>
          <w:szCs w:val="24"/>
          <w:highlight w:val="none"/>
          <w:u w:val="none"/>
          <w:lang w:val="en-US" w:eastAsia="zh-CN"/>
        </w:rPr>
        <w:t>；</w:t>
      </w:r>
      <w:bookmarkEnd w:id="1472"/>
    </w:p>
    <w:p>
      <w:pPr>
        <w:pStyle w:val="15"/>
        <w:tabs>
          <w:tab w:val="left" w:pos="5580"/>
        </w:tabs>
        <w:spacing w:line="400" w:lineRule="exact"/>
        <w:rPr>
          <w:rFonts w:hint="eastAsia" w:ascii="宋体" w:hAnsi="宋体" w:eastAsia="宋体" w:cs="宋体"/>
          <w:b/>
          <w:color w:val="auto"/>
          <w:kern w:val="0"/>
          <w:sz w:val="24"/>
          <w:highlight w:val="none"/>
        </w:rPr>
      </w:pPr>
    </w:p>
    <w:p>
      <w:pPr>
        <w:pStyle w:val="15"/>
        <w:tabs>
          <w:tab w:val="left" w:pos="5580"/>
        </w:tabs>
        <w:spacing w:line="400" w:lineRule="exact"/>
        <w:rPr>
          <w:rFonts w:hint="eastAsia" w:ascii="宋体" w:hAnsi="宋体" w:eastAsia="宋体" w:cs="宋体"/>
          <w:b/>
          <w:color w:val="auto"/>
          <w:kern w:val="0"/>
          <w:sz w:val="24"/>
          <w:highlight w:val="none"/>
        </w:rPr>
      </w:pPr>
    </w:p>
    <w:p>
      <w:pPr>
        <w:pStyle w:val="9"/>
        <w:keepNext/>
        <w:keepLines/>
        <w:pageBreakBefore w:val="0"/>
        <w:widowControl w:val="0"/>
        <w:kinsoku/>
        <w:wordWrap/>
        <w:overflowPunct/>
        <w:topLinePunct w:val="0"/>
        <w:autoSpaceDE w:val="0"/>
        <w:autoSpaceDN w:val="0"/>
        <w:bidi w:val="0"/>
        <w:adjustRightInd w:val="0"/>
        <w:snapToGrid/>
        <w:spacing w:before="0" w:line="400" w:lineRule="exact"/>
        <w:jc w:val="left"/>
        <w:textAlignment w:val="auto"/>
        <w:outlineLvl w:val="2"/>
        <w:rPr>
          <w:rFonts w:hint="eastAsia" w:hAnsi="宋体" w:cs="宋体"/>
          <w:b/>
          <w:bCs/>
          <w:color w:val="auto"/>
          <w:sz w:val="24"/>
          <w:szCs w:val="24"/>
          <w:highlight w:val="none"/>
          <w:u w:val="none"/>
          <w:lang w:val="en-US" w:eastAsia="zh-CN"/>
        </w:rPr>
      </w:pPr>
      <w:bookmarkStart w:id="1473" w:name="_Toc2858"/>
      <w:r>
        <w:rPr>
          <w:rFonts w:hint="eastAsia" w:hAnsi="宋体" w:cs="宋体"/>
          <w:b/>
          <w:bCs/>
          <w:color w:val="auto"/>
          <w:sz w:val="24"/>
          <w:szCs w:val="24"/>
          <w:highlight w:val="none"/>
          <w:u w:val="none"/>
          <w:lang w:val="en-US" w:eastAsia="zh-CN"/>
        </w:rPr>
        <w:t>8.根据《财政部关于在政府采购活动中查询及使用信用记录有关问题的通知》（财库﹝2016﹞125号）的要求，凡拟参加本次招标项目的供应商，如在“信用中国”网站（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重点领域严重失信主体名单查询-搜索栏输入单位全称）、中国政府采购网（http://www.ccgp.gov.cn/search/cr/）严重违法失信行为记录名单的（尚在处罚期内的），将拒绝其参加本次招标活动（以采购代理机构或采购人现场查询为准）；</w:t>
      </w:r>
      <w:bookmarkEnd w:id="1473"/>
    </w:p>
    <w:p>
      <w:pPr>
        <w:keepNext/>
        <w:keepLines/>
        <w:pageBreakBefore w:val="0"/>
        <w:widowControl w:val="0"/>
        <w:kinsoku/>
        <w:wordWrap/>
        <w:overflowPunct/>
        <w:topLinePunct w:val="0"/>
        <w:autoSpaceDE w:val="0"/>
        <w:autoSpaceDN w:val="0"/>
        <w:bidi w:val="0"/>
        <w:adjustRightInd w:val="0"/>
        <w:snapToGrid/>
        <w:spacing w:before="0" w:line="400" w:lineRule="exact"/>
        <w:jc w:val="left"/>
        <w:textAlignment w:val="auto"/>
        <w:outlineLvl w:val="9"/>
        <w:rPr>
          <w:rFonts w:hint="eastAsia" w:hAnsi="宋体" w:cs="宋体"/>
          <w:b/>
          <w:bCs/>
          <w:color w:val="auto"/>
          <w:sz w:val="24"/>
          <w:szCs w:val="24"/>
          <w:highlight w:val="none"/>
          <w:u w:val="none"/>
          <w:lang w:val="en-US" w:eastAsia="zh-CN"/>
        </w:rPr>
      </w:pPr>
    </w:p>
    <w:p>
      <w:pPr>
        <w:keepNext/>
        <w:keepLines/>
        <w:pageBreakBefore w:val="0"/>
        <w:widowControl w:val="0"/>
        <w:kinsoku/>
        <w:wordWrap/>
        <w:overflowPunct/>
        <w:topLinePunct w:val="0"/>
        <w:autoSpaceDE w:val="0"/>
        <w:autoSpaceDN w:val="0"/>
        <w:bidi w:val="0"/>
        <w:adjustRightInd w:val="0"/>
        <w:snapToGrid/>
        <w:spacing w:before="0" w:line="400" w:lineRule="exact"/>
        <w:jc w:val="left"/>
        <w:textAlignment w:val="auto"/>
        <w:outlineLvl w:val="9"/>
        <w:rPr>
          <w:rFonts w:hint="eastAsia" w:hAnsi="宋体" w:cs="宋体"/>
          <w:b/>
          <w:bCs/>
          <w:color w:val="auto"/>
          <w:sz w:val="24"/>
          <w:szCs w:val="24"/>
          <w:highlight w:val="none"/>
          <w:u w:val="none"/>
          <w:lang w:val="en-US" w:eastAsia="zh-CN"/>
        </w:rPr>
      </w:pPr>
    </w:p>
    <w:p>
      <w:pPr>
        <w:pStyle w:val="9"/>
        <w:keepNext/>
        <w:keepLines/>
        <w:pageBreakBefore w:val="0"/>
        <w:widowControl w:val="0"/>
        <w:kinsoku/>
        <w:wordWrap/>
        <w:overflowPunct/>
        <w:topLinePunct w:val="0"/>
        <w:autoSpaceDE w:val="0"/>
        <w:autoSpaceDN w:val="0"/>
        <w:bidi w:val="0"/>
        <w:adjustRightInd w:val="0"/>
        <w:snapToGrid/>
        <w:spacing w:before="0" w:line="400" w:lineRule="exact"/>
        <w:jc w:val="left"/>
        <w:textAlignment w:val="auto"/>
        <w:outlineLvl w:val="2"/>
        <w:rPr>
          <w:rFonts w:hint="eastAsia" w:hAnsi="宋体" w:cs="宋体"/>
          <w:b/>
          <w:bCs/>
          <w:color w:val="auto"/>
          <w:sz w:val="24"/>
          <w:szCs w:val="24"/>
          <w:highlight w:val="none"/>
          <w:u w:val="none"/>
          <w:lang w:val="en-US" w:eastAsia="zh-CN"/>
        </w:rPr>
      </w:pPr>
      <w:bookmarkStart w:id="1474" w:name="_Toc26428"/>
      <w:r>
        <w:rPr>
          <w:rFonts w:hint="eastAsia" w:hAnsi="宋体" w:cs="宋体"/>
          <w:b/>
          <w:bCs/>
          <w:color w:val="auto"/>
          <w:sz w:val="24"/>
          <w:szCs w:val="24"/>
          <w:highlight w:val="none"/>
          <w:u w:val="none"/>
          <w:lang w:val="en-US" w:eastAsia="zh-CN"/>
        </w:rPr>
        <w:t>9.参与政府采购活动前3年内未被列入失信、重大税收违法案件、财政部门禁止参加政府采购活动的承诺书；</w:t>
      </w:r>
      <w:bookmarkEnd w:id="1474"/>
    </w:p>
    <w:p>
      <w:pPr>
        <w:pStyle w:val="15"/>
        <w:tabs>
          <w:tab w:val="left" w:pos="5580"/>
        </w:tabs>
        <w:spacing w:line="400" w:lineRule="exact"/>
        <w:rPr>
          <w:rFonts w:hint="eastAsia" w:ascii="宋体" w:hAnsi="宋体" w:eastAsia="宋体" w:cs="宋体"/>
          <w:b/>
          <w:color w:val="auto"/>
          <w:kern w:val="0"/>
          <w:sz w:val="24"/>
          <w:highlight w:val="none"/>
        </w:rPr>
      </w:pPr>
    </w:p>
    <w:p>
      <w:pPr>
        <w:pStyle w:val="15"/>
        <w:tabs>
          <w:tab w:val="left" w:pos="5580"/>
        </w:tabs>
        <w:spacing w:line="400" w:lineRule="exact"/>
        <w:rPr>
          <w:rFonts w:hint="eastAsia" w:ascii="宋体" w:hAnsi="宋体" w:eastAsia="宋体" w:cs="宋体"/>
          <w:b/>
          <w:color w:val="auto"/>
          <w:kern w:val="0"/>
          <w:sz w:val="24"/>
          <w:highlight w:val="none"/>
        </w:rPr>
      </w:pPr>
    </w:p>
    <w:p>
      <w:pPr>
        <w:pStyle w:val="15"/>
        <w:tabs>
          <w:tab w:val="left" w:pos="5580"/>
        </w:tabs>
        <w:spacing w:line="400" w:lineRule="exact"/>
        <w:rPr>
          <w:rFonts w:hint="eastAsia" w:ascii="宋体" w:hAnsi="宋体" w:eastAsia="宋体" w:cs="宋体"/>
          <w:b/>
          <w:color w:val="auto"/>
          <w:kern w:val="0"/>
          <w:sz w:val="24"/>
          <w:highlight w:val="none"/>
        </w:rPr>
      </w:pPr>
    </w:p>
    <w:p>
      <w:pPr>
        <w:pStyle w:val="15"/>
        <w:tabs>
          <w:tab w:val="left" w:pos="5580"/>
        </w:tabs>
        <w:spacing w:line="400" w:lineRule="exact"/>
        <w:rPr>
          <w:rFonts w:hint="eastAsia" w:ascii="宋体" w:hAnsi="宋体" w:eastAsia="宋体" w:cs="宋体"/>
          <w:b/>
          <w:color w:val="auto"/>
          <w:kern w:val="0"/>
          <w:sz w:val="24"/>
          <w:highlight w:val="none"/>
        </w:rPr>
      </w:pPr>
    </w:p>
    <w:p>
      <w:pPr>
        <w:pStyle w:val="15"/>
        <w:tabs>
          <w:tab w:val="left" w:pos="5580"/>
        </w:tabs>
        <w:spacing w:line="400" w:lineRule="exact"/>
        <w:rPr>
          <w:rFonts w:hint="eastAsia" w:ascii="宋体" w:hAnsi="宋体" w:eastAsia="宋体" w:cs="宋体"/>
          <w:b/>
          <w:color w:val="auto"/>
          <w:kern w:val="0"/>
          <w:sz w:val="24"/>
          <w:highlight w:val="none"/>
        </w:rPr>
      </w:pPr>
    </w:p>
    <w:p>
      <w:pPr>
        <w:pStyle w:val="9"/>
        <w:keepNext/>
        <w:keepLines/>
        <w:pageBreakBefore w:val="0"/>
        <w:widowControl w:val="0"/>
        <w:kinsoku/>
        <w:wordWrap/>
        <w:overflowPunct/>
        <w:topLinePunct w:val="0"/>
        <w:autoSpaceDE w:val="0"/>
        <w:autoSpaceDN w:val="0"/>
        <w:bidi w:val="0"/>
        <w:adjustRightInd w:val="0"/>
        <w:snapToGrid/>
        <w:spacing w:before="0" w:line="400" w:lineRule="exact"/>
        <w:jc w:val="left"/>
        <w:textAlignment w:val="auto"/>
        <w:outlineLvl w:val="2"/>
        <w:rPr>
          <w:rFonts w:hint="eastAsia" w:hAnsi="宋体" w:cs="宋体"/>
          <w:b/>
          <w:bCs/>
          <w:color w:val="auto"/>
          <w:sz w:val="24"/>
          <w:szCs w:val="24"/>
          <w:highlight w:val="none"/>
          <w:u w:val="none"/>
          <w:lang w:val="en-US" w:eastAsia="zh-CN"/>
        </w:rPr>
      </w:pPr>
      <w:bookmarkStart w:id="1475" w:name="_Toc24079"/>
      <w:r>
        <w:rPr>
          <w:rFonts w:hint="eastAsia" w:hAnsi="宋体" w:cs="宋体"/>
          <w:b/>
          <w:bCs/>
          <w:color w:val="auto"/>
          <w:sz w:val="24"/>
          <w:szCs w:val="24"/>
          <w:highlight w:val="none"/>
          <w:u w:val="none"/>
          <w:lang w:val="en-US" w:eastAsia="zh-CN"/>
        </w:rPr>
        <w:t>10.缴纳投标保证金的有效凭证；</w:t>
      </w:r>
      <w:bookmarkEnd w:id="1475"/>
    </w:p>
    <w:p>
      <w:pPr>
        <w:keepNext/>
        <w:keepLines/>
        <w:pageBreakBefore w:val="0"/>
        <w:widowControl w:val="0"/>
        <w:kinsoku/>
        <w:wordWrap/>
        <w:overflowPunct/>
        <w:topLinePunct w:val="0"/>
        <w:autoSpaceDE w:val="0"/>
        <w:autoSpaceDN w:val="0"/>
        <w:bidi w:val="0"/>
        <w:adjustRightInd w:val="0"/>
        <w:snapToGrid/>
        <w:spacing w:before="0" w:line="400" w:lineRule="exact"/>
        <w:jc w:val="left"/>
        <w:textAlignment w:val="auto"/>
        <w:outlineLvl w:val="9"/>
        <w:rPr>
          <w:rFonts w:hint="eastAsia" w:hAnsi="宋体" w:cs="宋体"/>
          <w:b/>
          <w:bCs/>
          <w:color w:val="auto"/>
          <w:sz w:val="24"/>
          <w:szCs w:val="24"/>
          <w:highlight w:val="none"/>
          <w:u w:val="none"/>
          <w:lang w:val="en-US" w:eastAsia="zh-CN"/>
        </w:rPr>
      </w:pPr>
      <w:r>
        <w:rPr>
          <w:rFonts w:hint="eastAsia" w:hAnsi="宋体" w:cs="宋体"/>
          <w:b/>
          <w:bCs/>
          <w:color w:val="auto"/>
          <w:sz w:val="24"/>
          <w:szCs w:val="24"/>
          <w:highlight w:val="none"/>
          <w:u w:val="none"/>
          <w:lang w:val="en-US" w:eastAsia="zh-CN"/>
        </w:rPr>
        <w:t>（注：本项目以缴纳投标保证金的有效凭证复印件加盖公章为准。）</w:t>
      </w:r>
    </w:p>
    <w:tbl>
      <w:tblPr>
        <w:tblStyle w:val="27"/>
        <w:tblpPr w:leftFromText="180" w:rightFromText="180" w:vertAnchor="text" w:horzAnchor="page" w:tblpX="1967" w:tblpY="235"/>
        <w:tblOverlap w:val="never"/>
        <w:tblW w:w="8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3" w:hRule="atLeast"/>
        </w:trPr>
        <w:tc>
          <w:tcPr>
            <w:tcW w:w="8080" w:type="dxa"/>
          </w:tcPr>
          <w:p>
            <w:pPr>
              <w:shd w:val="clear" w:color="auto" w:fill="auto"/>
              <w:snapToGrid w:val="0"/>
              <w:spacing w:before="0" w:beforeAutospacing="0" w:after="0" w:afterAutospacing="0" w:line="360" w:lineRule="exact"/>
              <w:jc w:val="both"/>
              <w:textAlignment w:val="baseline"/>
              <w:rPr>
                <w:rFonts w:hint="eastAsia" w:ascii="宋体" w:hAnsi="宋体" w:eastAsia="宋体" w:cs="宋体"/>
                <w:b w:val="0"/>
                <w:i w:val="0"/>
                <w:caps w:val="0"/>
                <w:color w:val="auto"/>
                <w:spacing w:val="0"/>
                <w:w w:val="100"/>
                <w:sz w:val="24"/>
                <w:highlight w:val="none"/>
              </w:rPr>
            </w:pPr>
          </w:p>
          <w:p>
            <w:pPr>
              <w:shd w:val="clear" w:color="auto" w:fill="auto"/>
              <w:snapToGrid w:val="0"/>
              <w:spacing w:before="0" w:beforeAutospacing="0" w:after="0" w:afterAutospacing="0" w:line="360" w:lineRule="exact"/>
              <w:jc w:val="both"/>
              <w:textAlignment w:val="baseline"/>
              <w:rPr>
                <w:rFonts w:hint="eastAsia" w:ascii="宋体" w:hAnsi="宋体" w:eastAsia="宋体" w:cs="宋体"/>
                <w:b w:val="0"/>
                <w:i w:val="0"/>
                <w:caps w:val="0"/>
                <w:color w:val="auto"/>
                <w:spacing w:val="0"/>
                <w:w w:val="100"/>
                <w:sz w:val="24"/>
                <w:highlight w:val="none"/>
              </w:rPr>
            </w:pPr>
          </w:p>
          <w:p>
            <w:pPr>
              <w:shd w:val="clear" w:color="auto" w:fill="auto"/>
              <w:snapToGrid w:val="0"/>
              <w:spacing w:before="0" w:beforeAutospacing="0" w:after="0" w:afterAutospacing="0" w:line="360" w:lineRule="exact"/>
              <w:jc w:val="center"/>
              <w:textAlignment w:val="baseline"/>
              <w:rPr>
                <w:rFonts w:hint="eastAsia" w:ascii="宋体" w:hAnsi="宋体" w:eastAsia="宋体" w:cs="宋体"/>
                <w:b w:val="0"/>
                <w:i w:val="0"/>
                <w:caps w:val="0"/>
                <w:color w:val="auto"/>
                <w:spacing w:val="0"/>
                <w:w w:val="100"/>
                <w:sz w:val="24"/>
                <w:highlight w:val="none"/>
                <w:lang w:eastAsia="zh-CN"/>
              </w:rPr>
            </w:pPr>
            <w:r>
              <w:rPr>
                <w:rFonts w:hint="eastAsia" w:ascii="宋体" w:hAnsi="宋体" w:eastAsia="宋体" w:cs="宋体"/>
                <w:b w:val="0"/>
                <w:i w:val="0"/>
                <w:caps w:val="0"/>
                <w:color w:val="auto"/>
                <w:spacing w:val="0"/>
                <w:w w:val="100"/>
                <w:sz w:val="24"/>
                <w:highlight w:val="none"/>
                <w:lang w:eastAsia="zh-CN"/>
              </w:rPr>
              <w:t>缴纳投标保证金的有效凭证</w:t>
            </w:r>
            <w:r>
              <w:rPr>
                <w:rFonts w:hint="eastAsia" w:ascii="宋体" w:hAnsi="宋体" w:eastAsia="宋体" w:cs="宋体"/>
                <w:b w:val="0"/>
                <w:i w:val="0"/>
                <w:caps w:val="0"/>
                <w:color w:val="auto"/>
                <w:spacing w:val="0"/>
                <w:w w:val="100"/>
                <w:sz w:val="24"/>
                <w:highlight w:val="none"/>
              </w:rPr>
              <w:t>复印件</w:t>
            </w:r>
            <w:r>
              <w:rPr>
                <w:rFonts w:hint="eastAsia" w:ascii="宋体" w:hAnsi="宋体" w:eastAsia="宋体" w:cs="宋体"/>
                <w:b w:val="0"/>
                <w:i w:val="0"/>
                <w:caps w:val="0"/>
                <w:color w:val="auto"/>
                <w:spacing w:val="0"/>
                <w:w w:val="100"/>
                <w:sz w:val="24"/>
                <w:highlight w:val="none"/>
                <w:lang w:eastAsia="zh-CN"/>
              </w:rPr>
              <w:t>（银行转账回执单</w:t>
            </w:r>
            <w:r>
              <w:rPr>
                <w:rFonts w:hint="eastAsia" w:ascii="宋体" w:hAnsi="宋体" w:cs="宋体"/>
                <w:b w:val="0"/>
                <w:i w:val="0"/>
                <w:caps w:val="0"/>
                <w:color w:val="auto"/>
                <w:spacing w:val="0"/>
                <w:w w:val="100"/>
                <w:sz w:val="24"/>
                <w:highlight w:val="none"/>
                <w:lang w:val="en-US" w:eastAsia="zh-CN"/>
              </w:rPr>
              <w:t>或</w:t>
            </w:r>
            <w:r>
              <w:rPr>
                <w:rFonts w:hint="eastAsia" w:ascii="宋体" w:hAnsi="宋体" w:eastAsia="宋体" w:cs="宋体"/>
                <w:b w:val="0"/>
                <w:i w:val="0"/>
                <w:caps w:val="0"/>
                <w:color w:val="auto"/>
                <w:spacing w:val="0"/>
                <w:w w:val="100"/>
                <w:sz w:val="24"/>
                <w:highlight w:val="none"/>
                <w:lang w:eastAsia="zh-CN"/>
              </w:rPr>
              <w:t>保函）</w:t>
            </w:r>
          </w:p>
        </w:tc>
      </w:tr>
    </w:tbl>
    <w:p>
      <w:pPr>
        <w:pStyle w:val="15"/>
        <w:tabs>
          <w:tab w:val="left" w:pos="5580"/>
        </w:tabs>
        <w:spacing w:line="400" w:lineRule="exact"/>
        <w:outlineLvl w:val="9"/>
        <w:rPr>
          <w:rFonts w:hint="eastAsia" w:ascii="宋体" w:hAnsi="宋体" w:eastAsia="宋体" w:cs="宋体"/>
          <w:b/>
          <w:color w:val="auto"/>
          <w:kern w:val="0"/>
          <w:sz w:val="24"/>
          <w:highlight w:val="none"/>
          <w:lang w:eastAsia="zh-CN"/>
        </w:rPr>
      </w:pPr>
    </w:p>
    <w:p>
      <w:pPr>
        <w:pStyle w:val="15"/>
        <w:tabs>
          <w:tab w:val="left" w:pos="5580"/>
        </w:tabs>
        <w:spacing w:line="400" w:lineRule="exact"/>
        <w:ind w:left="540" w:leftChars="257"/>
        <w:outlineLvl w:val="9"/>
        <w:rPr>
          <w:rFonts w:hint="eastAsia" w:ascii="宋体" w:hAnsi="宋体" w:eastAsia="宋体" w:cs="宋体"/>
          <w:b/>
          <w:color w:val="auto"/>
          <w:kern w:val="0"/>
          <w:sz w:val="24"/>
          <w:highlight w:val="none"/>
        </w:rPr>
      </w:pPr>
    </w:p>
    <w:p>
      <w:pPr>
        <w:pStyle w:val="15"/>
        <w:tabs>
          <w:tab w:val="left" w:pos="5580"/>
        </w:tabs>
        <w:spacing w:line="400" w:lineRule="exact"/>
        <w:outlineLvl w:val="9"/>
        <w:rPr>
          <w:rFonts w:hint="eastAsia" w:ascii="宋体" w:hAnsi="宋体" w:eastAsia="宋体" w:cs="宋体"/>
          <w:b/>
          <w:color w:val="auto"/>
          <w:kern w:val="0"/>
          <w:sz w:val="24"/>
          <w:highlight w:val="none"/>
        </w:rPr>
      </w:pPr>
    </w:p>
    <w:p>
      <w:pPr>
        <w:pStyle w:val="15"/>
        <w:tabs>
          <w:tab w:val="left" w:pos="5580"/>
        </w:tabs>
        <w:spacing w:line="400" w:lineRule="exact"/>
        <w:outlineLvl w:val="9"/>
        <w:rPr>
          <w:rFonts w:hint="eastAsia" w:ascii="宋体" w:hAnsi="宋体" w:eastAsia="宋体" w:cs="宋体"/>
          <w:b/>
          <w:color w:val="auto"/>
          <w:kern w:val="0"/>
          <w:sz w:val="24"/>
          <w:highlight w:val="none"/>
        </w:rPr>
      </w:pPr>
    </w:p>
    <w:p>
      <w:pPr>
        <w:keepNext/>
        <w:keepLines/>
        <w:pageBreakBefore w:val="0"/>
        <w:widowControl w:val="0"/>
        <w:kinsoku/>
        <w:wordWrap/>
        <w:overflowPunct/>
        <w:topLinePunct w:val="0"/>
        <w:autoSpaceDE w:val="0"/>
        <w:autoSpaceDN w:val="0"/>
        <w:bidi w:val="0"/>
        <w:adjustRightInd w:val="0"/>
        <w:snapToGrid/>
        <w:spacing w:before="0" w:line="400" w:lineRule="exact"/>
        <w:jc w:val="left"/>
        <w:textAlignment w:val="auto"/>
        <w:outlineLvl w:val="2"/>
        <w:rPr>
          <w:rFonts w:hint="eastAsia" w:hAnsi="宋体" w:cs="宋体"/>
          <w:b/>
          <w:bCs/>
          <w:color w:val="auto"/>
          <w:sz w:val="24"/>
          <w:szCs w:val="24"/>
          <w:highlight w:val="none"/>
          <w:u w:val="none"/>
          <w:lang w:val="en-US" w:eastAsia="zh-CN"/>
        </w:rPr>
      </w:pPr>
      <w:bookmarkStart w:id="1476" w:name="_Toc18157"/>
      <w:bookmarkStart w:id="1477" w:name="_Toc15346"/>
      <w:bookmarkStart w:id="1478" w:name="_Toc11180"/>
      <w:bookmarkStart w:id="1479" w:name="_Toc18263"/>
      <w:bookmarkStart w:id="1480" w:name="_Toc515647816"/>
      <w:bookmarkStart w:id="1481" w:name="_Toc22967"/>
      <w:bookmarkStart w:id="1482" w:name="_Toc30653"/>
      <w:r>
        <w:rPr>
          <w:rFonts w:hint="eastAsia" w:hAnsi="宋体" w:cs="宋体"/>
          <w:b/>
          <w:bCs/>
          <w:color w:val="auto"/>
          <w:sz w:val="24"/>
          <w:szCs w:val="24"/>
          <w:highlight w:val="none"/>
          <w:u w:val="none"/>
          <w:lang w:val="en-US" w:eastAsia="zh-CN"/>
        </w:rPr>
        <w:t>11.银行开户许可证复印件或银行基本账户信息(包含：银行账号及开户行名称）；</w:t>
      </w:r>
      <w:bookmarkEnd w:id="1476"/>
    </w:p>
    <w:p>
      <w:pPr>
        <w:keepNext/>
        <w:keepLines/>
        <w:pageBreakBefore w:val="0"/>
        <w:widowControl w:val="0"/>
        <w:kinsoku/>
        <w:wordWrap/>
        <w:overflowPunct/>
        <w:topLinePunct w:val="0"/>
        <w:autoSpaceDE w:val="0"/>
        <w:autoSpaceDN w:val="0"/>
        <w:bidi w:val="0"/>
        <w:adjustRightInd w:val="0"/>
        <w:snapToGrid/>
        <w:spacing w:before="0" w:line="400" w:lineRule="exact"/>
        <w:jc w:val="left"/>
        <w:textAlignment w:val="auto"/>
        <w:outlineLvl w:val="9"/>
        <w:rPr>
          <w:rFonts w:hint="eastAsia" w:hAnsi="宋体" w:cs="宋体"/>
          <w:b/>
          <w:bCs/>
          <w:color w:val="auto"/>
          <w:sz w:val="24"/>
          <w:szCs w:val="24"/>
          <w:highlight w:val="none"/>
          <w:u w:val="none"/>
          <w:lang w:val="en-US" w:eastAsia="zh-CN"/>
        </w:rPr>
      </w:pPr>
    </w:p>
    <w:p>
      <w:pPr>
        <w:keepNext/>
        <w:keepLines/>
        <w:pageBreakBefore w:val="0"/>
        <w:widowControl w:val="0"/>
        <w:kinsoku/>
        <w:wordWrap/>
        <w:overflowPunct/>
        <w:topLinePunct w:val="0"/>
        <w:autoSpaceDE w:val="0"/>
        <w:autoSpaceDN w:val="0"/>
        <w:bidi w:val="0"/>
        <w:adjustRightInd w:val="0"/>
        <w:snapToGrid/>
        <w:spacing w:before="0" w:line="400" w:lineRule="exact"/>
        <w:jc w:val="left"/>
        <w:textAlignment w:val="auto"/>
        <w:outlineLvl w:val="9"/>
        <w:rPr>
          <w:rFonts w:hint="eastAsia" w:hAnsi="宋体" w:cs="宋体"/>
          <w:b/>
          <w:bCs/>
          <w:color w:val="auto"/>
          <w:sz w:val="24"/>
          <w:szCs w:val="24"/>
          <w:highlight w:val="none"/>
          <w:u w:val="none"/>
          <w:lang w:val="en-US" w:eastAsia="zh-CN"/>
        </w:rPr>
      </w:pPr>
    </w:p>
    <w:p>
      <w:pPr>
        <w:keepNext/>
        <w:keepLines/>
        <w:pageBreakBefore w:val="0"/>
        <w:widowControl w:val="0"/>
        <w:kinsoku/>
        <w:wordWrap/>
        <w:overflowPunct/>
        <w:topLinePunct w:val="0"/>
        <w:autoSpaceDE w:val="0"/>
        <w:autoSpaceDN w:val="0"/>
        <w:bidi w:val="0"/>
        <w:adjustRightInd w:val="0"/>
        <w:snapToGrid/>
        <w:spacing w:before="0" w:line="400" w:lineRule="exact"/>
        <w:jc w:val="left"/>
        <w:textAlignment w:val="auto"/>
        <w:outlineLvl w:val="9"/>
        <w:rPr>
          <w:rFonts w:hint="eastAsia" w:hAnsi="宋体" w:cs="宋体"/>
          <w:b/>
          <w:bCs/>
          <w:color w:val="auto"/>
          <w:sz w:val="24"/>
          <w:szCs w:val="24"/>
          <w:highlight w:val="none"/>
          <w:u w:val="none"/>
          <w:lang w:val="en-US" w:eastAsia="zh-CN"/>
        </w:rPr>
      </w:pPr>
    </w:p>
    <w:p>
      <w:pPr>
        <w:keepNext/>
        <w:keepLines/>
        <w:pageBreakBefore w:val="0"/>
        <w:widowControl w:val="0"/>
        <w:kinsoku/>
        <w:wordWrap/>
        <w:overflowPunct/>
        <w:topLinePunct w:val="0"/>
        <w:autoSpaceDE w:val="0"/>
        <w:autoSpaceDN w:val="0"/>
        <w:bidi w:val="0"/>
        <w:adjustRightInd w:val="0"/>
        <w:snapToGrid/>
        <w:spacing w:before="0" w:line="400" w:lineRule="exact"/>
        <w:jc w:val="left"/>
        <w:textAlignment w:val="auto"/>
        <w:outlineLvl w:val="2"/>
        <w:rPr>
          <w:rFonts w:hint="eastAsia" w:hAnsi="宋体" w:cs="宋体"/>
          <w:b/>
          <w:bCs/>
          <w:color w:val="auto"/>
          <w:sz w:val="24"/>
          <w:szCs w:val="24"/>
          <w:highlight w:val="none"/>
          <w:u w:val="none"/>
          <w:lang w:val="en-US" w:eastAsia="zh-CN"/>
        </w:rPr>
      </w:pPr>
      <w:bookmarkStart w:id="1483" w:name="_Toc6404"/>
      <w:r>
        <w:rPr>
          <w:rFonts w:hint="eastAsia" w:hAnsi="宋体" w:cs="宋体"/>
          <w:b/>
          <w:bCs/>
          <w:color w:val="auto"/>
          <w:sz w:val="24"/>
          <w:szCs w:val="24"/>
          <w:highlight w:val="none"/>
          <w:u w:val="none"/>
          <w:lang w:val="en-US" w:eastAsia="zh-CN"/>
        </w:rPr>
        <w:t>12.供应商可提供有利于投标的其他资格证明材料。</w:t>
      </w:r>
      <w:bookmarkEnd w:id="1483"/>
    </w:p>
    <w:p>
      <w:pPr>
        <w:rPr>
          <w:rFonts w:hint="eastAsia" w:ascii="宋体" w:hAnsi="宋体" w:eastAsia="宋体" w:cs="宋体"/>
          <w:b/>
          <w:color w:val="auto"/>
          <w:kern w:val="0"/>
          <w:sz w:val="24"/>
          <w:szCs w:val="20"/>
          <w:highlight w:val="none"/>
        </w:rPr>
      </w:pPr>
    </w:p>
    <w:p>
      <w:pPr>
        <w:rPr>
          <w:rFonts w:hint="eastAsia" w:ascii="宋体" w:hAnsi="宋体" w:eastAsia="宋体" w:cs="宋体"/>
          <w:color w:val="auto"/>
          <w:highlight w:val="none"/>
        </w:rPr>
      </w:pPr>
    </w:p>
    <w:p>
      <w:pPr>
        <w:pStyle w:val="21"/>
        <w:rPr>
          <w:rFonts w:hint="eastAsia" w:ascii="宋体" w:hAnsi="宋体" w:eastAsia="宋体" w:cs="宋体"/>
          <w:color w:val="auto"/>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7"/>
        <w:pageBreakBefore w:val="0"/>
        <w:kinsoku/>
        <w:wordWrap/>
        <w:overflowPunct/>
        <w:topLinePunct w:val="0"/>
        <w:bidi w:val="0"/>
        <w:spacing w:before="0" w:line="360" w:lineRule="exact"/>
        <w:ind w:left="1080" w:leftChars="257" w:hanging="540"/>
        <w:rPr>
          <w:rFonts w:hint="eastAsia" w:ascii="宋体" w:hAnsi="宋体" w:eastAsia="宋体" w:cs="宋体"/>
          <w:color w:val="auto"/>
          <w:sz w:val="28"/>
          <w:szCs w:val="28"/>
          <w:highlight w:val="none"/>
        </w:rPr>
      </w:pPr>
      <w:bookmarkStart w:id="1484" w:name="_Toc24223"/>
      <w:r>
        <w:rPr>
          <w:rFonts w:hint="eastAsia" w:ascii="宋体" w:hAnsi="宋体" w:eastAsia="宋体" w:cs="宋体"/>
          <w:color w:val="auto"/>
          <w:sz w:val="28"/>
          <w:szCs w:val="28"/>
          <w:highlight w:val="none"/>
        </w:rPr>
        <w:t>第二部分  商务及技术文件</w:t>
      </w:r>
      <w:bookmarkEnd w:id="1484"/>
    </w:p>
    <w:p>
      <w:pPr>
        <w:keepNext w:val="0"/>
        <w:keepLines w:val="0"/>
        <w:pageBreakBefore w:val="0"/>
        <w:widowControl w:val="0"/>
        <w:tabs>
          <w:tab w:val="left" w:pos="5580"/>
        </w:tabs>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kern w:val="0"/>
          <w:sz w:val="24"/>
          <w:szCs w:val="24"/>
          <w:highlight w:val="none"/>
          <w:lang w:val="en-US" w:eastAsia="zh-CN"/>
        </w:rPr>
      </w:pPr>
    </w:p>
    <w:p>
      <w:pPr>
        <w:keepNext w:val="0"/>
        <w:keepLines w:val="0"/>
        <w:pageBreakBefore w:val="0"/>
        <w:widowControl w:val="0"/>
        <w:tabs>
          <w:tab w:val="left" w:pos="5580"/>
        </w:tabs>
        <w:kinsoku/>
        <w:wordWrap/>
        <w:overflowPunct/>
        <w:topLinePunct w:val="0"/>
        <w:autoSpaceDE/>
        <w:autoSpaceDN/>
        <w:bidi w:val="0"/>
        <w:adjustRightInd/>
        <w:snapToGrid/>
        <w:spacing w:line="480" w:lineRule="exact"/>
        <w:ind w:firstLine="0" w:firstLineChars="0"/>
        <w:textAlignment w:val="auto"/>
        <w:rPr>
          <w:rFonts w:hint="eastAsia" w:ascii="宋体" w:hAnsi="宋体" w:eastAsia="宋体" w:cs="宋体"/>
          <w:color w:val="auto"/>
          <w:kern w:val="0"/>
          <w:sz w:val="24"/>
          <w:szCs w:val="24"/>
          <w:highlight w:val="none"/>
          <w:lang w:val="en-US" w:eastAsia="zh-CN"/>
        </w:rPr>
      </w:pPr>
      <w:bookmarkStart w:id="1485" w:name="_Toc2041"/>
      <w:bookmarkStart w:id="1486" w:name="_Toc515647817"/>
      <w:bookmarkStart w:id="1487" w:name="_Toc14915"/>
    </w:p>
    <w:p>
      <w:pPr>
        <w:keepNext w:val="0"/>
        <w:keepLines w:val="0"/>
        <w:pageBreakBefore w:val="0"/>
        <w:widowControl w:val="0"/>
        <w:tabs>
          <w:tab w:val="left" w:pos="5580"/>
        </w:tabs>
        <w:kinsoku/>
        <w:wordWrap/>
        <w:overflowPunct/>
        <w:topLinePunct w:val="0"/>
        <w:autoSpaceDE/>
        <w:autoSpaceDN/>
        <w:bidi w:val="0"/>
        <w:adjustRightInd/>
        <w:snapToGrid/>
        <w:spacing w:line="480" w:lineRule="exact"/>
        <w:ind w:firstLine="0" w:firstLineChars="0"/>
        <w:textAlignment w:val="auto"/>
        <w:rPr>
          <w:rFonts w:hint="eastAsia" w:ascii="宋体" w:hAnsi="宋体" w:eastAsia="宋体" w:cs="宋体"/>
          <w:color w:val="auto"/>
          <w:kern w:val="0"/>
          <w:sz w:val="24"/>
          <w:szCs w:val="24"/>
          <w:highlight w:val="none"/>
          <w:lang w:val="en-US" w:eastAsia="zh-CN"/>
        </w:rPr>
      </w:pPr>
    </w:p>
    <w:p>
      <w:pPr>
        <w:keepNext w:val="0"/>
        <w:keepLines w:val="0"/>
        <w:pageBreakBefore w:val="0"/>
        <w:widowControl w:val="0"/>
        <w:tabs>
          <w:tab w:val="left" w:pos="5580"/>
        </w:tabs>
        <w:kinsoku/>
        <w:wordWrap/>
        <w:overflowPunct/>
        <w:topLinePunct w:val="0"/>
        <w:autoSpaceDE/>
        <w:autoSpaceDN/>
        <w:bidi w:val="0"/>
        <w:adjustRightInd/>
        <w:snapToGrid/>
        <w:spacing w:line="480" w:lineRule="exact"/>
        <w:ind w:firstLine="0" w:firstLineChars="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1.投标书</w:t>
      </w:r>
    </w:p>
    <w:p>
      <w:pPr>
        <w:keepNext w:val="0"/>
        <w:keepLines w:val="0"/>
        <w:pageBreakBefore w:val="0"/>
        <w:widowControl w:val="0"/>
        <w:tabs>
          <w:tab w:val="left" w:pos="5580"/>
        </w:tabs>
        <w:kinsoku/>
        <w:wordWrap/>
        <w:overflowPunct/>
        <w:topLinePunct w:val="0"/>
        <w:autoSpaceDE/>
        <w:autoSpaceDN/>
        <w:bidi w:val="0"/>
        <w:adjustRightInd/>
        <w:snapToGrid/>
        <w:spacing w:line="480" w:lineRule="exact"/>
        <w:ind w:firstLine="0" w:firstLineChars="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2.投标分项报价表</w:t>
      </w:r>
    </w:p>
    <w:p>
      <w:pPr>
        <w:keepNext w:val="0"/>
        <w:keepLines w:val="0"/>
        <w:pageBreakBefore w:val="0"/>
        <w:widowControl w:val="0"/>
        <w:tabs>
          <w:tab w:val="left" w:pos="5580"/>
        </w:tabs>
        <w:kinsoku/>
        <w:wordWrap/>
        <w:overflowPunct/>
        <w:topLinePunct w:val="0"/>
        <w:autoSpaceDE/>
        <w:autoSpaceDN/>
        <w:bidi w:val="0"/>
        <w:adjustRightInd/>
        <w:snapToGrid/>
        <w:spacing w:line="480" w:lineRule="exact"/>
        <w:ind w:firstLine="0" w:firstLineChars="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3.货物说明一览表</w:t>
      </w:r>
    </w:p>
    <w:p>
      <w:pPr>
        <w:keepNext w:val="0"/>
        <w:keepLines w:val="0"/>
        <w:pageBreakBefore w:val="0"/>
        <w:widowControl w:val="0"/>
        <w:tabs>
          <w:tab w:val="left" w:pos="5580"/>
        </w:tabs>
        <w:kinsoku/>
        <w:wordWrap/>
        <w:overflowPunct/>
        <w:topLinePunct w:val="0"/>
        <w:autoSpaceDE/>
        <w:autoSpaceDN/>
        <w:bidi w:val="0"/>
        <w:adjustRightInd/>
        <w:snapToGrid/>
        <w:spacing w:line="480" w:lineRule="exact"/>
        <w:ind w:firstLine="0" w:firstLineChars="0"/>
        <w:textAlignment w:val="auto"/>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lang w:val="en-US" w:eastAsia="zh-CN"/>
        </w:rPr>
        <w:t>.商务条款偏离表</w:t>
      </w:r>
    </w:p>
    <w:p>
      <w:pPr>
        <w:keepNext w:val="0"/>
        <w:keepLines w:val="0"/>
        <w:pageBreakBefore w:val="0"/>
        <w:widowControl w:val="0"/>
        <w:tabs>
          <w:tab w:val="left" w:pos="5580"/>
        </w:tabs>
        <w:kinsoku/>
        <w:wordWrap/>
        <w:overflowPunct/>
        <w:topLinePunct w:val="0"/>
        <w:autoSpaceDE/>
        <w:autoSpaceDN/>
        <w:bidi w:val="0"/>
        <w:adjustRightInd/>
        <w:snapToGrid/>
        <w:spacing w:line="480" w:lineRule="exact"/>
        <w:ind w:firstLine="0" w:firstLineChars="0"/>
        <w:textAlignment w:val="auto"/>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lang w:val="en-US" w:eastAsia="zh-CN"/>
        </w:rPr>
        <w:t>-1中小企业声明函</w:t>
      </w:r>
    </w:p>
    <w:p>
      <w:pPr>
        <w:keepNext w:val="0"/>
        <w:keepLines w:val="0"/>
        <w:pageBreakBefore w:val="0"/>
        <w:widowControl w:val="0"/>
        <w:tabs>
          <w:tab w:val="left" w:pos="5580"/>
        </w:tabs>
        <w:kinsoku/>
        <w:wordWrap/>
        <w:overflowPunct/>
        <w:topLinePunct w:val="0"/>
        <w:autoSpaceDE/>
        <w:autoSpaceDN/>
        <w:bidi w:val="0"/>
        <w:adjustRightInd/>
        <w:snapToGrid/>
        <w:spacing w:line="480" w:lineRule="exact"/>
        <w:ind w:firstLine="0" w:firstLineChars="0"/>
        <w:textAlignment w:val="auto"/>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lang w:val="en-US" w:eastAsia="zh-CN"/>
        </w:rPr>
        <w:t>-2 残疾人福利性单位声明函</w:t>
      </w:r>
    </w:p>
    <w:p>
      <w:pPr>
        <w:keepNext w:val="0"/>
        <w:keepLines w:val="0"/>
        <w:pageBreakBefore w:val="0"/>
        <w:widowControl w:val="0"/>
        <w:tabs>
          <w:tab w:val="left" w:pos="5580"/>
        </w:tabs>
        <w:kinsoku/>
        <w:wordWrap/>
        <w:overflowPunct/>
        <w:topLinePunct w:val="0"/>
        <w:autoSpaceDE/>
        <w:autoSpaceDN/>
        <w:bidi w:val="0"/>
        <w:adjustRightInd/>
        <w:snapToGrid/>
        <w:spacing w:line="480" w:lineRule="exact"/>
        <w:ind w:firstLine="0" w:firstLineChars="0"/>
        <w:textAlignment w:val="auto"/>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lang w:val="en-US" w:eastAsia="zh-CN"/>
        </w:rPr>
        <w:t>.供应商关联单位的说明（格式自拟）</w:t>
      </w:r>
    </w:p>
    <w:p>
      <w:pPr>
        <w:keepNext w:val="0"/>
        <w:keepLines w:val="0"/>
        <w:pageBreakBefore w:val="0"/>
        <w:widowControl w:val="0"/>
        <w:tabs>
          <w:tab w:val="left" w:pos="5580"/>
        </w:tabs>
        <w:kinsoku/>
        <w:wordWrap/>
        <w:overflowPunct/>
        <w:topLinePunct w:val="0"/>
        <w:autoSpaceDE/>
        <w:autoSpaceDN/>
        <w:bidi w:val="0"/>
        <w:adjustRightInd/>
        <w:snapToGrid/>
        <w:spacing w:line="480" w:lineRule="exact"/>
        <w:ind w:firstLine="0" w:firstLineChars="0"/>
        <w:textAlignment w:val="auto"/>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7</w:t>
      </w:r>
      <w:r>
        <w:rPr>
          <w:rFonts w:hint="eastAsia" w:ascii="宋体" w:hAnsi="宋体" w:eastAsia="宋体" w:cs="宋体"/>
          <w:color w:val="auto"/>
          <w:kern w:val="0"/>
          <w:sz w:val="24"/>
          <w:szCs w:val="24"/>
          <w:highlight w:val="none"/>
          <w:lang w:val="en-US" w:eastAsia="zh-CN"/>
        </w:rPr>
        <w:t>.供应商可提供有利于投标的其他证明材料</w:t>
      </w:r>
    </w:p>
    <w:p>
      <w:pPr>
        <w:keepNext w:val="0"/>
        <w:keepLines w:val="0"/>
        <w:pageBreakBefore w:val="0"/>
        <w:widowControl w:val="0"/>
        <w:tabs>
          <w:tab w:val="left" w:pos="5580"/>
        </w:tabs>
        <w:kinsoku/>
        <w:wordWrap/>
        <w:overflowPunct/>
        <w:topLinePunct w:val="0"/>
        <w:autoSpaceDE/>
        <w:autoSpaceDN/>
        <w:bidi w:val="0"/>
        <w:adjustRightInd/>
        <w:snapToGrid/>
        <w:spacing w:line="480" w:lineRule="exact"/>
        <w:ind w:firstLine="0" w:firstLineChars="0"/>
        <w:textAlignment w:val="auto"/>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lang w:val="en-US" w:eastAsia="zh-CN"/>
        </w:rPr>
        <w:t>.投标文件格式范本</w:t>
      </w:r>
    </w:p>
    <w:p>
      <w:pPr>
        <w:spacing w:line="360" w:lineRule="auto"/>
        <w:rPr>
          <w:rFonts w:hint="eastAsia" w:ascii="宋体" w:hAnsi="宋体" w:eastAsia="宋体" w:cs="宋体"/>
          <w:b/>
          <w:bCs/>
          <w:color w:val="auto"/>
          <w:highlight w:val="none"/>
        </w:rPr>
      </w:pPr>
    </w:p>
    <w:p>
      <w:pPr>
        <w:pStyle w:val="4"/>
        <w:rPr>
          <w:rFonts w:hint="eastAsia" w:ascii="宋体" w:hAnsi="宋体" w:eastAsia="宋体" w:cs="宋体"/>
          <w:b/>
          <w:bCs/>
          <w:color w:val="auto"/>
          <w:highlight w:val="none"/>
        </w:rPr>
      </w:pPr>
    </w:p>
    <w:p>
      <w:pPr>
        <w:pStyle w:val="4"/>
        <w:rPr>
          <w:rFonts w:hint="eastAsia" w:ascii="宋体" w:hAnsi="宋体" w:eastAsia="宋体" w:cs="宋体"/>
          <w:b/>
          <w:bCs/>
          <w:color w:val="auto"/>
          <w:highlight w:val="none"/>
        </w:rPr>
      </w:pPr>
    </w:p>
    <w:p>
      <w:pPr>
        <w:pStyle w:val="4"/>
        <w:rPr>
          <w:rFonts w:hint="eastAsia" w:ascii="宋体" w:hAnsi="宋体" w:eastAsia="宋体" w:cs="宋体"/>
          <w:b/>
          <w:bCs/>
          <w:color w:val="auto"/>
          <w:highlight w:val="none"/>
        </w:rPr>
      </w:pPr>
    </w:p>
    <w:p>
      <w:pPr>
        <w:pStyle w:val="4"/>
        <w:rPr>
          <w:rFonts w:hint="eastAsia" w:ascii="宋体" w:hAnsi="宋体" w:eastAsia="宋体" w:cs="宋体"/>
          <w:b/>
          <w:bCs/>
          <w:color w:val="auto"/>
          <w:highlight w:val="none"/>
        </w:rPr>
      </w:pPr>
    </w:p>
    <w:p>
      <w:pPr>
        <w:pStyle w:val="4"/>
        <w:rPr>
          <w:rFonts w:hint="eastAsia" w:ascii="宋体" w:hAnsi="宋体" w:eastAsia="宋体" w:cs="宋体"/>
          <w:b/>
          <w:bCs/>
          <w:color w:val="auto"/>
          <w:highlight w:val="none"/>
        </w:rPr>
      </w:pPr>
    </w:p>
    <w:p>
      <w:pPr>
        <w:pStyle w:val="4"/>
        <w:rPr>
          <w:rFonts w:hint="eastAsia" w:ascii="宋体" w:hAnsi="宋体" w:eastAsia="宋体" w:cs="宋体"/>
          <w:b/>
          <w:bCs/>
          <w:color w:val="auto"/>
          <w:highlight w:val="none"/>
        </w:rPr>
      </w:pPr>
    </w:p>
    <w:p>
      <w:pPr>
        <w:spacing w:line="360" w:lineRule="auto"/>
        <w:rPr>
          <w:rFonts w:hint="eastAsia" w:ascii="宋体" w:hAnsi="宋体" w:eastAsia="宋体" w:cs="宋体"/>
          <w:color w:val="auto"/>
          <w:sz w:val="24"/>
          <w:highlight w:val="none"/>
        </w:rPr>
      </w:pPr>
    </w:p>
    <w:p>
      <w:pPr>
        <w:pStyle w:val="15"/>
        <w:tabs>
          <w:tab w:val="left" w:pos="5580"/>
        </w:tabs>
        <w:spacing w:line="240" w:lineRule="atLeast"/>
        <w:rPr>
          <w:rFonts w:hint="eastAsia" w:ascii="宋体" w:hAnsi="宋体" w:eastAsia="宋体" w:cs="宋体"/>
          <w:color w:val="auto"/>
          <w:szCs w:val="21"/>
          <w:highlight w:val="none"/>
        </w:rPr>
      </w:pPr>
    </w:p>
    <w:p>
      <w:pPr>
        <w:pStyle w:val="15"/>
        <w:tabs>
          <w:tab w:val="left" w:pos="5580"/>
        </w:tabs>
        <w:spacing w:line="240" w:lineRule="atLeast"/>
        <w:rPr>
          <w:rFonts w:hint="eastAsia" w:ascii="宋体" w:hAnsi="宋体" w:eastAsia="宋体" w:cs="宋体"/>
          <w:color w:val="auto"/>
          <w:szCs w:val="21"/>
          <w:highlight w:val="none"/>
        </w:rPr>
      </w:pPr>
    </w:p>
    <w:p>
      <w:pPr>
        <w:pStyle w:val="15"/>
        <w:tabs>
          <w:tab w:val="left" w:pos="5580"/>
        </w:tabs>
        <w:spacing w:line="240" w:lineRule="atLeast"/>
        <w:rPr>
          <w:rFonts w:hint="eastAsia" w:ascii="宋体" w:hAnsi="宋体" w:eastAsia="宋体" w:cs="宋体"/>
          <w:color w:val="auto"/>
          <w:szCs w:val="21"/>
          <w:highlight w:val="none"/>
        </w:rPr>
      </w:pPr>
    </w:p>
    <w:p>
      <w:pPr>
        <w:pStyle w:val="15"/>
        <w:tabs>
          <w:tab w:val="left" w:pos="5580"/>
        </w:tabs>
        <w:spacing w:line="240" w:lineRule="atLeast"/>
        <w:rPr>
          <w:rFonts w:hint="eastAsia" w:ascii="宋体" w:hAnsi="宋体" w:eastAsia="宋体" w:cs="宋体"/>
          <w:color w:val="auto"/>
          <w:szCs w:val="21"/>
          <w:highlight w:val="none"/>
        </w:rPr>
      </w:pPr>
    </w:p>
    <w:p>
      <w:pPr>
        <w:pStyle w:val="15"/>
        <w:tabs>
          <w:tab w:val="left" w:pos="5580"/>
        </w:tabs>
        <w:spacing w:line="240" w:lineRule="atLeast"/>
        <w:rPr>
          <w:rFonts w:hint="eastAsia" w:ascii="宋体" w:hAnsi="宋体" w:eastAsia="宋体" w:cs="宋体"/>
          <w:color w:val="auto"/>
          <w:szCs w:val="21"/>
          <w:highlight w:val="none"/>
        </w:rPr>
      </w:pPr>
    </w:p>
    <w:p>
      <w:pPr>
        <w:pStyle w:val="15"/>
        <w:tabs>
          <w:tab w:val="left" w:pos="5580"/>
        </w:tabs>
        <w:spacing w:line="240" w:lineRule="atLeast"/>
        <w:rPr>
          <w:rFonts w:hint="eastAsia" w:ascii="宋体" w:hAnsi="宋体" w:eastAsia="宋体" w:cs="宋体"/>
          <w:color w:val="auto"/>
          <w:szCs w:val="21"/>
          <w:highlight w:val="none"/>
        </w:rPr>
      </w:pPr>
    </w:p>
    <w:p>
      <w:pPr>
        <w:pStyle w:val="15"/>
        <w:tabs>
          <w:tab w:val="left" w:pos="5580"/>
        </w:tabs>
        <w:spacing w:line="240" w:lineRule="atLeast"/>
        <w:rPr>
          <w:rFonts w:hint="eastAsia" w:ascii="宋体" w:hAnsi="宋体" w:eastAsia="宋体" w:cs="宋体"/>
          <w:color w:val="auto"/>
          <w:szCs w:val="21"/>
          <w:highlight w:val="none"/>
        </w:rPr>
      </w:pPr>
    </w:p>
    <w:p>
      <w:pPr>
        <w:pStyle w:val="15"/>
        <w:tabs>
          <w:tab w:val="left" w:pos="5580"/>
        </w:tabs>
        <w:spacing w:line="240" w:lineRule="atLeast"/>
        <w:rPr>
          <w:rFonts w:hint="eastAsia" w:ascii="宋体" w:hAnsi="宋体" w:eastAsia="宋体" w:cs="宋体"/>
          <w:color w:val="auto"/>
          <w:szCs w:val="21"/>
          <w:highlight w:val="none"/>
        </w:rPr>
      </w:pPr>
    </w:p>
    <w:p>
      <w:pPr>
        <w:pStyle w:val="15"/>
        <w:tabs>
          <w:tab w:val="left" w:pos="5580"/>
        </w:tabs>
        <w:spacing w:line="240" w:lineRule="atLeast"/>
        <w:rPr>
          <w:rFonts w:hint="eastAsia" w:ascii="宋体" w:hAnsi="宋体" w:eastAsia="宋体" w:cs="宋体"/>
          <w:color w:val="auto"/>
          <w:szCs w:val="21"/>
          <w:highlight w:val="none"/>
        </w:rPr>
      </w:pPr>
    </w:p>
    <w:p>
      <w:pPr>
        <w:pStyle w:val="15"/>
        <w:tabs>
          <w:tab w:val="left" w:pos="5580"/>
        </w:tabs>
        <w:spacing w:line="240" w:lineRule="atLeast"/>
        <w:rPr>
          <w:rFonts w:hint="eastAsia" w:ascii="宋体" w:hAnsi="宋体" w:eastAsia="宋体" w:cs="宋体"/>
          <w:color w:val="auto"/>
          <w:szCs w:val="21"/>
          <w:highlight w:val="none"/>
        </w:rPr>
      </w:pPr>
    </w:p>
    <w:p>
      <w:pPr>
        <w:rPr>
          <w:rFonts w:hint="eastAsia" w:ascii="宋体" w:hAnsi="宋体" w:eastAsia="宋体" w:cs="宋体"/>
          <w:b/>
          <w:bCs/>
          <w:color w:val="auto"/>
          <w:sz w:val="24"/>
          <w:szCs w:val="24"/>
          <w:highlight w:val="none"/>
        </w:rPr>
      </w:pPr>
      <w:bookmarkStart w:id="1488" w:name="_Toc25918"/>
      <w:bookmarkStart w:id="1489" w:name="_Toc21772"/>
      <w:bookmarkStart w:id="1490" w:name="_Toc29625"/>
      <w:bookmarkStart w:id="1491" w:name="_Toc30408"/>
      <w:r>
        <w:rPr>
          <w:rFonts w:hint="eastAsia" w:ascii="宋体" w:hAnsi="宋体" w:eastAsia="宋体" w:cs="宋体"/>
          <w:b/>
          <w:bCs/>
          <w:color w:val="auto"/>
          <w:sz w:val="24"/>
          <w:szCs w:val="24"/>
          <w:highlight w:val="none"/>
        </w:rPr>
        <w:br w:type="page"/>
      </w:r>
    </w:p>
    <w:bookmarkEnd w:id="1485"/>
    <w:bookmarkEnd w:id="1486"/>
    <w:bookmarkEnd w:id="1487"/>
    <w:bookmarkEnd w:id="1488"/>
    <w:bookmarkEnd w:id="1489"/>
    <w:bookmarkEnd w:id="1490"/>
    <w:bookmarkEnd w:id="1491"/>
    <w:p>
      <w:pPr>
        <w:pStyle w:val="8"/>
        <w:keepNext/>
        <w:keepLines/>
        <w:pageBreakBefore w:val="0"/>
        <w:widowControl w:val="0"/>
        <w:kinsoku/>
        <w:wordWrap/>
        <w:overflowPunct/>
        <w:topLinePunct w:val="0"/>
        <w:autoSpaceDE w:val="0"/>
        <w:autoSpaceDN w:val="0"/>
        <w:bidi w:val="0"/>
        <w:adjustRightInd w:val="0"/>
        <w:snapToGrid/>
        <w:spacing w:before="0" w:line="400" w:lineRule="exact"/>
        <w:jc w:val="center"/>
        <w:textAlignment w:val="auto"/>
        <w:outlineLvl w:val="2"/>
        <w:rPr>
          <w:rFonts w:hint="eastAsia" w:ascii="宋体" w:hAnsi="宋体" w:eastAsia="宋体" w:cs="宋体"/>
          <w:b/>
          <w:bCs/>
          <w:color w:val="auto"/>
          <w:sz w:val="24"/>
          <w:szCs w:val="24"/>
          <w:highlight w:val="none"/>
          <w:u w:val="none"/>
          <w:lang w:val="en-US" w:eastAsia="zh-CN"/>
        </w:rPr>
      </w:pPr>
      <w:bookmarkStart w:id="1492" w:name="_Toc29786"/>
      <w:r>
        <w:rPr>
          <w:rFonts w:hint="eastAsia" w:ascii="宋体" w:hAnsi="宋体" w:eastAsia="宋体" w:cs="宋体"/>
          <w:b/>
          <w:bCs/>
          <w:color w:val="auto"/>
          <w:sz w:val="24"/>
          <w:szCs w:val="24"/>
          <w:highlight w:val="none"/>
          <w:u w:val="none"/>
          <w:lang w:val="en-US" w:eastAsia="zh-CN"/>
        </w:rPr>
        <w:t>1.投标书</w:t>
      </w:r>
      <w:bookmarkEnd w:id="1492"/>
    </w:p>
    <w:p>
      <w:pPr>
        <w:tabs>
          <w:tab w:val="left" w:pos="5580"/>
        </w:tabs>
        <w:spacing w:line="400" w:lineRule="exact"/>
        <w:ind w:left="1080" w:hanging="1080"/>
        <w:rPr>
          <w:rFonts w:hint="eastAsia" w:ascii="宋体" w:hAnsi="宋体" w:eastAsia="宋体" w:cs="宋体"/>
          <w:color w:val="auto"/>
          <w:sz w:val="24"/>
          <w:highlight w:val="none"/>
        </w:rPr>
      </w:pPr>
      <w:r>
        <w:rPr>
          <w:rFonts w:hint="eastAsia" w:ascii="宋体" w:hAnsi="宋体" w:eastAsia="宋体" w:cs="宋体"/>
          <w:color w:val="auto"/>
          <w:sz w:val="24"/>
          <w:highlight w:val="none"/>
        </w:rPr>
        <w:t>致：</w:t>
      </w:r>
    </w:p>
    <w:p>
      <w:pPr>
        <w:pStyle w:val="15"/>
        <w:tabs>
          <w:tab w:val="left" w:pos="5580"/>
        </w:tabs>
        <w:spacing w:line="400" w:lineRule="exact"/>
        <w:ind w:left="1080" w:leftChars="257" w:hanging="540"/>
        <w:rPr>
          <w:rFonts w:hint="eastAsia" w:ascii="宋体" w:hAnsi="宋体" w:eastAsia="宋体" w:cs="宋体"/>
          <w:color w:val="auto"/>
          <w:sz w:val="24"/>
          <w:szCs w:val="24"/>
          <w:highlight w:val="none"/>
        </w:rPr>
      </w:pPr>
    </w:p>
    <w:p>
      <w:pPr>
        <w:pStyle w:val="15"/>
        <w:tabs>
          <w:tab w:val="left" w:pos="5580"/>
        </w:tabs>
        <w:spacing w:line="400" w:lineRule="exact"/>
        <w:ind w:left="2" w:leftChars="1"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根据贵方(</w:t>
      </w:r>
      <w:r>
        <w:rPr>
          <w:rFonts w:hint="eastAsia" w:ascii="宋体" w:hAnsi="宋体" w:eastAsia="宋体" w:cs="宋体"/>
          <w:i/>
          <w:color w:val="auto"/>
          <w:sz w:val="24"/>
          <w:szCs w:val="24"/>
          <w:highlight w:val="none"/>
          <w:u w:val="single"/>
        </w:rPr>
        <w:t>项目名称</w:t>
      </w:r>
      <w:r>
        <w:rPr>
          <w:rFonts w:hint="eastAsia" w:ascii="宋体" w:hAnsi="宋体" w:eastAsia="宋体" w:cs="宋体"/>
          <w:color w:val="auto"/>
          <w:sz w:val="24"/>
          <w:szCs w:val="24"/>
          <w:highlight w:val="none"/>
        </w:rPr>
        <w:t>)项目的投标邀请(</w:t>
      </w:r>
      <w:r>
        <w:rPr>
          <w:rFonts w:hint="eastAsia" w:ascii="宋体" w:hAnsi="宋体" w:eastAsia="宋体" w:cs="宋体"/>
          <w:i/>
          <w:color w:val="auto"/>
          <w:sz w:val="24"/>
          <w:szCs w:val="24"/>
          <w:highlight w:val="none"/>
          <w:u w:val="single"/>
        </w:rPr>
        <w:t>项目编号</w:t>
      </w:r>
      <w:r>
        <w:rPr>
          <w:rFonts w:hint="eastAsia" w:ascii="宋体" w:hAnsi="宋体" w:eastAsia="宋体" w:cs="宋体"/>
          <w:color w:val="auto"/>
          <w:sz w:val="24"/>
          <w:szCs w:val="24"/>
          <w:highlight w:val="none"/>
        </w:rPr>
        <w:t>),签字代表(</w:t>
      </w:r>
      <w:r>
        <w:rPr>
          <w:rFonts w:hint="eastAsia" w:ascii="宋体" w:hAnsi="宋体" w:eastAsia="宋体" w:cs="宋体"/>
          <w:i/>
          <w:color w:val="auto"/>
          <w:sz w:val="24"/>
          <w:szCs w:val="24"/>
          <w:highlight w:val="none"/>
          <w:u w:val="single"/>
        </w:rPr>
        <w:t>姓名、职务</w:t>
      </w:r>
      <w:r>
        <w:rPr>
          <w:rFonts w:hint="eastAsia" w:ascii="宋体" w:hAnsi="宋体" w:eastAsia="宋体" w:cs="宋体"/>
          <w:color w:val="auto"/>
          <w:sz w:val="24"/>
          <w:szCs w:val="24"/>
          <w:highlight w:val="none"/>
        </w:rPr>
        <w:t>)经正式授权并代表供应商（</w:t>
      </w:r>
      <w:r>
        <w:rPr>
          <w:rFonts w:hint="eastAsia" w:ascii="宋体" w:hAnsi="宋体" w:eastAsia="宋体" w:cs="宋体"/>
          <w:i/>
          <w:color w:val="auto"/>
          <w:sz w:val="24"/>
          <w:szCs w:val="24"/>
          <w:highlight w:val="none"/>
          <w:u w:val="single"/>
        </w:rPr>
        <w:t>名称、地址</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上传投标</w:t>
      </w:r>
      <w:r>
        <w:rPr>
          <w:rFonts w:hint="eastAsia" w:ascii="宋体" w:hAnsi="宋体" w:eastAsia="宋体" w:cs="宋体"/>
          <w:color w:val="auto"/>
          <w:sz w:val="24"/>
          <w:szCs w:val="24"/>
          <w:highlight w:val="none"/>
        </w:rPr>
        <w:t>文件，并以</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形式出具的金额为人民币</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元的投标保证金。</w:t>
      </w:r>
    </w:p>
    <w:p>
      <w:pPr>
        <w:pStyle w:val="15"/>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据此，签字代表宣布同意如下：</w:t>
      </w:r>
    </w:p>
    <w:p>
      <w:pPr>
        <w:pStyle w:val="15"/>
        <w:tabs>
          <w:tab w:val="left" w:pos="720"/>
          <w:tab w:val="left" w:pos="900"/>
        </w:tabs>
        <w:spacing w:line="400" w:lineRule="exact"/>
        <w:ind w:left="769" w:leftChars="257" w:hanging="22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（1）附投标价格表中规定的应提供</w:t>
      </w:r>
      <w:r>
        <w:rPr>
          <w:rFonts w:hint="eastAsia" w:ascii="宋体" w:hAnsi="宋体" w:eastAsia="宋体" w:cs="宋体"/>
          <w:color w:val="auto"/>
          <w:sz w:val="24"/>
          <w:szCs w:val="24"/>
          <w:highlight w:val="none"/>
          <w:lang w:val="en-US" w:eastAsia="zh-CN"/>
        </w:rPr>
        <w:t>货物</w:t>
      </w:r>
      <w:r>
        <w:rPr>
          <w:rFonts w:hint="eastAsia" w:ascii="宋体" w:hAnsi="宋体" w:eastAsia="宋体" w:cs="宋体"/>
          <w:color w:val="auto"/>
          <w:sz w:val="24"/>
          <w:szCs w:val="24"/>
          <w:highlight w:val="none"/>
        </w:rPr>
        <w:t>的投标总价详见开标一览表，</w:t>
      </w:r>
      <w:r>
        <w:rPr>
          <w:rFonts w:hint="eastAsia" w:ascii="宋体" w:hAnsi="宋体" w:eastAsia="宋体" w:cs="宋体"/>
          <w:color w:val="auto"/>
          <w:sz w:val="24"/>
          <w:szCs w:val="24"/>
          <w:highlight w:val="none"/>
          <w:u w:val="single"/>
        </w:rPr>
        <w:t>其中由小型和</w:t>
      </w:r>
      <w:r>
        <w:rPr>
          <w:rFonts w:hint="eastAsia" w:ascii="宋体" w:hAnsi="宋体" w:eastAsia="宋体" w:cs="宋体"/>
          <w:color w:val="auto"/>
          <w:sz w:val="24"/>
          <w:szCs w:val="24"/>
          <w:highlight w:val="none"/>
        </w:rPr>
        <w:t>微型企业制造产品的价格为</w:t>
      </w:r>
      <w:r>
        <w:rPr>
          <w:rFonts w:hint="eastAsia" w:ascii="宋体" w:hAnsi="宋体" w:eastAsia="宋体" w:cs="宋体"/>
          <w:color w:val="auto"/>
          <w:sz w:val="24"/>
          <w:szCs w:val="24"/>
          <w:highlight w:val="none"/>
          <w:u w:val="single"/>
        </w:rPr>
        <w:t>　　  （用文字和数字表示），占投标总价   %</w:t>
      </w:r>
      <w:r>
        <w:rPr>
          <w:rFonts w:hint="eastAsia" w:ascii="宋体" w:hAnsi="宋体" w:eastAsia="宋体" w:cs="宋体"/>
          <w:color w:val="auto"/>
          <w:sz w:val="24"/>
          <w:szCs w:val="24"/>
          <w:highlight w:val="none"/>
        </w:rPr>
        <w:t>。</w:t>
      </w:r>
    </w:p>
    <w:p>
      <w:pPr>
        <w:pStyle w:val="15"/>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（2）本投标有效期为自投标截止之日起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个日历日。</w:t>
      </w:r>
    </w:p>
    <w:p>
      <w:pPr>
        <w:pStyle w:val="15"/>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（3）联合体中的大中型企业和其他自然人、法人或者非法人组织，与联合体中的小型、微型企业之间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存在、不存在）投资关系（如果是联合体的话）。</w:t>
      </w:r>
    </w:p>
    <w:p>
      <w:pPr>
        <w:pStyle w:val="15"/>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（4）已详细审查全部招标文件，包括所有补充通知（如果有的话），完全理解并同意放弃对这方面有不明、误解和质疑的权力。</w:t>
      </w:r>
    </w:p>
    <w:p>
      <w:pPr>
        <w:pStyle w:val="15"/>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（5）在规定的开标时间后，遵守招标文件中有关保证金的规定。</w:t>
      </w:r>
    </w:p>
    <w:p>
      <w:pPr>
        <w:pStyle w:val="15"/>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（6）在领取中标通知书的同时按招标文件规定的形式，向贵方一次性支付中标服务费。</w:t>
      </w:r>
    </w:p>
    <w:p>
      <w:pPr>
        <w:pStyle w:val="15"/>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）按照贵方可能要求，提供与其投标有关的一切数据或资料，完全理解贵方不一定接受最低价的投标或收到的任何投标。</w:t>
      </w:r>
    </w:p>
    <w:p>
      <w:pPr>
        <w:pStyle w:val="15"/>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）按照招标文件的规定履行合同责任和义务。</w:t>
      </w:r>
    </w:p>
    <w:p>
      <w:pPr>
        <w:pStyle w:val="15"/>
        <w:tabs>
          <w:tab w:val="left" w:pos="5580"/>
        </w:tabs>
        <w:spacing w:line="400" w:lineRule="exact"/>
        <w:ind w:left="359" w:leftChars="68" w:hanging="216" w:hangingChars="9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与本投标有关的一切正式往来信函请寄：</w:t>
      </w:r>
    </w:p>
    <w:p>
      <w:pPr>
        <w:pStyle w:val="15"/>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传真</w:t>
      </w:r>
      <w:r>
        <w:rPr>
          <w:rFonts w:hint="eastAsia" w:ascii="宋体" w:hAnsi="宋体" w:eastAsia="宋体" w:cs="宋体"/>
          <w:color w:val="auto"/>
          <w:sz w:val="24"/>
          <w:szCs w:val="24"/>
          <w:highlight w:val="none"/>
          <w:u w:val="single"/>
        </w:rPr>
        <w:t xml:space="preserve">                             </w:t>
      </w:r>
    </w:p>
    <w:p>
      <w:pPr>
        <w:pStyle w:val="15"/>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电子函件</w:t>
      </w:r>
      <w:r>
        <w:rPr>
          <w:rFonts w:hint="eastAsia" w:ascii="宋体" w:hAnsi="宋体" w:eastAsia="宋体" w:cs="宋体"/>
          <w:color w:val="auto"/>
          <w:sz w:val="24"/>
          <w:szCs w:val="24"/>
          <w:highlight w:val="none"/>
          <w:u w:val="single"/>
        </w:rPr>
        <w:t xml:space="preserve">                         </w:t>
      </w:r>
    </w:p>
    <w:p>
      <w:pPr>
        <w:pStyle w:val="15"/>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法定代表人（签/章）</w:t>
      </w:r>
      <w:r>
        <w:rPr>
          <w:rFonts w:hint="eastAsia" w:ascii="宋体" w:hAnsi="宋体" w:eastAsia="宋体" w:cs="宋体"/>
          <w:color w:val="auto"/>
          <w:sz w:val="24"/>
          <w:szCs w:val="24"/>
          <w:highlight w:val="none"/>
          <w:u w:val="single"/>
        </w:rPr>
        <w:t xml:space="preserve">       </w:t>
      </w:r>
    </w:p>
    <w:p>
      <w:pPr>
        <w:pStyle w:val="15"/>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lang w:eastAsia="zh-CN"/>
        </w:rPr>
        <w:t>名称</w:t>
      </w:r>
      <w:r>
        <w:rPr>
          <w:rFonts w:hint="eastAsia" w:ascii="宋体" w:hAnsi="宋体" w:eastAsia="宋体" w:cs="宋体"/>
          <w:color w:val="auto"/>
          <w:sz w:val="24"/>
          <w:szCs w:val="24"/>
          <w:highlight w:val="none"/>
        </w:rPr>
        <w:t>（公章）</w:t>
      </w:r>
      <w:r>
        <w:rPr>
          <w:rFonts w:hint="eastAsia" w:ascii="宋体" w:hAnsi="宋体" w:eastAsia="宋体" w:cs="宋体"/>
          <w:color w:val="auto"/>
          <w:sz w:val="24"/>
          <w:szCs w:val="24"/>
          <w:highlight w:val="none"/>
          <w:u w:val="single"/>
        </w:rPr>
        <w:t xml:space="preserve">               </w:t>
      </w:r>
    </w:p>
    <w:p>
      <w:pPr>
        <w:pStyle w:val="15"/>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供应商开户银行（全称）</w:t>
      </w:r>
      <w:r>
        <w:rPr>
          <w:rFonts w:hint="eastAsia" w:ascii="宋体" w:hAnsi="宋体" w:eastAsia="宋体" w:cs="宋体"/>
          <w:color w:val="auto"/>
          <w:sz w:val="24"/>
          <w:szCs w:val="24"/>
          <w:highlight w:val="none"/>
          <w:u w:val="single"/>
        </w:rPr>
        <w:t xml:space="preserve">　　　　　　 </w:t>
      </w:r>
    </w:p>
    <w:p>
      <w:pPr>
        <w:pStyle w:val="15"/>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供应商银行帐号</w:t>
      </w:r>
      <w:r>
        <w:rPr>
          <w:rFonts w:hint="eastAsia" w:ascii="宋体" w:hAnsi="宋体" w:eastAsia="宋体" w:cs="宋体"/>
          <w:color w:val="auto"/>
          <w:sz w:val="24"/>
          <w:szCs w:val="24"/>
          <w:highlight w:val="none"/>
          <w:u w:val="single"/>
        </w:rPr>
        <w:t>　　　　　　　　 　　</w:t>
      </w:r>
    </w:p>
    <w:p>
      <w:pPr>
        <w:pStyle w:val="15"/>
        <w:tabs>
          <w:tab w:val="left" w:pos="5580"/>
        </w:tabs>
        <w:spacing w:line="400" w:lineRule="exact"/>
        <w:ind w:left="1080" w:leftChars="257" w:hanging="54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期</w:t>
      </w:r>
      <w:r>
        <w:rPr>
          <w:rFonts w:hint="eastAsia" w:ascii="宋体" w:hAnsi="宋体" w:eastAsia="宋体" w:cs="宋体"/>
          <w:color w:val="auto"/>
          <w:sz w:val="24"/>
          <w:szCs w:val="24"/>
          <w:highlight w:val="none"/>
          <w:u w:val="single"/>
        </w:rPr>
        <w:t xml:space="preserve">                </w:t>
      </w:r>
      <w:bookmarkStart w:id="1493" w:name="_Toc6738"/>
      <w:bookmarkStart w:id="1494" w:name="_Toc23473"/>
      <w:bookmarkStart w:id="1495" w:name="_Toc14219"/>
      <w:bookmarkStart w:id="1496" w:name="_Toc1266"/>
      <w:bookmarkStart w:id="1497" w:name="_Toc30947"/>
      <w:bookmarkStart w:id="1498" w:name="_Toc19819"/>
    </w:p>
    <w:p>
      <w:pPr>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br w:type="page"/>
      </w:r>
    </w:p>
    <w:bookmarkEnd w:id="1493"/>
    <w:bookmarkEnd w:id="1494"/>
    <w:bookmarkEnd w:id="1495"/>
    <w:bookmarkEnd w:id="1496"/>
    <w:bookmarkEnd w:id="1497"/>
    <w:bookmarkEnd w:id="1498"/>
    <w:p>
      <w:pPr>
        <w:bidi w:val="0"/>
        <w:ind w:firstLine="2891" w:firstLineChars="1200"/>
        <w:jc w:val="left"/>
        <w:outlineLvl w:val="2"/>
        <w:rPr>
          <w:rFonts w:hint="eastAsia" w:ascii="宋体" w:hAnsi="宋体" w:eastAsia="宋体" w:cs="宋体"/>
          <w:b/>
          <w:bCs/>
          <w:color w:val="auto"/>
          <w:sz w:val="24"/>
          <w:szCs w:val="24"/>
          <w:highlight w:val="none"/>
          <w:u w:val="none"/>
          <w:lang w:val="en-US" w:eastAsia="zh-CN"/>
        </w:rPr>
      </w:pPr>
      <w:bookmarkStart w:id="1499" w:name="_Toc28913"/>
      <w:bookmarkStart w:id="1500" w:name="_Toc515647820"/>
      <w:bookmarkStart w:id="1501" w:name="_Toc28959"/>
      <w:bookmarkStart w:id="1502" w:name="_Toc22563"/>
      <w:bookmarkStart w:id="1503" w:name="_Toc216582817"/>
      <w:r>
        <w:rPr>
          <w:rFonts w:hint="eastAsia" w:ascii="宋体" w:hAnsi="宋体" w:cs="宋体"/>
          <w:b/>
          <w:bCs/>
          <w:color w:val="auto"/>
          <w:sz w:val="24"/>
          <w:szCs w:val="24"/>
          <w:highlight w:val="none"/>
          <w:u w:val="none"/>
          <w:lang w:val="en-US" w:eastAsia="zh-CN"/>
        </w:rPr>
        <w:t>（标项一）</w:t>
      </w:r>
      <w:r>
        <w:rPr>
          <w:rFonts w:hint="eastAsia" w:ascii="宋体" w:hAnsi="宋体" w:eastAsia="宋体" w:cs="宋体"/>
          <w:b/>
          <w:bCs/>
          <w:color w:val="auto"/>
          <w:sz w:val="24"/>
          <w:szCs w:val="24"/>
          <w:highlight w:val="none"/>
          <w:u w:val="none"/>
          <w:lang w:val="en-US" w:eastAsia="zh-CN"/>
        </w:rPr>
        <w:t>2.投标分项报价表</w:t>
      </w:r>
      <w:bookmarkEnd w:id="1499"/>
    </w:p>
    <w:p>
      <w:pPr>
        <w:pStyle w:val="15"/>
        <w:keepNext w:val="0"/>
        <w:keepLines w:val="0"/>
        <w:pageBreakBefore w:val="0"/>
        <w:widowControl w:val="0"/>
        <w:kinsoku/>
        <w:wordWrap/>
        <w:overflowPunct/>
        <w:topLinePunct w:val="0"/>
        <w:autoSpaceDE/>
        <w:autoSpaceDN/>
        <w:bidi w:val="0"/>
        <w:adjustRightInd/>
        <w:snapToGrid/>
        <w:spacing w:line="400" w:lineRule="exact"/>
        <w:ind w:left="540" w:leftChars="257" w:firstLine="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项目名称</w:t>
      </w:r>
      <w:r>
        <w:rPr>
          <w:rFonts w:hint="eastAsia" w:hAnsi="宋体" w:cs="宋体"/>
          <w:color w:val="auto"/>
          <w:sz w:val="24"/>
          <w:szCs w:val="24"/>
          <w:highlight w:val="none"/>
          <w:lang w:eastAsia="zh-CN"/>
        </w:rPr>
        <w:t>：</w:t>
      </w:r>
      <w:r>
        <w:rPr>
          <w:rFonts w:hint="eastAsia" w:ascii="宋体" w:hAnsi="宋体" w:eastAsia="宋体" w:cs="宋体"/>
          <w:color w:val="auto"/>
          <w:sz w:val="24"/>
          <w:szCs w:val="24"/>
          <w:highlight w:val="none"/>
        </w:rPr>
        <w:t xml:space="preserve">                     项目编号</w:t>
      </w:r>
      <w:r>
        <w:rPr>
          <w:rFonts w:hint="eastAsia" w:hAnsi="宋体" w:cs="宋体"/>
          <w:color w:val="auto"/>
          <w:sz w:val="24"/>
          <w:szCs w:val="24"/>
          <w:highlight w:val="none"/>
          <w:lang w:eastAsia="zh-CN"/>
        </w:rPr>
        <w:t>：</w:t>
      </w:r>
      <w:r>
        <w:rPr>
          <w:rFonts w:hint="eastAsia" w:ascii="宋体" w:hAnsi="宋体" w:eastAsia="宋体" w:cs="宋体"/>
          <w:color w:val="auto"/>
          <w:sz w:val="24"/>
          <w:szCs w:val="24"/>
          <w:highlight w:val="none"/>
        </w:rPr>
        <w:t xml:space="preserve">                       　 　          报价单位：人民币</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元</w:t>
      </w:r>
      <w:r>
        <w:rPr>
          <w:rFonts w:hint="eastAsia" w:ascii="宋体" w:hAnsi="宋体" w:eastAsia="宋体" w:cs="宋体"/>
          <w:color w:val="auto"/>
          <w:sz w:val="24"/>
          <w:szCs w:val="24"/>
          <w:highlight w:val="none"/>
          <w:lang w:val="en-US" w:eastAsia="zh-CN"/>
        </w:rPr>
        <w:t xml:space="preserve">            </w:t>
      </w:r>
    </w:p>
    <w:tbl>
      <w:tblPr>
        <w:tblStyle w:val="2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1063"/>
        <w:gridCol w:w="660"/>
        <w:gridCol w:w="938"/>
        <w:gridCol w:w="1207"/>
        <w:gridCol w:w="660"/>
        <w:gridCol w:w="660"/>
        <w:gridCol w:w="660"/>
        <w:gridCol w:w="660"/>
        <w:gridCol w:w="660"/>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383" w:type="pct"/>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序号</w:t>
            </w:r>
          </w:p>
        </w:tc>
        <w:tc>
          <w:tcPr>
            <w:tcW w:w="624"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lang w:eastAsia="zh-CN"/>
              </w:rPr>
              <w:t>货物</w:t>
            </w:r>
            <w:r>
              <w:rPr>
                <w:rFonts w:hint="eastAsia" w:ascii="宋体" w:hAnsi="宋体" w:eastAsia="宋体" w:cs="宋体"/>
                <w:color w:val="auto"/>
                <w:sz w:val="24"/>
                <w:highlight w:val="none"/>
              </w:rPr>
              <w:t>名称</w:t>
            </w:r>
          </w:p>
        </w:tc>
        <w:tc>
          <w:tcPr>
            <w:tcW w:w="387"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品牌</w:t>
            </w:r>
          </w:p>
        </w:tc>
        <w:tc>
          <w:tcPr>
            <w:tcW w:w="550"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规格</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型号</w:t>
            </w:r>
          </w:p>
        </w:tc>
        <w:tc>
          <w:tcPr>
            <w:tcW w:w="708" w:type="pct"/>
            <w:vAlign w:val="center"/>
          </w:tcPr>
          <w:p>
            <w:pPr>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制造商名称</w:t>
            </w:r>
          </w:p>
        </w:tc>
        <w:tc>
          <w:tcPr>
            <w:tcW w:w="387"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产地</w:t>
            </w:r>
          </w:p>
        </w:tc>
        <w:tc>
          <w:tcPr>
            <w:tcW w:w="387"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数量</w:t>
            </w:r>
          </w:p>
        </w:tc>
        <w:tc>
          <w:tcPr>
            <w:tcW w:w="387"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单位</w:t>
            </w:r>
          </w:p>
        </w:tc>
        <w:tc>
          <w:tcPr>
            <w:tcW w:w="387"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单价</w:t>
            </w:r>
          </w:p>
        </w:tc>
        <w:tc>
          <w:tcPr>
            <w:tcW w:w="387" w:type="pct"/>
            <w:vAlign w:val="center"/>
          </w:tcPr>
          <w:p>
            <w:pPr>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合价</w:t>
            </w:r>
          </w:p>
        </w:tc>
        <w:tc>
          <w:tcPr>
            <w:tcW w:w="409"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83"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624" w:type="pct"/>
            <w:vAlign w:val="center"/>
          </w:tcPr>
          <w:p>
            <w:pPr>
              <w:spacing w:line="360" w:lineRule="auto"/>
              <w:jc w:val="center"/>
              <w:rPr>
                <w:rFonts w:hint="eastAsia" w:ascii="宋体" w:hAnsi="宋体" w:eastAsia="宋体" w:cs="宋体"/>
                <w:color w:val="auto"/>
                <w:sz w:val="24"/>
                <w:highlight w:val="none"/>
              </w:rPr>
            </w:pPr>
          </w:p>
        </w:tc>
        <w:tc>
          <w:tcPr>
            <w:tcW w:w="387" w:type="pct"/>
            <w:vAlign w:val="center"/>
          </w:tcPr>
          <w:p>
            <w:pPr>
              <w:spacing w:line="360" w:lineRule="auto"/>
              <w:jc w:val="center"/>
              <w:rPr>
                <w:rFonts w:hint="eastAsia" w:ascii="宋体" w:hAnsi="宋体" w:eastAsia="宋体" w:cs="宋体"/>
                <w:color w:val="auto"/>
                <w:sz w:val="24"/>
                <w:highlight w:val="none"/>
              </w:rPr>
            </w:pPr>
          </w:p>
        </w:tc>
        <w:tc>
          <w:tcPr>
            <w:tcW w:w="550" w:type="pct"/>
            <w:vAlign w:val="center"/>
          </w:tcPr>
          <w:p>
            <w:pPr>
              <w:spacing w:line="360" w:lineRule="auto"/>
              <w:jc w:val="center"/>
              <w:rPr>
                <w:rFonts w:hint="eastAsia" w:ascii="宋体" w:hAnsi="宋体" w:eastAsia="宋体" w:cs="宋体"/>
                <w:color w:val="auto"/>
                <w:sz w:val="24"/>
                <w:highlight w:val="none"/>
              </w:rPr>
            </w:pPr>
          </w:p>
        </w:tc>
        <w:tc>
          <w:tcPr>
            <w:tcW w:w="708" w:type="pct"/>
            <w:vAlign w:val="center"/>
          </w:tcPr>
          <w:p>
            <w:pPr>
              <w:spacing w:line="360" w:lineRule="auto"/>
              <w:jc w:val="center"/>
              <w:rPr>
                <w:rFonts w:hint="eastAsia" w:ascii="宋体" w:hAnsi="宋体" w:eastAsia="宋体" w:cs="宋体"/>
                <w:color w:val="auto"/>
                <w:sz w:val="24"/>
                <w:highlight w:val="none"/>
              </w:rPr>
            </w:pPr>
          </w:p>
        </w:tc>
        <w:tc>
          <w:tcPr>
            <w:tcW w:w="387" w:type="pct"/>
            <w:vAlign w:val="center"/>
          </w:tcPr>
          <w:p>
            <w:pPr>
              <w:spacing w:line="360" w:lineRule="auto"/>
              <w:jc w:val="center"/>
              <w:rPr>
                <w:rFonts w:hint="eastAsia" w:ascii="宋体" w:hAnsi="宋体" w:eastAsia="宋体" w:cs="宋体"/>
                <w:color w:val="auto"/>
                <w:sz w:val="24"/>
                <w:highlight w:val="none"/>
              </w:rPr>
            </w:pPr>
          </w:p>
        </w:tc>
        <w:tc>
          <w:tcPr>
            <w:tcW w:w="387" w:type="pct"/>
            <w:vAlign w:val="center"/>
          </w:tcPr>
          <w:p>
            <w:pPr>
              <w:spacing w:line="360" w:lineRule="auto"/>
              <w:jc w:val="center"/>
              <w:rPr>
                <w:rFonts w:hint="eastAsia" w:ascii="宋体" w:hAnsi="宋体" w:eastAsia="宋体" w:cs="宋体"/>
                <w:color w:val="auto"/>
                <w:sz w:val="24"/>
                <w:highlight w:val="none"/>
              </w:rPr>
            </w:pPr>
          </w:p>
        </w:tc>
        <w:tc>
          <w:tcPr>
            <w:tcW w:w="387" w:type="pct"/>
            <w:vAlign w:val="center"/>
          </w:tcPr>
          <w:p>
            <w:pPr>
              <w:spacing w:line="360" w:lineRule="auto"/>
              <w:jc w:val="center"/>
              <w:rPr>
                <w:rFonts w:hint="eastAsia" w:ascii="宋体" w:hAnsi="宋体" w:eastAsia="宋体" w:cs="宋体"/>
                <w:color w:val="auto"/>
                <w:sz w:val="24"/>
                <w:highlight w:val="none"/>
              </w:rPr>
            </w:pPr>
          </w:p>
        </w:tc>
        <w:tc>
          <w:tcPr>
            <w:tcW w:w="387" w:type="pct"/>
            <w:vAlign w:val="center"/>
          </w:tcPr>
          <w:p>
            <w:pPr>
              <w:spacing w:line="360" w:lineRule="auto"/>
              <w:jc w:val="center"/>
              <w:rPr>
                <w:rFonts w:hint="eastAsia" w:ascii="宋体" w:hAnsi="宋体" w:eastAsia="宋体" w:cs="宋体"/>
                <w:color w:val="auto"/>
                <w:sz w:val="24"/>
                <w:highlight w:val="none"/>
              </w:rPr>
            </w:pPr>
          </w:p>
        </w:tc>
        <w:tc>
          <w:tcPr>
            <w:tcW w:w="387" w:type="pct"/>
            <w:vAlign w:val="center"/>
          </w:tcPr>
          <w:p>
            <w:pPr>
              <w:spacing w:line="360" w:lineRule="auto"/>
              <w:jc w:val="center"/>
              <w:rPr>
                <w:rFonts w:hint="eastAsia" w:ascii="宋体" w:hAnsi="宋体" w:eastAsia="宋体" w:cs="宋体"/>
                <w:color w:val="auto"/>
                <w:sz w:val="24"/>
                <w:highlight w:val="none"/>
              </w:rPr>
            </w:pPr>
          </w:p>
        </w:tc>
        <w:tc>
          <w:tcPr>
            <w:tcW w:w="409" w:type="pct"/>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3"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624" w:type="pct"/>
            <w:vAlign w:val="center"/>
          </w:tcPr>
          <w:p>
            <w:pPr>
              <w:spacing w:line="360" w:lineRule="auto"/>
              <w:jc w:val="center"/>
              <w:rPr>
                <w:rFonts w:hint="eastAsia" w:ascii="宋体" w:hAnsi="宋体" w:eastAsia="宋体" w:cs="宋体"/>
                <w:color w:val="auto"/>
                <w:sz w:val="24"/>
                <w:highlight w:val="none"/>
              </w:rPr>
            </w:pPr>
          </w:p>
        </w:tc>
        <w:tc>
          <w:tcPr>
            <w:tcW w:w="387" w:type="pct"/>
            <w:vAlign w:val="center"/>
          </w:tcPr>
          <w:p>
            <w:pPr>
              <w:spacing w:line="360" w:lineRule="auto"/>
              <w:jc w:val="center"/>
              <w:rPr>
                <w:rFonts w:hint="eastAsia" w:ascii="宋体" w:hAnsi="宋体" w:eastAsia="宋体" w:cs="宋体"/>
                <w:color w:val="auto"/>
                <w:sz w:val="24"/>
                <w:highlight w:val="none"/>
              </w:rPr>
            </w:pPr>
          </w:p>
        </w:tc>
        <w:tc>
          <w:tcPr>
            <w:tcW w:w="550" w:type="pct"/>
            <w:vAlign w:val="center"/>
          </w:tcPr>
          <w:p>
            <w:pPr>
              <w:spacing w:line="360" w:lineRule="auto"/>
              <w:jc w:val="center"/>
              <w:rPr>
                <w:rFonts w:hint="eastAsia" w:ascii="宋体" w:hAnsi="宋体" w:eastAsia="宋体" w:cs="宋体"/>
                <w:color w:val="auto"/>
                <w:sz w:val="24"/>
                <w:highlight w:val="none"/>
              </w:rPr>
            </w:pPr>
          </w:p>
        </w:tc>
        <w:tc>
          <w:tcPr>
            <w:tcW w:w="708" w:type="pct"/>
            <w:vAlign w:val="center"/>
          </w:tcPr>
          <w:p>
            <w:pPr>
              <w:spacing w:line="360" w:lineRule="auto"/>
              <w:jc w:val="center"/>
              <w:rPr>
                <w:rFonts w:hint="eastAsia" w:ascii="宋体" w:hAnsi="宋体" w:eastAsia="宋体" w:cs="宋体"/>
                <w:color w:val="auto"/>
                <w:sz w:val="24"/>
                <w:highlight w:val="none"/>
              </w:rPr>
            </w:pPr>
          </w:p>
        </w:tc>
        <w:tc>
          <w:tcPr>
            <w:tcW w:w="387" w:type="pct"/>
            <w:vAlign w:val="center"/>
          </w:tcPr>
          <w:p>
            <w:pPr>
              <w:spacing w:line="360" w:lineRule="auto"/>
              <w:jc w:val="center"/>
              <w:rPr>
                <w:rFonts w:hint="eastAsia" w:ascii="宋体" w:hAnsi="宋体" w:eastAsia="宋体" w:cs="宋体"/>
                <w:color w:val="auto"/>
                <w:sz w:val="24"/>
                <w:highlight w:val="none"/>
              </w:rPr>
            </w:pPr>
          </w:p>
        </w:tc>
        <w:tc>
          <w:tcPr>
            <w:tcW w:w="387" w:type="pct"/>
            <w:vAlign w:val="center"/>
          </w:tcPr>
          <w:p>
            <w:pPr>
              <w:spacing w:line="360" w:lineRule="auto"/>
              <w:jc w:val="center"/>
              <w:rPr>
                <w:rFonts w:hint="eastAsia" w:ascii="宋体" w:hAnsi="宋体" w:eastAsia="宋体" w:cs="宋体"/>
                <w:color w:val="auto"/>
                <w:sz w:val="24"/>
                <w:highlight w:val="none"/>
              </w:rPr>
            </w:pPr>
          </w:p>
        </w:tc>
        <w:tc>
          <w:tcPr>
            <w:tcW w:w="387" w:type="pct"/>
            <w:vAlign w:val="center"/>
          </w:tcPr>
          <w:p>
            <w:pPr>
              <w:spacing w:line="360" w:lineRule="auto"/>
              <w:jc w:val="center"/>
              <w:rPr>
                <w:rFonts w:hint="eastAsia" w:ascii="宋体" w:hAnsi="宋体" w:eastAsia="宋体" w:cs="宋体"/>
                <w:color w:val="auto"/>
                <w:sz w:val="24"/>
                <w:highlight w:val="none"/>
              </w:rPr>
            </w:pPr>
          </w:p>
        </w:tc>
        <w:tc>
          <w:tcPr>
            <w:tcW w:w="387" w:type="pct"/>
            <w:vAlign w:val="center"/>
          </w:tcPr>
          <w:p>
            <w:pPr>
              <w:spacing w:line="360" w:lineRule="auto"/>
              <w:jc w:val="center"/>
              <w:rPr>
                <w:rFonts w:hint="eastAsia" w:ascii="宋体" w:hAnsi="宋体" w:eastAsia="宋体" w:cs="宋体"/>
                <w:color w:val="auto"/>
                <w:sz w:val="24"/>
                <w:highlight w:val="none"/>
              </w:rPr>
            </w:pPr>
          </w:p>
        </w:tc>
        <w:tc>
          <w:tcPr>
            <w:tcW w:w="387" w:type="pct"/>
            <w:vAlign w:val="center"/>
          </w:tcPr>
          <w:p>
            <w:pPr>
              <w:spacing w:line="360" w:lineRule="auto"/>
              <w:jc w:val="center"/>
              <w:rPr>
                <w:rFonts w:hint="eastAsia" w:ascii="宋体" w:hAnsi="宋体" w:eastAsia="宋体" w:cs="宋体"/>
                <w:color w:val="auto"/>
                <w:sz w:val="24"/>
                <w:highlight w:val="none"/>
              </w:rPr>
            </w:pPr>
          </w:p>
        </w:tc>
        <w:tc>
          <w:tcPr>
            <w:tcW w:w="409" w:type="pct"/>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83"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624" w:type="pct"/>
            <w:vAlign w:val="center"/>
          </w:tcPr>
          <w:p>
            <w:pPr>
              <w:spacing w:line="360" w:lineRule="auto"/>
              <w:jc w:val="center"/>
              <w:rPr>
                <w:rFonts w:hint="eastAsia" w:ascii="宋体" w:hAnsi="宋体" w:eastAsia="宋体" w:cs="宋体"/>
                <w:color w:val="auto"/>
                <w:sz w:val="24"/>
                <w:highlight w:val="none"/>
              </w:rPr>
            </w:pPr>
          </w:p>
        </w:tc>
        <w:tc>
          <w:tcPr>
            <w:tcW w:w="387" w:type="pct"/>
            <w:vAlign w:val="center"/>
          </w:tcPr>
          <w:p>
            <w:pPr>
              <w:spacing w:line="360" w:lineRule="auto"/>
              <w:jc w:val="center"/>
              <w:rPr>
                <w:rFonts w:hint="eastAsia" w:ascii="宋体" w:hAnsi="宋体" w:eastAsia="宋体" w:cs="宋体"/>
                <w:color w:val="auto"/>
                <w:sz w:val="24"/>
                <w:highlight w:val="none"/>
              </w:rPr>
            </w:pPr>
          </w:p>
        </w:tc>
        <w:tc>
          <w:tcPr>
            <w:tcW w:w="550" w:type="pct"/>
            <w:vAlign w:val="center"/>
          </w:tcPr>
          <w:p>
            <w:pPr>
              <w:spacing w:line="360" w:lineRule="auto"/>
              <w:jc w:val="center"/>
              <w:rPr>
                <w:rFonts w:hint="eastAsia" w:ascii="宋体" w:hAnsi="宋体" w:eastAsia="宋体" w:cs="宋体"/>
                <w:color w:val="auto"/>
                <w:sz w:val="24"/>
                <w:highlight w:val="none"/>
              </w:rPr>
            </w:pPr>
          </w:p>
        </w:tc>
        <w:tc>
          <w:tcPr>
            <w:tcW w:w="708" w:type="pct"/>
            <w:vAlign w:val="center"/>
          </w:tcPr>
          <w:p>
            <w:pPr>
              <w:spacing w:line="360" w:lineRule="auto"/>
              <w:jc w:val="center"/>
              <w:rPr>
                <w:rFonts w:hint="eastAsia" w:ascii="宋体" w:hAnsi="宋体" w:eastAsia="宋体" w:cs="宋体"/>
                <w:color w:val="auto"/>
                <w:sz w:val="24"/>
                <w:highlight w:val="none"/>
              </w:rPr>
            </w:pPr>
          </w:p>
        </w:tc>
        <w:tc>
          <w:tcPr>
            <w:tcW w:w="387" w:type="pct"/>
            <w:vAlign w:val="center"/>
          </w:tcPr>
          <w:p>
            <w:pPr>
              <w:spacing w:line="360" w:lineRule="auto"/>
              <w:jc w:val="center"/>
              <w:rPr>
                <w:rFonts w:hint="eastAsia" w:ascii="宋体" w:hAnsi="宋体" w:eastAsia="宋体" w:cs="宋体"/>
                <w:color w:val="auto"/>
                <w:sz w:val="24"/>
                <w:highlight w:val="none"/>
              </w:rPr>
            </w:pPr>
          </w:p>
        </w:tc>
        <w:tc>
          <w:tcPr>
            <w:tcW w:w="387" w:type="pct"/>
            <w:vAlign w:val="center"/>
          </w:tcPr>
          <w:p>
            <w:pPr>
              <w:spacing w:line="360" w:lineRule="auto"/>
              <w:jc w:val="center"/>
              <w:rPr>
                <w:rFonts w:hint="eastAsia" w:ascii="宋体" w:hAnsi="宋体" w:eastAsia="宋体" w:cs="宋体"/>
                <w:color w:val="auto"/>
                <w:sz w:val="24"/>
                <w:highlight w:val="none"/>
              </w:rPr>
            </w:pPr>
          </w:p>
        </w:tc>
        <w:tc>
          <w:tcPr>
            <w:tcW w:w="387" w:type="pct"/>
            <w:vAlign w:val="center"/>
          </w:tcPr>
          <w:p>
            <w:pPr>
              <w:spacing w:line="360" w:lineRule="auto"/>
              <w:jc w:val="center"/>
              <w:rPr>
                <w:rFonts w:hint="eastAsia" w:ascii="宋体" w:hAnsi="宋体" w:eastAsia="宋体" w:cs="宋体"/>
                <w:color w:val="auto"/>
                <w:sz w:val="24"/>
                <w:highlight w:val="none"/>
              </w:rPr>
            </w:pPr>
          </w:p>
        </w:tc>
        <w:tc>
          <w:tcPr>
            <w:tcW w:w="387" w:type="pct"/>
            <w:vAlign w:val="center"/>
          </w:tcPr>
          <w:p>
            <w:pPr>
              <w:spacing w:line="360" w:lineRule="auto"/>
              <w:jc w:val="center"/>
              <w:rPr>
                <w:rFonts w:hint="eastAsia" w:ascii="宋体" w:hAnsi="宋体" w:eastAsia="宋体" w:cs="宋体"/>
                <w:color w:val="auto"/>
                <w:sz w:val="24"/>
                <w:highlight w:val="none"/>
              </w:rPr>
            </w:pPr>
          </w:p>
        </w:tc>
        <w:tc>
          <w:tcPr>
            <w:tcW w:w="387" w:type="pct"/>
            <w:vAlign w:val="center"/>
          </w:tcPr>
          <w:p>
            <w:pPr>
              <w:spacing w:line="360" w:lineRule="auto"/>
              <w:jc w:val="center"/>
              <w:rPr>
                <w:rFonts w:hint="eastAsia" w:ascii="宋体" w:hAnsi="宋体" w:eastAsia="宋体" w:cs="宋体"/>
                <w:color w:val="auto"/>
                <w:sz w:val="24"/>
                <w:highlight w:val="none"/>
              </w:rPr>
            </w:pPr>
          </w:p>
        </w:tc>
        <w:tc>
          <w:tcPr>
            <w:tcW w:w="409" w:type="pct"/>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83"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624" w:type="pct"/>
            <w:vAlign w:val="center"/>
          </w:tcPr>
          <w:p>
            <w:pPr>
              <w:spacing w:line="360" w:lineRule="auto"/>
              <w:jc w:val="center"/>
              <w:rPr>
                <w:rFonts w:hint="eastAsia" w:ascii="宋体" w:hAnsi="宋体" w:eastAsia="宋体" w:cs="宋体"/>
                <w:color w:val="auto"/>
                <w:sz w:val="24"/>
                <w:highlight w:val="none"/>
              </w:rPr>
            </w:pPr>
          </w:p>
        </w:tc>
        <w:tc>
          <w:tcPr>
            <w:tcW w:w="387" w:type="pct"/>
            <w:vAlign w:val="center"/>
          </w:tcPr>
          <w:p>
            <w:pPr>
              <w:spacing w:line="360" w:lineRule="auto"/>
              <w:jc w:val="center"/>
              <w:rPr>
                <w:rFonts w:hint="eastAsia" w:ascii="宋体" w:hAnsi="宋体" w:eastAsia="宋体" w:cs="宋体"/>
                <w:color w:val="auto"/>
                <w:sz w:val="24"/>
                <w:highlight w:val="none"/>
              </w:rPr>
            </w:pPr>
          </w:p>
        </w:tc>
        <w:tc>
          <w:tcPr>
            <w:tcW w:w="550" w:type="pct"/>
            <w:vAlign w:val="center"/>
          </w:tcPr>
          <w:p>
            <w:pPr>
              <w:spacing w:line="360" w:lineRule="auto"/>
              <w:jc w:val="center"/>
              <w:rPr>
                <w:rFonts w:hint="eastAsia" w:ascii="宋体" w:hAnsi="宋体" w:eastAsia="宋体" w:cs="宋体"/>
                <w:color w:val="auto"/>
                <w:sz w:val="24"/>
                <w:highlight w:val="none"/>
              </w:rPr>
            </w:pPr>
          </w:p>
        </w:tc>
        <w:tc>
          <w:tcPr>
            <w:tcW w:w="708" w:type="pct"/>
            <w:vAlign w:val="center"/>
          </w:tcPr>
          <w:p>
            <w:pPr>
              <w:spacing w:line="360" w:lineRule="auto"/>
              <w:jc w:val="center"/>
              <w:rPr>
                <w:rFonts w:hint="eastAsia" w:ascii="宋体" w:hAnsi="宋体" w:eastAsia="宋体" w:cs="宋体"/>
                <w:color w:val="auto"/>
                <w:sz w:val="24"/>
                <w:highlight w:val="none"/>
              </w:rPr>
            </w:pPr>
          </w:p>
        </w:tc>
        <w:tc>
          <w:tcPr>
            <w:tcW w:w="387" w:type="pct"/>
            <w:vAlign w:val="center"/>
          </w:tcPr>
          <w:p>
            <w:pPr>
              <w:spacing w:line="360" w:lineRule="auto"/>
              <w:jc w:val="center"/>
              <w:rPr>
                <w:rFonts w:hint="eastAsia" w:ascii="宋体" w:hAnsi="宋体" w:eastAsia="宋体" w:cs="宋体"/>
                <w:color w:val="auto"/>
                <w:sz w:val="24"/>
                <w:highlight w:val="none"/>
              </w:rPr>
            </w:pPr>
          </w:p>
        </w:tc>
        <w:tc>
          <w:tcPr>
            <w:tcW w:w="387" w:type="pct"/>
            <w:vAlign w:val="center"/>
          </w:tcPr>
          <w:p>
            <w:pPr>
              <w:spacing w:line="360" w:lineRule="auto"/>
              <w:jc w:val="center"/>
              <w:rPr>
                <w:rFonts w:hint="eastAsia" w:ascii="宋体" w:hAnsi="宋体" w:eastAsia="宋体" w:cs="宋体"/>
                <w:color w:val="auto"/>
                <w:sz w:val="24"/>
                <w:highlight w:val="none"/>
              </w:rPr>
            </w:pPr>
          </w:p>
        </w:tc>
        <w:tc>
          <w:tcPr>
            <w:tcW w:w="387" w:type="pct"/>
            <w:vAlign w:val="center"/>
          </w:tcPr>
          <w:p>
            <w:pPr>
              <w:spacing w:line="360" w:lineRule="auto"/>
              <w:jc w:val="center"/>
              <w:rPr>
                <w:rFonts w:hint="eastAsia" w:ascii="宋体" w:hAnsi="宋体" w:eastAsia="宋体" w:cs="宋体"/>
                <w:color w:val="auto"/>
                <w:sz w:val="24"/>
                <w:highlight w:val="none"/>
              </w:rPr>
            </w:pPr>
          </w:p>
        </w:tc>
        <w:tc>
          <w:tcPr>
            <w:tcW w:w="387" w:type="pct"/>
            <w:vAlign w:val="center"/>
          </w:tcPr>
          <w:p>
            <w:pPr>
              <w:spacing w:line="360" w:lineRule="auto"/>
              <w:jc w:val="center"/>
              <w:rPr>
                <w:rFonts w:hint="eastAsia" w:ascii="宋体" w:hAnsi="宋体" w:eastAsia="宋体" w:cs="宋体"/>
                <w:color w:val="auto"/>
                <w:sz w:val="24"/>
                <w:highlight w:val="none"/>
              </w:rPr>
            </w:pPr>
          </w:p>
        </w:tc>
        <w:tc>
          <w:tcPr>
            <w:tcW w:w="387" w:type="pct"/>
            <w:vAlign w:val="center"/>
          </w:tcPr>
          <w:p>
            <w:pPr>
              <w:spacing w:line="360" w:lineRule="auto"/>
              <w:jc w:val="center"/>
              <w:rPr>
                <w:rFonts w:hint="eastAsia" w:ascii="宋体" w:hAnsi="宋体" w:eastAsia="宋体" w:cs="宋体"/>
                <w:color w:val="auto"/>
                <w:sz w:val="24"/>
                <w:highlight w:val="none"/>
              </w:rPr>
            </w:pPr>
          </w:p>
        </w:tc>
        <w:tc>
          <w:tcPr>
            <w:tcW w:w="409" w:type="pct"/>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83"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624" w:type="pct"/>
            <w:vAlign w:val="center"/>
          </w:tcPr>
          <w:p>
            <w:pPr>
              <w:spacing w:line="360" w:lineRule="auto"/>
              <w:jc w:val="center"/>
              <w:rPr>
                <w:rFonts w:hint="eastAsia" w:ascii="宋体" w:hAnsi="宋体" w:eastAsia="宋体" w:cs="宋体"/>
                <w:color w:val="auto"/>
                <w:sz w:val="24"/>
                <w:highlight w:val="none"/>
              </w:rPr>
            </w:pPr>
          </w:p>
        </w:tc>
        <w:tc>
          <w:tcPr>
            <w:tcW w:w="387" w:type="pct"/>
            <w:vAlign w:val="center"/>
          </w:tcPr>
          <w:p>
            <w:pPr>
              <w:spacing w:line="360" w:lineRule="auto"/>
              <w:jc w:val="center"/>
              <w:rPr>
                <w:rFonts w:hint="eastAsia" w:ascii="宋体" w:hAnsi="宋体" w:eastAsia="宋体" w:cs="宋体"/>
                <w:color w:val="auto"/>
                <w:sz w:val="24"/>
                <w:highlight w:val="none"/>
              </w:rPr>
            </w:pPr>
          </w:p>
        </w:tc>
        <w:tc>
          <w:tcPr>
            <w:tcW w:w="550" w:type="pct"/>
            <w:vAlign w:val="center"/>
          </w:tcPr>
          <w:p>
            <w:pPr>
              <w:spacing w:line="360" w:lineRule="auto"/>
              <w:jc w:val="center"/>
              <w:rPr>
                <w:rFonts w:hint="eastAsia" w:ascii="宋体" w:hAnsi="宋体" w:eastAsia="宋体" w:cs="宋体"/>
                <w:color w:val="auto"/>
                <w:sz w:val="24"/>
                <w:highlight w:val="none"/>
              </w:rPr>
            </w:pPr>
          </w:p>
        </w:tc>
        <w:tc>
          <w:tcPr>
            <w:tcW w:w="708" w:type="pct"/>
            <w:vAlign w:val="center"/>
          </w:tcPr>
          <w:p>
            <w:pPr>
              <w:spacing w:line="360" w:lineRule="auto"/>
              <w:jc w:val="center"/>
              <w:rPr>
                <w:rFonts w:hint="eastAsia" w:ascii="宋体" w:hAnsi="宋体" w:eastAsia="宋体" w:cs="宋体"/>
                <w:color w:val="auto"/>
                <w:sz w:val="24"/>
                <w:highlight w:val="none"/>
              </w:rPr>
            </w:pPr>
          </w:p>
        </w:tc>
        <w:tc>
          <w:tcPr>
            <w:tcW w:w="387" w:type="pct"/>
            <w:vAlign w:val="center"/>
          </w:tcPr>
          <w:p>
            <w:pPr>
              <w:spacing w:line="360" w:lineRule="auto"/>
              <w:jc w:val="center"/>
              <w:rPr>
                <w:rFonts w:hint="eastAsia" w:ascii="宋体" w:hAnsi="宋体" w:eastAsia="宋体" w:cs="宋体"/>
                <w:color w:val="auto"/>
                <w:sz w:val="24"/>
                <w:highlight w:val="none"/>
              </w:rPr>
            </w:pPr>
          </w:p>
        </w:tc>
        <w:tc>
          <w:tcPr>
            <w:tcW w:w="387" w:type="pct"/>
            <w:vAlign w:val="center"/>
          </w:tcPr>
          <w:p>
            <w:pPr>
              <w:spacing w:line="360" w:lineRule="auto"/>
              <w:jc w:val="center"/>
              <w:rPr>
                <w:rFonts w:hint="eastAsia" w:ascii="宋体" w:hAnsi="宋体" w:eastAsia="宋体" w:cs="宋体"/>
                <w:color w:val="auto"/>
                <w:sz w:val="24"/>
                <w:highlight w:val="none"/>
              </w:rPr>
            </w:pPr>
          </w:p>
        </w:tc>
        <w:tc>
          <w:tcPr>
            <w:tcW w:w="387" w:type="pct"/>
            <w:vAlign w:val="center"/>
          </w:tcPr>
          <w:p>
            <w:pPr>
              <w:spacing w:line="360" w:lineRule="auto"/>
              <w:jc w:val="center"/>
              <w:rPr>
                <w:rFonts w:hint="eastAsia" w:ascii="宋体" w:hAnsi="宋体" w:eastAsia="宋体" w:cs="宋体"/>
                <w:color w:val="auto"/>
                <w:sz w:val="24"/>
                <w:highlight w:val="none"/>
              </w:rPr>
            </w:pPr>
          </w:p>
        </w:tc>
        <w:tc>
          <w:tcPr>
            <w:tcW w:w="387" w:type="pct"/>
            <w:vAlign w:val="center"/>
          </w:tcPr>
          <w:p>
            <w:pPr>
              <w:spacing w:line="360" w:lineRule="auto"/>
              <w:jc w:val="center"/>
              <w:rPr>
                <w:rFonts w:hint="eastAsia" w:ascii="宋体" w:hAnsi="宋体" w:eastAsia="宋体" w:cs="宋体"/>
                <w:color w:val="auto"/>
                <w:sz w:val="24"/>
                <w:highlight w:val="none"/>
              </w:rPr>
            </w:pPr>
          </w:p>
        </w:tc>
        <w:tc>
          <w:tcPr>
            <w:tcW w:w="387" w:type="pct"/>
            <w:vAlign w:val="center"/>
          </w:tcPr>
          <w:p>
            <w:pPr>
              <w:spacing w:line="360" w:lineRule="auto"/>
              <w:jc w:val="center"/>
              <w:rPr>
                <w:rFonts w:hint="eastAsia" w:ascii="宋体" w:hAnsi="宋体" w:eastAsia="宋体" w:cs="宋体"/>
                <w:color w:val="auto"/>
                <w:sz w:val="24"/>
                <w:highlight w:val="none"/>
              </w:rPr>
            </w:pPr>
          </w:p>
        </w:tc>
        <w:tc>
          <w:tcPr>
            <w:tcW w:w="409" w:type="pct"/>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3"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624" w:type="pct"/>
            <w:vAlign w:val="center"/>
          </w:tcPr>
          <w:p>
            <w:pPr>
              <w:spacing w:line="360" w:lineRule="auto"/>
              <w:jc w:val="center"/>
              <w:rPr>
                <w:rFonts w:hint="eastAsia" w:ascii="宋体" w:hAnsi="宋体" w:eastAsia="宋体" w:cs="宋体"/>
                <w:color w:val="auto"/>
                <w:sz w:val="24"/>
                <w:highlight w:val="none"/>
              </w:rPr>
            </w:pPr>
          </w:p>
        </w:tc>
        <w:tc>
          <w:tcPr>
            <w:tcW w:w="387" w:type="pct"/>
            <w:vAlign w:val="center"/>
          </w:tcPr>
          <w:p>
            <w:pPr>
              <w:spacing w:line="360" w:lineRule="auto"/>
              <w:jc w:val="center"/>
              <w:rPr>
                <w:rFonts w:hint="eastAsia" w:ascii="宋体" w:hAnsi="宋体" w:eastAsia="宋体" w:cs="宋体"/>
                <w:color w:val="auto"/>
                <w:sz w:val="24"/>
                <w:highlight w:val="none"/>
              </w:rPr>
            </w:pPr>
          </w:p>
        </w:tc>
        <w:tc>
          <w:tcPr>
            <w:tcW w:w="550" w:type="pct"/>
            <w:vAlign w:val="center"/>
          </w:tcPr>
          <w:p>
            <w:pPr>
              <w:spacing w:line="360" w:lineRule="auto"/>
              <w:jc w:val="center"/>
              <w:rPr>
                <w:rFonts w:hint="eastAsia" w:ascii="宋体" w:hAnsi="宋体" w:eastAsia="宋体" w:cs="宋体"/>
                <w:color w:val="auto"/>
                <w:sz w:val="24"/>
                <w:highlight w:val="none"/>
              </w:rPr>
            </w:pPr>
          </w:p>
        </w:tc>
        <w:tc>
          <w:tcPr>
            <w:tcW w:w="708" w:type="pct"/>
            <w:vAlign w:val="center"/>
          </w:tcPr>
          <w:p>
            <w:pPr>
              <w:spacing w:line="360" w:lineRule="auto"/>
              <w:jc w:val="center"/>
              <w:rPr>
                <w:rFonts w:hint="eastAsia" w:ascii="宋体" w:hAnsi="宋体" w:eastAsia="宋体" w:cs="宋体"/>
                <w:color w:val="auto"/>
                <w:sz w:val="24"/>
                <w:highlight w:val="none"/>
              </w:rPr>
            </w:pPr>
          </w:p>
        </w:tc>
        <w:tc>
          <w:tcPr>
            <w:tcW w:w="387" w:type="pct"/>
            <w:vAlign w:val="center"/>
          </w:tcPr>
          <w:p>
            <w:pPr>
              <w:spacing w:line="360" w:lineRule="auto"/>
              <w:jc w:val="center"/>
              <w:rPr>
                <w:rFonts w:hint="eastAsia" w:ascii="宋体" w:hAnsi="宋体" w:eastAsia="宋体" w:cs="宋体"/>
                <w:color w:val="auto"/>
                <w:sz w:val="24"/>
                <w:highlight w:val="none"/>
              </w:rPr>
            </w:pPr>
          </w:p>
        </w:tc>
        <w:tc>
          <w:tcPr>
            <w:tcW w:w="387" w:type="pct"/>
            <w:vAlign w:val="center"/>
          </w:tcPr>
          <w:p>
            <w:pPr>
              <w:spacing w:line="360" w:lineRule="auto"/>
              <w:jc w:val="center"/>
              <w:rPr>
                <w:rFonts w:hint="eastAsia" w:ascii="宋体" w:hAnsi="宋体" w:eastAsia="宋体" w:cs="宋体"/>
                <w:color w:val="auto"/>
                <w:sz w:val="24"/>
                <w:highlight w:val="none"/>
              </w:rPr>
            </w:pPr>
          </w:p>
        </w:tc>
        <w:tc>
          <w:tcPr>
            <w:tcW w:w="387" w:type="pct"/>
            <w:vAlign w:val="center"/>
          </w:tcPr>
          <w:p>
            <w:pPr>
              <w:spacing w:line="360" w:lineRule="auto"/>
              <w:jc w:val="center"/>
              <w:rPr>
                <w:rFonts w:hint="eastAsia" w:ascii="宋体" w:hAnsi="宋体" w:eastAsia="宋体" w:cs="宋体"/>
                <w:color w:val="auto"/>
                <w:sz w:val="24"/>
                <w:highlight w:val="none"/>
              </w:rPr>
            </w:pPr>
          </w:p>
        </w:tc>
        <w:tc>
          <w:tcPr>
            <w:tcW w:w="387" w:type="pct"/>
            <w:vAlign w:val="center"/>
          </w:tcPr>
          <w:p>
            <w:pPr>
              <w:spacing w:line="360" w:lineRule="auto"/>
              <w:jc w:val="center"/>
              <w:rPr>
                <w:rFonts w:hint="eastAsia" w:ascii="宋体" w:hAnsi="宋体" w:eastAsia="宋体" w:cs="宋体"/>
                <w:color w:val="auto"/>
                <w:sz w:val="24"/>
                <w:highlight w:val="none"/>
              </w:rPr>
            </w:pPr>
          </w:p>
        </w:tc>
        <w:tc>
          <w:tcPr>
            <w:tcW w:w="387" w:type="pct"/>
            <w:vAlign w:val="center"/>
          </w:tcPr>
          <w:p>
            <w:pPr>
              <w:spacing w:line="360" w:lineRule="auto"/>
              <w:jc w:val="center"/>
              <w:rPr>
                <w:rFonts w:hint="eastAsia" w:ascii="宋体" w:hAnsi="宋体" w:eastAsia="宋体" w:cs="宋体"/>
                <w:color w:val="auto"/>
                <w:sz w:val="24"/>
                <w:highlight w:val="none"/>
              </w:rPr>
            </w:pPr>
          </w:p>
        </w:tc>
        <w:tc>
          <w:tcPr>
            <w:tcW w:w="409" w:type="pct"/>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383"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624" w:type="pct"/>
            <w:vAlign w:val="center"/>
          </w:tcPr>
          <w:p>
            <w:pPr>
              <w:spacing w:line="360" w:lineRule="auto"/>
              <w:jc w:val="center"/>
              <w:rPr>
                <w:rFonts w:hint="eastAsia" w:ascii="宋体" w:hAnsi="宋体" w:eastAsia="宋体" w:cs="宋体"/>
                <w:color w:val="auto"/>
                <w:sz w:val="24"/>
                <w:highlight w:val="none"/>
              </w:rPr>
            </w:pPr>
          </w:p>
        </w:tc>
        <w:tc>
          <w:tcPr>
            <w:tcW w:w="387" w:type="pct"/>
            <w:vAlign w:val="center"/>
          </w:tcPr>
          <w:p>
            <w:pPr>
              <w:spacing w:line="360" w:lineRule="auto"/>
              <w:jc w:val="center"/>
              <w:rPr>
                <w:rFonts w:hint="eastAsia" w:ascii="宋体" w:hAnsi="宋体" w:eastAsia="宋体" w:cs="宋体"/>
                <w:color w:val="auto"/>
                <w:sz w:val="24"/>
                <w:highlight w:val="none"/>
              </w:rPr>
            </w:pPr>
          </w:p>
        </w:tc>
        <w:tc>
          <w:tcPr>
            <w:tcW w:w="550" w:type="pct"/>
            <w:vAlign w:val="center"/>
          </w:tcPr>
          <w:p>
            <w:pPr>
              <w:spacing w:line="360" w:lineRule="auto"/>
              <w:jc w:val="center"/>
              <w:rPr>
                <w:rFonts w:hint="eastAsia" w:ascii="宋体" w:hAnsi="宋体" w:eastAsia="宋体" w:cs="宋体"/>
                <w:color w:val="auto"/>
                <w:sz w:val="24"/>
                <w:highlight w:val="none"/>
              </w:rPr>
            </w:pPr>
          </w:p>
        </w:tc>
        <w:tc>
          <w:tcPr>
            <w:tcW w:w="708" w:type="pct"/>
            <w:vAlign w:val="center"/>
          </w:tcPr>
          <w:p>
            <w:pPr>
              <w:spacing w:line="360" w:lineRule="auto"/>
              <w:jc w:val="center"/>
              <w:rPr>
                <w:rFonts w:hint="eastAsia" w:ascii="宋体" w:hAnsi="宋体" w:eastAsia="宋体" w:cs="宋体"/>
                <w:color w:val="auto"/>
                <w:sz w:val="24"/>
                <w:highlight w:val="none"/>
              </w:rPr>
            </w:pPr>
          </w:p>
        </w:tc>
        <w:tc>
          <w:tcPr>
            <w:tcW w:w="387" w:type="pct"/>
            <w:vAlign w:val="center"/>
          </w:tcPr>
          <w:p>
            <w:pPr>
              <w:spacing w:line="360" w:lineRule="auto"/>
              <w:jc w:val="center"/>
              <w:rPr>
                <w:rFonts w:hint="eastAsia" w:ascii="宋体" w:hAnsi="宋体" w:eastAsia="宋体" w:cs="宋体"/>
                <w:color w:val="auto"/>
                <w:sz w:val="24"/>
                <w:highlight w:val="none"/>
              </w:rPr>
            </w:pPr>
          </w:p>
        </w:tc>
        <w:tc>
          <w:tcPr>
            <w:tcW w:w="387" w:type="pct"/>
            <w:vAlign w:val="center"/>
          </w:tcPr>
          <w:p>
            <w:pPr>
              <w:spacing w:line="360" w:lineRule="auto"/>
              <w:jc w:val="center"/>
              <w:rPr>
                <w:rFonts w:hint="eastAsia" w:ascii="宋体" w:hAnsi="宋体" w:eastAsia="宋体" w:cs="宋体"/>
                <w:color w:val="auto"/>
                <w:sz w:val="24"/>
                <w:highlight w:val="none"/>
              </w:rPr>
            </w:pPr>
          </w:p>
        </w:tc>
        <w:tc>
          <w:tcPr>
            <w:tcW w:w="387" w:type="pct"/>
            <w:vAlign w:val="center"/>
          </w:tcPr>
          <w:p>
            <w:pPr>
              <w:spacing w:line="360" w:lineRule="auto"/>
              <w:jc w:val="center"/>
              <w:rPr>
                <w:rFonts w:hint="eastAsia" w:ascii="宋体" w:hAnsi="宋体" w:eastAsia="宋体" w:cs="宋体"/>
                <w:color w:val="auto"/>
                <w:sz w:val="24"/>
                <w:highlight w:val="none"/>
              </w:rPr>
            </w:pPr>
          </w:p>
        </w:tc>
        <w:tc>
          <w:tcPr>
            <w:tcW w:w="387" w:type="pct"/>
            <w:vAlign w:val="center"/>
          </w:tcPr>
          <w:p>
            <w:pPr>
              <w:spacing w:line="360" w:lineRule="auto"/>
              <w:jc w:val="center"/>
              <w:rPr>
                <w:rFonts w:hint="eastAsia" w:ascii="宋体" w:hAnsi="宋体" w:eastAsia="宋体" w:cs="宋体"/>
                <w:color w:val="auto"/>
                <w:sz w:val="24"/>
                <w:highlight w:val="none"/>
              </w:rPr>
            </w:pPr>
          </w:p>
        </w:tc>
        <w:tc>
          <w:tcPr>
            <w:tcW w:w="387" w:type="pct"/>
            <w:vAlign w:val="center"/>
          </w:tcPr>
          <w:p>
            <w:pPr>
              <w:spacing w:line="360" w:lineRule="auto"/>
              <w:jc w:val="center"/>
              <w:rPr>
                <w:rFonts w:hint="eastAsia" w:ascii="宋体" w:hAnsi="宋体" w:eastAsia="宋体" w:cs="宋体"/>
                <w:color w:val="auto"/>
                <w:sz w:val="24"/>
                <w:highlight w:val="none"/>
              </w:rPr>
            </w:pPr>
          </w:p>
        </w:tc>
        <w:tc>
          <w:tcPr>
            <w:tcW w:w="409" w:type="pct"/>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5000" w:type="pct"/>
            <w:gridSpan w:val="11"/>
            <w:vAlign w:val="center"/>
          </w:tcPr>
          <w:p>
            <w:pPr>
              <w:spacing w:line="360" w:lineRule="auto"/>
              <w:jc w:val="both"/>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合计：</w:t>
            </w:r>
            <w:r>
              <w:rPr>
                <w:rFonts w:hint="eastAsia" w:ascii="宋体" w:hAnsi="宋体" w:eastAsia="宋体" w:cs="宋体"/>
                <w:color w:val="auto"/>
                <w:sz w:val="24"/>
                <w:highlight w:val="none"/>
                <w:lang w:val="en-US" w:eastAsia="zh-CN"/>
              </w:rPr>
              <w:t xml:space="preserve">     小写：       大写：</w:t>
            </w:r>
          </w:p>
        </w:tc>
      </w:tr>
    </w:tbl>
    <w:p>
      <w:pPr>
        <w:pStyle w:val="15"/>
        <w:keepNext w:val="0"/>
        <w:keepLines w:val="0"/>
        <w:pageBreakBefore w:val="0"/>
        <w:widowControl w:val="0"/>
        <w:kinsoku/>
        <w:wordWrap/>
        <w:overflowPunct/>
        <w:topLinePunct w:val="0"/>
        <w:autoSpaceDE/>
        <w:autoSpaceDN/>
        <w:bidi w:val="0"/>
        <w:adjustRightInd/>
        <w:snapToGrid/>
        <w:spacing w:line="400" w:lineRule="exact"/>
        <w:ind w:left="540" w:leftChars="257" w:firstLine="0"/>
        <w:jc w:val="left"/>
        <w:textAlignment w:val="auto"/>
        <w:rPr>
          <w:rFonts w:hint="eastAsia" w:ascii="宋体" w:hAnsi="宋体" w:eastAsia="宋体" w:cs="宋体"/>
          <w:color w:val="auto"/>
          <w:sz w:val="24"/>
          <w:szCs w:val="24"/>
          <w:highlight w:val="none"/>
          <w:lang w:val="en-US" w:eastAsia="zh-CN"/>
        </w:rPr>
      </w:pPr>
    </w:p>
    <w:p>
      <w:pPr>
        <w:pStyle w:val="15"/>
        <w:spacing w:line="400" w:lineRule="exact"/>
        <w:ind w:left="1080" w:leftChars="257" w:hanging="540"/>
        <w:rPr>
          <w:rFonts w:hint="eastAsia" w:ascii="宋体" w:hAnsi="宋体" w:eastAsia="宋体" w:cs="宋体"/>
          <w:color w:val="auto"/>
          <w:sz w:val="24"/>
          <w:szCs w:val="24"/>
          <w:highlight w:val="none"/>
        </w:rPr>
      </w:pPr>
    </w:p>
    <w:p>
      <w:pPr>
        <w:pStyle w:val="15"/>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                 </w:t>
      </w:r>
    </w:p>
    <w:p>
      <w:pPr>
        <w:pStyle w:val="15"/>
        <w:tabs>
          <w:tab w:val="left" w:pos="537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供应商名称(公章):</w:t>
      </w:r>
      <w:r>
        <w:rPr>
          <w:rFonts w:hint="eastAsia" w:ascii="宋体" w:hAnsi="宋体" w:eastAsia="宋体" w:cs="宋体"/>
          <w:color w:val="auto"/>
          <w:sz w:val="24"/>
          <w:szCs w:val="24"/>
          <w:highlight w:val="none"/>
          <w:u w:val="single"/>
        </w:rPr>
        <w:tab/>
      </w:r>
    </w:p>
    <w:p>
      <w:pPr>
        <w:pStyle w:val="15"/>
        <w:spacing w:line="400" w:lineRule="exact"/>
        <w:ind w:left="1080" w:leftChars="257" w:hanging="54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注:1.供应商</w:t>
      </w:r>
      <w:r>
        <w:rPr>
          <w:rFonts w:hint="eastAsia" w:ascii="宋体" w:hAnsi="宋体" w:eastAsia="宋体" w:cs="宋体"/>
          <w:color w:val="auto"/>
          <w:sz w:val="24"/>
          <w:szCs w:val="24"/>
          <w:highlight w:val="none"/>
          <w:lang w:eastAsia="zh-CN"/>
        </w:rPr>
        <w:t>需按照货物需求清单为标准进行填写报价。</w:t>
      </w:r>
      <w:r>
        <w:rPr>
          <w:rFonts w:hint="eastAsia" w:ascii="宋体" w:hAnsi="宋体" w:eastAsia="宋体" w:cs="宋体"/>
          <w:color w:val="auto"/>
          <w:sz w:val="24"/>
          <w:szCs w:val="24"/>
          <w:highlight w:val="none"/>
          <w:lang w:val="en-US" w:eastAsia="zh-CN"/>
        </w:rPr>
        <w:t xml:space="preserve"> </w:t>
      </w:r>
    </w:p>
    <w:p>
      <w:pPr>
        <w:pStyle w:val="15"/>
        <w:spacing w:line="400" w:lineRule="exact"/>
        <w:ind w:left="1080" w:leftChars="257" w:hanging="540"/>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lang w:eastAsia="zh-CN"/>
        </w:rPr>
        <w:t>2.</w:t>
      </w:r>
      <w:r>
        <w:rPr>
          <w:rFonts w:hint="eastAsia" w:ascii="宋体" w:hAnsi="宋体" w:eastAsia="宋体" w:cs="宋体"/>
          <w:color w:val="auto"/>
          <w:sz w:val="24"/>
          <w:szCs w:val="24"/>
          <w:highlight w:val="none"/>
          <w:lang w:eastAsia="zh-CN"/>
        </w:rPr>
        <w:t>如果按单价计算的结果与总价不一致,以单价为准修正总价。</w:t>
      </w:r>
    </w:p>
    <w:p>
      <w:pPr>
        <w:pStyle w:val="15"/>
        <w:spacing w:line="400" w:lineRule="exact"/>
        <w:ind w:left="1080" w:leftChars="257" w:hanging="540"/>
        <w:rPr>
          <w:rFonts w:hint="eastAsia" w:ascii="宋体" w:hAnsi="宋体" w:eastAsia="宋体" w:cs="宋体"/>
          <w:color w:val="auto"/>
          <w:sz w:val="24"/>
          <w:szCs w:val="24"/>
          <w:highlight w:val="none"/>
          <w:lang w:eastAsia="zh-CN"/>
        </w:rPr>
      </w:pPr>
      <w:r>
        <w:rPr>
          <w:rFonts w:hint="eastAsia" w:hAnsi="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.如果不提供详细分项报价将视为没有实质性响应招标文件。</w:t>
      </w:r>
    </w:p>
    <w:p>
      <w:pPr>
        <w:pStyle w:val="15"/>
        <w:spacing w:line="400" w:lineRule="exact"/>
        <w:ind w:left="1080" w:leftChars="257" w:hanging="540"/>
        <w:rPr>
          <w:rFonts w:hint="eastAsia" w:ascii="宋体" w:hAnsi="宋体" w:eastAsia="宋体" w:cs="宋体"/>
          <w:color w:val="auto"/>
          <w:sz w:val="24"/>
          <w:szCs w:val="24"/>
          <w:highlight w:val="none"/>
          <w:lang w:eastAsia="zh-CN"/>
        </w:rPr>
      </w:pPr>
      <w:r>
        <w:rPr>
          <w:rFonts w:hint="eastAsia"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上述各项的详细分项报价，应另页描述。</w:t>
      </w:r>
    </w:p>
    <w:p>
      <w:pPr>
        <w:pStyle w:val="15"/>
        <w:spacing w:line="400" w:lineRule="exact"/>
        <w:ind w:left="1080" w:leftChars="257" w:hanging="540"/>
        <w:rPr>
          <w:rFonts w:hint="eastAsia" w:ascii="宋体" w:hAnsi="宋体" w:eastAsia="宋体" w:cs="宋体"/>
          <w:color w:val="auto"/>
          <w:sz w:val="24"/>
          <w:szCs w:val="24"/>
          <w:highlight w:val="none"/>
          <w:lang w:eastAsia="zh-CN"/>
        </w:rPr>
      </w:pPr>
      <w:r>
        <w:rPr>
          <w:rFonts w:hint="eastAsia"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如果开标一览表（报价表）内容与投标文件中明细表内容不一致的，以开标一览表（报价表）内容为准。</w:t>
      </w:r>
    </w:p>
    <w:p>
      <w:pPr>
        <w:rPr>
          <w:rFonts w:hint="eastAsia" w:ascii="宋体" w:hAnsi="宋体" w:eastAsia="宋体" w:cs="宋体"/>
          <w:b/>
          <w:i w:val="0"/>
          <w:caps w:val="0"/>
          <w:color w:val="auto"/>
          <w:spacing w:val="0"/>
          <w:w w:val="100"/>
          <w:sz w:val="24"/>
          <w:szCs w:val="24"/>
          <w:highlight w:val="none"/>
        </w:rPr>
      </w:pPr>
      <w:r>
        <w:rPr>
          <w:rFonts w:hint="eastAsia" w:ascii="宋体" w:hAnsi="宋体" w:eastAsia="宋体" w:cs="宋体"/>
          <w:color w:val="auto"/>
          <w:sz w:val="28"/>
          <w:szCs w:val="28"/>
          <w:highlight w:val="none"/>
          <w:lang w:val="en-US" w:eastAsia="zh-CN"/>
        </w:rPr>
        <w:br w:type="page"/>
      </w:r>
    </w:p>
    <w:p>
      <w:pPr>
        <w:rPr>
          <w:rFonts w:hint="eastAsia" w:ascii="宋体" w:hAnsi="宋体" w:eastAsia="宋体" w:cs="宋体"/>
          <w:b/>
          <w:bCs/>
          <w:color w:val="auto"/>
          <w:sz w:val="24"/>
          <w:szCs w:val="24"/>
          <w:highlight w:val="none"/>
          <w:u w:val="none"/>
          <w:lang w:val="en-US" w:eastAsia="zh-CN"/>
        </w:rPr>
      </w:pPr>
    </w:p>
    <w:p>
      <w:pPr>
        <w:pStyle w:val="8"/>
        <w:keepNext/>
        <w:keepLines/>
        <w:pageBreakBefore w:val="0"/>
        <w:widowControl w:val="0"/>
        <w:kinsoku/>
        <w:wordWrap/>
        <w:overflowPunct/>
        <w:topLinePunct w:val="0"/>
        <w:autoSpaceDE w:val="0"/>
        <w:autoSpaceDN w:val="0"/>
        <w:bidi w:val="0"/>
        <w:adjustRightInd w:val="0"/>
        <w:snapToGrid/>
        <w:spacing w:before="0" w:line="400" w:lineRule="exact"/>
        <w:jc w:val="center"/>
        <w:textAlignment w:val="auto"/>
        <w:outlineLvl w:val="2"/>
        <w:rPr>
          <w:rFonts w:hint="eastAsia" w:ascii="宋体" w:hAnsi="宋体" w:eastAsia="宋体" w:cs="宋体"/>
          <w:b/>
          <w:bCs/>
          <w:color w:val="auto"/>
          <w:sz w:val="24"/>
          <w:szCs w:val="24"/>
          <w:highlight w:val="none"/>
          <w:u w:val="none"/>
          <w:lang w:val="en-US" w:eastAsia="zh-CN"/>
        </w:rPr>
      </w:pPr>
      <w:bookmarkStart w:id="1504" w:name="_Toc11653"/>
      <w:r>
        <w:rPr>
          <w:rFonts w:hint="eastAsia" w:ascii="宋体" w:hAnsi="宋体" w:eastAsia="宋体" w:cs="宋体"/>
          <w:b/>
          <w:bCs/>
          <w:color w:val="auto"/>
          <w:sz w:val="24"/>
          <w:szCs w:val="24"/>
          <w:highlight w:val="none"/>
          <w:u w:val="none"/>
          <w:lang w:val="en-US" w:eastAsia="zh-CN"/>
        </w:rPr>
        <w:t>（标项二）2.投标分项报价表</w:t>
      </w:r>
      <w:bookmarkEnd w:id="1504"/>
    </w:p>
    <w:bookmarkEnd w:id="1500"/>
    <w:bookmarkEnd w:id="1501"/>
    <w:bookmarkEnd w:id="1502"/>
    <w:bookmarkEnd w:id="1503"/>
    <w:p>
      <w:pPr>
        <w:pStyle w:val="15"/>
        <w:keepNext w:val="0"/>
        <w:keepLines w:val="0"/>
        <w:pageBreakBefore w:val="0"/>
        <w:widowControl w:val="0"/>
        <w:kinsoku/>
        <w:wordWrap/>
        <w:overflowPunct/>
        <w:topLinePunct w:val="0"/>
        <w:autoSpaceDE/>
        <w:autoSpaceDN/>
        <w:bidi w:val="0"/>
        <w:adjustRightInd/>
        <w:snapToGrid/>
        <w:spacing w:line="400" w:lineRule="exact"/>
        <w:ind w:left="540" w:leftChars="257" w:firstLine="0"/>
        <w:jc w:val="left"/>
        <w:textAlignment w:val="auto"/>
        <w:rPr>
          <w:rFonts w:hint="eastAsia" w:ascii="宋体" w:hAnsi="宋体" w:eastAsia="宋体" w:cs="宋体"/>
          <w:color w:val="auto"/>
          <w:sz w:val="24"/>
          <w:szCs w:val="24"/>
          <w:highlight w:val="none"/>
          <w:lang w:val="en-US" w:eastAsia="zh-CN"/>
        </w:rPr>
      </w:pPr>
      <w:bookmarkStart w:id="1505" w:name="_Toc11343"/>
      <w:bookmarkStart w:id="1506" w:name="_Toc2709"/>
      <w:bookmarkStart w:id="1507" w:name="_Toc9687"/>
      <w:bookmarkStart w:id="1508" w:name="_Toc11803"/>
      <w:bookmarkStart w:id="1509" w:name="_Toc21610"/>
      <w:bookmarkStart w:id="1510" w:name="_Toc515647824"/>
      <w:bookmarkStart w:id="1511" w:name="_Toc10977"/>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项目编号</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报价单位：</w:t>
      </w:r>
      <w:r>
        <w:rPr>
          <w:rFonts w:hint="eastAsia" w:ascii="宋体" w:hAnsi="宋体" w:eastAsia="宋体" w:cs="宋体"/>
          <w:color w:val="auto"/>
          <w:sz w:val="24"/>
          <w:szCs w:val="24"/>
          <w:highlight w:val="none"/>
          <w:lang w:val="en-US" w:eastAsia="zh-CN"/>
        </w:rPr>
        <w:t>下浮率%</w:t>
      </w:r>
    </w:p>
    <w:tbl>
      <w:tblPr>
        <w:tblStyle w:val="27"/>
        <w:tblW w:w="81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3"/>
        <w:gridCol w:w="1177"/>
        <w:gridCol w:w="1360"/>
        <w:gridCol w:w="936"/>
        <w:gridCol w:w="1308"/>
        <w:gridCol w:w="1236"/>
        <w:gridCol w:w="13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8"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252"/>
              </w:tabs>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序号</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货物</w:t>
            </w:r>
            <w:r>
              <w:rPr>
                <w:rFonts w:hint="eastAsia" w:ascii="宋体" w:hAnsi="宋体" w:eastAsia="宋体" w:cs="宋体"/>
                <w:i w:val="0"/>
                <w:iCs w:val="0"/>
                <w:color w:val="000000"/>
                <w:kern w:val="0"/>
                <w:sz w:val="24"/>
                <w:szCs w:val="24"/>
                <w:u w:val="none"/>
                <w:lang w:val="en-US" w:eastAsia="zh-CN" w:bidi="ar"/>
              </w:rPr>
              <w:t>名称</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品牌</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产地</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下浮率%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4"/>
                <w:szCs w:val="24"/>
                <w:u w:val="none"/>
                <w:lang w:val="en-US" w:eastAsia="zh-CN" w:bidi="ar"/>
              </w:rPr>
            </w:pPr>
            <w:r>
              <w:rPr>
                <w:rFonts w:hint="eastAsia" w:ascii="宋体" w:hAnsi="宋体" w:eastAsia="宋体" w:cs="宋体"/>
                <w:i w:val="0"/>
                <w:iCs w:val="0"/>
                <w:color w:val="FF0000"/>
                <w:kern w:val="0"/>
                <w:sz w:val="24"/>
                <w:szCs w:val="24"/>
                <w:u w:val="none"/>
                <w:lang w:val="en-US" w:eastAsia="zh-CN" w:bidi="ar"/>
              </w:rPr>
              <w:t>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牛肉</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305800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公斤</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4"/>
                <w:szCs w:val="24"/>
                <w:u w:val="none"/>
                <w:lang w:val="en-US" w:eastAsia="zh-CN" w:bidi="ar"/>
              </w:rPr>
            </w:pPr>
            <w:r>
              <w:rPr>
                <w:rFonts w:hint="eastAsia" w:ascii="宋体" w:hAnsi="宋体" w:eastAsia="宋体" w:cs="宋体"/>
                <w:i w:val="0"/>
                <w:iCs w:val="0"/>
                <w:color w:val="FF0000"/>
                <w:kern w:val="0"/>
                <w:sz w:val="24"/>
                <w:szCs w:val="24"/>
                <w:u w:val="none"/>
                <w:lang w:val="en-US" w:eastAsia="zh-CN" w:bidi="ar"/>
              </w:rPr>
              <w:t>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羊肉</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101500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公斤</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4"/>
                <w:szCs w:val="24"/>
                <w:u w:val="none"/>
                <w:lang w:val="en-US" w:eastAsia="zh-CN" w:bidi="ar"/>
              </w:rPr>
            </w:pPr>
            <w:r>
              <w:rPr>
                <w:rFonts w:hint="eastAsia" w:ascii="宋体" w:hAnsi="宋体" w:eastAsia="宋体" w:cs="宋体"/>
                <w:i w:val="0"/>
                <w:iCs w:val="0"/>
                <w:color w:val="FF0000"/>
                <w:kern w:val="0"/>
                <w:sz w:val="24"/>
                <w:szCs w:val="24"/>
                <w:u w:val="none"/>
                <w:lang w:val="en-US" w:eastAsia="zh-CN" w:bidi="ar"/>
              </w:rPr>
              <w:t>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鸡肉</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225000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公斤</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4"/>
                <w:szCs w:val="24"/>
                <w:u w:val="none"/>
                <w:lang w:val="en-US" w:eastAsia="zh-CN" w:bidi="ar"/>
              </w:rPr>
            </w:pPr>
            <w:r>
              <w:rPr>
                <w:rFonts w:hint="eastAsia" w:ascii="宋体" w:hAnsi="宋体" w:eastAsia="宋体" w:cs="宋体"/>
                <w:i w:val="0"/>
                <w:iCs w:val="0"/>
                <w:color w:val="FF0000"/>
                <w:kern w:val="0"/>
                <w:sz w:val="24"/>
                <w:szCs w:val="24"/>
                <w:u w:val="none"/>
                <w:lang w:val="en-US" w:eastAsia="zh-CN" w:bidi="ar"/>
              </w:rPr>
              <w:t>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鸡蛋</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471250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公斤</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4"/>
                <w:szCs w:val="24"/>
                <w:u w:val="none"/>
                <w:lang w:val="en-US" w:eastAsia="zh-CN" w:bidi="ar"/>
              </w:rPr>
            </w:pPr>
            <w:r>
              <w:rPr>
                <w:rFonts w:hint="eastAsia" w:ascii="宋体" w:hAnsi="宋体" w:eastAsia="宋体" w:cs="宋体"/>
                <w:i w:val="0"/>
                <w:iCs w:val="0"/>
                <w:color w:val="FF0000"/>
                <w:kern w:val="0"/>
                <w:sz w:val="24"/>
                <w:szCs w:val="24"/>
                <w:u w:val="none"/>
                <w:lang w:val="en-US" w:eastAsia="zh-CN" w:bidi="ar"/>
              </w:rPr>
              <w:t>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蔬菜类</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2146150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公斤</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4"/>
                <w:szCs w:val="24"/>
                <w:u w:val="none"/>
                <w:lang w:val="en-US" w:eastAsia="zh-CN" w:bidi="ar"/>
              </w:rPr>
            </w:pPr>
            <w:r>
              <w:rPr>
                <w:rFonts w:hint="eastAsia" w:ascii="宋体" w:hAnsi="宋体" w:eastAsia="宋体" w:cs="宋体"/>
                <w:i w:val="0"/>
                <w:iCs w:val="0"/>
                <w:color w:val="FF0000"/>
                <w:kern w:val="0"/>
                <w:sz w:val="24"/>
                <w:szCs w:val="24"/>
                <w:u w:val="none"/>
                <w:lang w:val="en-US" w:eastAsia="zh-CN" w:bidi="ar"/>
              </w:rPr>
              <w:t>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水果</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105800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公斤</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r>
    </w:tbl>
    <w:p>
      <w:pPr>
        <w:pStyle w:val="15"/>
        <w:spacing w:line="400" w:lineRule="exact"/>
        <w:ind w:left="1080" w:leftChars="257" w:hanging="540"/>
        <w:rPr>
          <w:rFonts w:hint="eastAsia" w:ascii="宋体" w:hAnsi="宋体" w:eastAsia="宋体" w:cs="宋体"/>
          <w:color w:val="auto"/>
          <w:sz w:val="24"/>
          <w:szCs w:val="24"/>
          <w:highlight w:val="none"/>
        </w:rPr>
      </w:pPr>
      <w:bookmarkStart w:id="1512" w:name="_Toc10857"/>
      <w:r>
        <w:rPr>
          <w:rFonts w:hint="eastAsia" w:ascii="宋体" w:hAnsi="宋体" w:eastAsia="宋体" w:cs="宋体"/>
          <w:color w:val="auto"/>
          <w:sz w:val="24"/>
          <w:szCs w:val="24"/>
          <w:highlight w:val="none"/>
        </w:rPr>
        <w:t>法定代表人（签/章）: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                 </w:t>
      </w:r>
    </w:p>
    <w:p>
      <w:pPr>
        <w:pStyle w:val="15"/>
        <w:tabs>
          <w:tab w:val="left" w:pos="537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供应商名称(公章):</w:t>
      </w:r>
      <w:r>
        <w:rPr>
          <w:rFonts w:hint="eastAsia" w:ascii="宋体" w:hAnsi="宋体" w:eastAsia="宋体" w:cs="宋体"/>
          <w:color w:val="auto"/>
          <w:sz w:val="24"/>
          <w:szCs w:val="24"/>
          <w:highlight w:val="none"/>
          <w:u w:val="single"/>
        </w:rPr>
        <w:tab/>
      </w:r>
    </w:p>
    <w:p>
      <w:pPr>
        <w:pStyle w:val="15"/>
        <w:spacing w:line="400" w:lineRule="exact"/>
        <w:ind w:left="1080" w:leftChars="257" w:hanging="54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注:1.供应商</w:t>
      </w:r>
      <w:r>
        <w:rPr>
          <w:rFonts w:hint="eastAsia" w:ascii="宋体" w:hAnsi="宋体" w:eastAsia="宋体" w:cs="宋体"/>
          <w:color w:val="auto"/>
          <w:sz w:val="24"/>
          <w:szCs w:val="24"/>
          <w:highlight w:val="none"/>
          <w:lang w:eastAsia="zh-CN"/>
        </w:rPr>
        <w:t>需按照货物需求清单为标准进行填写报价。</w:t>
      </w:r>
      <w:r>
        <w:rPr>
          <w:rFonts w:hint="eastAsia" w:ascii="宋体" w:hAnsi="宋体" w:eastAsia="宋体" w:cs="宋体"/>
          <w:color w:val="auto"/>
          <w:sz w:val="24"/>
          <w:szCs w:val="24"/>
          <w:highlight w:val="none"/>
          <w:lang w:val="en-US" w:eastAsia="zh-CN"/>
        </w:rPr>
        <w:t xml:space="preserve"> </w:t>
      </w:r>
    </w:p>
    <w:p>
      <w:pPr>
        <w:pStyle w:val="15"/>
        <w:spacing w:line="400" w:lineRule="exact"/>
        <w:ind w:left="1080" w:leftChars="257" w:hanging="540"/>
        <w:rPr>
          <w:rFonts w:hint="eastAsia" w:ascii="宋体" w:hAnsi="宋体" w:eastAsia="宋体" w:cs="宋体"/>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bCs/>
          <w:color w:val="auto"/>
          <w:sz w:val="24"/>
          <w:szCs w:val="24"/>
          <w:highlight w:val="none"/>
          <w:lang w:eastAsia="zh-CN"/>
        </w:rPr>
        <w:t>.</w:t>
      </w:r>
      <w:r>
        <w:rPr>
          <w:rFonts w:hint="eastAsia" w:ascii="宋体" w:hAnsi="宋体" w:eastAsia="宋体" w:cs="宋体"/>
          <w:color w:val="auto"/>
          <w:sz w:val="24"/>
          <w:szCs w:val="24"/>
          <w:highlight w:val="none"/>
          <w:lang w:eastAsia="zh-CN"/>
        </w:rPr>
        <w:t>如果按单价计算的结果与总价不一致,以单价为准修正总价。</w:t>
      </w:r>
    </w:p>
    <w:p>
      <w:pPr>
        <w:pStyle w:val="15"/>
        <w:spacing w:line="400" w:lineRule="exact"/>
        <w:ind w:left="1080" w:leftChars="257" w:hanging="54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.如果不提供详细分项报价将视为没有实质性响应招标文件。</w:t>
      </w:r>
    </w:p>
    <w:p>
      <w:pPr>
        <w:pStyle w:val="15"/>
        <w:spacing w:line="400" w:lineRule="exact"/>
        <w:ind w:left="1080" w:leftChars="257" w:hanging="54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上述各项的详细分项报价，应另页描述。</w:t>
      </w:r>
    </w:p>
    <w:p>
      <w:pPr>
        <w:pStyle w:val="15"/>
        <w:spacing w:line="400" w:lineRule="exact"/>
        <w:ind w:left="1080" w:leftChars="257" w:hanging="54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如果开标一览表（报价表）内容与投标文件中明细表内容不一致的，以开标一览表（报价表）内容为准。</w:t>
      </w:r>
    </w:p>
    <w:p>
      <w:pPr>
        <w:rPr>
          <w:rFonts w:hint="eastAsia" w:ascii="微软雅黑" w:hAnsi="微软雅黑" w:eastAsia="微软雅黑" w:cs="微软雅黑"/>
          <w:b/>
          <w:i w:val="0"/>
          <w:caps w:val="0"/>
          <w:color w:val="auto"/>
          <w:spacing w:val="0"/>
          <w:w w:val="100"/>
          <w:sz w:val="24"/>
          <w:szCs w:val="24"/>
          <w:highlight w:val="none"/>
        </w:rPr>
      </w:pPr>
      <w:r>
        <w:rPr>
          <w:rFonts w:hint="eastAsia" w:ascii="宋体" w:hAnsi="宋体" w:eastAsia="宋体" w:cs="宋体"/>
          <w:color w:val="auto"/>
          <w:sz w:val="28"/>
          <w:szCs w:val="28"/>
          <w:highlight w:val="none"/>
          <w:lang w:val="en-US" w:eastAsia="zh-CN"/>
        </w:rPr>
        <w:br w:type="page"/>
      </w:r>
    </w:p>
    <w:bookmarkEnd w:id="1512"/>
    <w:p>
      <w:pPr>
        <w:pStyle w:val="15"/>
        <w:spacing w:line="240" w:lineRule="atLeast"/>
        <w:rPr>
          <w:rFonts w:hint="eastAsia" w:ascii="宋体" w:hAnsi="宋体" w:eastAsia="宋体" w:cs="宋体"/>
          <w:b/>
          <w:bCs/>
          <w:color w:val="auto"/>
          <w:sz w:val="22"/>
          <w:szCs w:val="22"/>
          <w:highlight w:val="none"/>
        </w:rPr>
      </w:pPr>
    </w:p>
    <w:p>
      <w:pPr>
        <w:pStyle w:val="8"/>
        <w:keepNext/>
        <w:keepLines/>
        <w:pageBreakBefore w:val="0"/>
        <w:widowControl w:val="0"/>
        <w:kinsoku/>
        <w:wordWrap/>
        <w:overflowPunct/>
        <w:topLinePunct w:val="0"/>
        <w:autoSpaceDE w:val="0"/>
        <w:autoSpaceDN w:val="0"/>
        <w:bidi w:val="0"/>
        <w:adjustRightInd w:val="0"/>
        <w:snapToGrid/>
        <w:spacing w:before="0" w:line="400" w:lineRule="exact"/>
        <w:jc w:val="center"/>
        <w:textAlignment w:val="auto"/>
        <w:outlineLvl w:val="2"/>
        <w:rPr>
          <w:rFonts w:hint="eastAsia" w:ascii="宋体" w:hAnsi="宋体" w:eastAsia="宋体" w:cs="宋体"/>
          <w:b/>
          <w:bCs/>
          <w:color w:val="auto"/>
          <w:sz w:val="24"/>
          <w:szCs w:val="24"/>
          <w:highlight w:val="none"/>
          <w:u w:val="none"/>
          <w:lang w:val="en-US" w:eastAsia="zh-CN"/>
        </w:rPr>
      </w:pPr>
      <w:bookmarkStart w:id="1513" w:name="_Toc23978"/>
      <w:r>
        <w:rPr>
          <w:rFonts w:hint="eastAsia" w:ascii="宋体" w:hAnsi="宋体" w:eastAsia="宋体" w:cs="宋体"/>
          <w:b/>
          <w:bCs/>
          <w:color w:val="auto"/>
          <w:sz w:val="24"/>
          <w:szCs w:val="24"/>
          <w:highlight w:val="none"/>
          <w:u w:val="none"/>
          <w:lang w:val="en-US" w:eastAsia="zh-CN"/>
        </w:rPr>
        <w:t>3.货物说明一览表</w:t>
      </w:r>
      <w:bookmarkEnd w:id="1513"/>
    </w:p>
    <w:p>
      <w:pPr>
        <w:pStyle w:val="15"/>
        <w:spacing w:line="360" w:lineRule="exact"/>
        <w:ind w:left="1080" w:leftChars="257" w:hanging="54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项目名称:                    </w:t>
      </w:r>
      <w:r>
        <w:rPr>
          <w:rFonts w:hint="eastAsia" w:ascii="宋体" w:hAnsi="宋体" w:eastAsia="宋体" w:cs="宋体"/>
          <w:color w:val="auto"/>
          <w:sz w:val="24"/>
          <w:highlight w:val="none"/>
          <w:lang w:eastAsia="zh-CN"/>
        </w:rPr>
        <w:t>项目编号</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xml:space="preserve">                               </w:t>
      </w:r>
    </w:p>
    <w:tbl>
      <w:tblPr>
        <w:tblStyle w:val="27"/>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317"/>
        <w:gridCol w:w="1196"/>
        <w:gridCol w:w="1078"/>
        <w:gridCol w:w="1317"/>
        <w:gridCol w:w="1436"/>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959" w:type="dxa"/>
            <w:noWrap w:val="0"/>
            <w:vAlign w:val="center"/>
          </w:tcPr>
          <w:p>
            <w:pPr>
              <w:pStyle w:val="15"/>
              <w:spacing w:line="24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317" w:type="dxa"/>
            <w:noWrap w:val="0"/>
            <w:vAlign w:val="center"/>
          </w:tcPr>
          <w:p>
            <w:pPr>
              <w:pStyle w:val="15"/>
              <w:spacing w:line="24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货物</w:t>
            </w:r>
            <w:r>
              <w:rPr>
                <w:rFonts w:hint="eastAsia" w:ascii="宋体" w:hAnsi="宋体" w:eastAsia="宋体" w:cs="宋体"/>
                <w:color w:val="auto"/>
                <w:sz w:val="24"/>
                <w:szCs w:val="24"/>
                <w:highlight w:val="none"/>
              </w:rPr>
              <w:t>名称</w:t>
            </w:r>
          </w:p>
        </w:tc>
        <w:tc>
          <w:tcPr>
            <w:tcW w:w="1196" w:type="dxa"/>
            <w:noWrap w:val="0"/>
            <w:vAlign w:val="center"/>
          </w:tcPr>
          <w:p>
            <w:pPr>
              <w:pStyle w:val="15"/>
              <w:spacing w:line="24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货物</w:t>
            </w:r>
            <w:r>
              <w:rPr>
                <w:rFonts w:hint="eastAsia" w:ascii="宋体" w:hAnsi="宋体" w:eastAsia="宋体" w:cs="宋体"/>
                <w:color w:val="auto"/>
                <w:sz w:val="24"/>
                <w:szCs w:val="24"/>
                <w:highlight w:val="none"/>
              </w:rPr>
              <w:t>内容</w:t>
            </w:r>
          </w:p>
        </w:tc>
        <w:tc>
          <w:tcPr>
            <w:tcW w:w="1078" w:type="dxa"/>
            <w:noWrap w:val="0"/>
            <w:vAlign w:val="center"/>
          </w:tcPr>
          <w:p>
            <w:pPr>
              <w:pStyle w:val="15"/>
              <w:spacing w:line="24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1317" w:type="dxa"/>
            <w:noWrap w:val="0"/>
            <w:vAlign w:val="center"/>
          </w:tcPr>
          <w:p>
            <w:pPr>
              <w:pStyle w:val="15"/>
              <w:spacing w:line="240" w:lineRule="atLeast"/>
              <w:jc w:val="center"/>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交货期</w:t>
            </w:r>
          </w:p>
        </w:tc>
        <w:tc>
          <w:tcPr>
            <w:tcW w:w="1436" w:type="dxa"/>
            <w:noWrap w:val="0"/>
            <w:vAlign w:val="center"/>
          </w:tcPr>
          <w:p>
            <w:pPr>
              <w:pStyle w:val="15"/>
              <w:spacing w:line="240" w:lineRule="atLeast"/>
              <w:jc w:val="center"/>
              <w:rPr>
                <w:rFonts w:hint="eastAsia" w:ascii="宋体" w:hAnsi="宋体" w:eastAsia="宋体" w:cs="宋体"/>
                <w:color w:val="auto"/>
                <w:sz w:val="24"/>
                <w:szCs w:val="24"/>
                <w:highlight w:val="none"/>
              </w:rPr>
            </w:pPr>
            <w:r>
              <w:rPr>
                <w:rFonts w:hint="eastAsia" w:hAnsi="宋体" w:cs="宋体"/>
                <w:color w:val="auto"/>
                <w:sz w:val="24"/>
                <w:szCs w:val="24"/>
                <w:highlight w:val="none"/>
                <w:lang w:val="en-US" w:eastAsia="zh-CN"/>
              </w:rPr>
              <w:t>配送</w:t>
            </w:r>
            <w:r>
              <w:rPr>
                <w:rFonts w:hint="eastAsia" w:ascii="宋体" w:hAnsi="宋体" w:eastAsia="宋体" w:cs="宋体"/>
                <w:color w:val="auto"/>
                <w:sz w:val="24"/>
                <w:szCs w:val="24"/>
                <w:highlight w:val="none"/>
              </w:rPr>
              <w:t>地点</w:t>
            </w:r>
          </w:p>
        </w:tc>
        <w:tc>
          <w:tcPr>
            <w:tcW w:w="1317" w:type="dxa"/>
            <w:noWrap w:val="0"/>
            <w:vAlign w:val="center"/>
          </w:tcPr>
          <w:p>
            <w:pPr>
              <w:pStyle w:val="15"/>
              <w:spacing w:line="240" w:lineRule="atLeas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59"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317"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196"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078"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317"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436"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317"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959"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317"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196"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078"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317"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436"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317"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59"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317"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196"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078"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317"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436"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317"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959"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317"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196"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078"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317"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436"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317"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59"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317"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196"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078"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317"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436"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317"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959"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317"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196"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078"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317"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436"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317"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959"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317"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196"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078"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317"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436"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317"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59"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317"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196"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078"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317"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436"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c>
          <w:tcPr>
            <w:tcW w:w="1317" w:type="dxa"/>
            <w:noWrap w:val="0"/>
            <w:vAlign w:val="top"/>
          </w:tcPr>
          <w:p>
            <w:pPr>
              <w:pStyle w:val="15"/>
              <w:spacing w:line="240" w:lineRule="atLeast"/>
              <w:ind w:left="1080" w:leftChars="257" w:hanging="540"/>
              <w:rPr>
                <w:rFonts w:hint="eastAsia" w:ascii="宋体" w:hAnsi="宋体" w:eastAsia="宋体" w:cs="宋体"/>
                <w:color w:val="auto"/>
                <w:sz w:val="24"/>
                <w:szCs w:val="24"/>
                <w:highlight w:val="none"/>
              </w:rPr>
            </w:pPr>
          </w:p>
        </w:tc>
      </w:tr>
    </w:tbl>
    <w:p>
      <w:pPr>
        <w:pStyle w:val="15"/>
        <w:spacing w:line="360" w:lineRule="exact"/>
        <w:ind w:left="1080" w:leftChars="257" w:hanging="540"/>
        <w:rPr>
          <w:rFonts w:hint="eastAsia" w:ascii="宋体" w:hAnsi="宋体" w:eastAsia="宋体" w:cs="宋体"/>
          <w:color w:val="auto"/>
          <w:sz w:val="24"/>
          <w:highlight w:val="none"/>
        </w:rPr>
      </w:pPr>
    </w:p>
    <w:p>
      <w:pPr>
        <w:pStyle w:val="15"/>
        <w:spacing w:line="400" w:lineRule="exact"/>
        <w:ind w:left="1080" w:leftChars="257" w:hanging="540"/>
        <w:rPr>
          <w:rFonts w:hint="eastAsia" w:ascii="宋体" w:hAnsi="宋体" w:eastAsia="宋体" w:cs="宋体"/>
          <w:color w:val="auto"/>
          <w:sz w:val="24"/>
          <w:szCs w:val="24"/>
          <w:highlight w:val="none"/>
        </w:rPr>
      </w:pPr>
    </w:p>
    <w:p>
      <w:pPr>
        <w:pStyle w:val="4"/>
        <w:spacing w:line="360" w:lineRule="exact"/>
        <w:ind w:firstLine="0"/>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lang w:eastAsia="zh-CN"/>
        </w:rPr>
        <w:t>供应商</w:t>
      </w:r>
      <w:r>
        <w:rPr>
          <w:rFonts w:hint="eastAsia" w:ascii="宋体" w:hAnsi="宋体" w:eastAsia="宋体" w:cs="宋体"/>
          <w:color w:val="auto"/>
          <w:kern w:val="2"/>
          <w:sz w:val="24"/>
          <w:szCs w:val="24"/>
          <w:highlight w:val="none"/>
        </w:rPr>
        <w:t>名称（</w:t>
      </w:r>
      <w:r>
        <w:rPr>
          <w:rFonts w:hint="eastAsia" w:ascii="宋体" w:hAnsi="宋体" w:eastAsia="宋体" w:cs="宋体"/>
          <w:color w:val="auto"/>
          <w:kern w:val="2"/>
          <w:sz w:val="24"/>
          <w:szCs w:val="24"/>
          <w:highlight w:val="none"/>
          <w:lang w:eastAsia="zh-CN"/>
        </w:rPr>
        <w:t>公章</w:t>
      </w:r>
      <w:r>
        <w:rPr>
          <w:rFonts w:hint="eastAsia" w:ascii="宋体" w:hAnsi="宋体" w:eastAsia="宋体" w:cs="宋体"/>
          <w:color w:val="auto"/>
          <w:kern w:val="2"/>
          <w:sz w:val="24"/>
          <w:szCs w:val="24"/>
          <w:highlight w:val="none"/>
        </w:rPr>
        <w:t>）：</w:t>
      </w:r>
      <w:r>
        <w:rPr>
          <w:rFonts w:hint="eastAsia" w:ascii="宋体" w:hAnsi="宋体" w:eastAsia="宋体" w:cs="宋体"/>
          <w:color w:val="auto"/>
          <w:kern w:val="2"/>
          <w:sz w:val="24"/>
          <w:szCs w:val="24"/>
          <w:highlight w:val="none"/>
          <w:u w:val="single"/>
        </w:rPr>
        <w:t xml:space="preserve">                       </w:t>
      </w:r>
    </w:p>
    <w:p>
      <w:pPr>
        <w:pStyle w:val="4"/>
        <w:spacing w:line="360" w:lineRule="exact"/>
        <w:ind w:firstLine="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法定代表人(签/章):</w:t>
      </w:r>
      <w:r>
        <w:rPr>
          <w:rFonts w:hint="eastAsia" w:ascii="宋体" w:hAnsi="宋体" w:eastAsia="宋体" w:cs="宋体"/>
          <w:color w:val="auto"/>
          <w:kern w:val="2"/>
          <w:sz w:val="24"/>
          <w:szCs w:val="24"/>
          <w:highlight w:val="none"/>
          <w:u w:val="single"/>
        </w:rPr>
        <w:tab/>
      </w:r>
      <w:r>
        <w:rPr>
          <w:rFonts w:hint="eastAsia" w:ascii="宋体" w:hAnsi="宋体" w:eastAsia="宋体" w:cs="宋体"/>
          <w:color w:val="auto"/>
          <w:kern w:val="2"/>
          <w:sz w:val="24"/>
          <w:szCs w:val="24"/>
          <w:highlight w:val="none"/>
          <w:u w:val="single"/>
          <w:lang w:val="en-US" w:eastAsia="zh-CN"/>
        </w:rPr>
        <w:t xml:space="preserve">                       </w:t>
      </w:r>
      <w:r>
        <w:rPr>
          <w:rFonts w:hint="eastAsia" w:ascii="宋体" w:hAnsi="宋体" w:eastAsia="宋体" w:cs="宋体"/>
          <w:color w:val="auto"/>
          <w:kern w:val="2"/>
          <w:sz w:val="24"/>
          <w:szCs w:val="24"/>
          <w:highlight w:val="none"/>
          <w:u w:val="single"/>
        </w:rPr>
        <w:t xml:space="preserve">   </w:t>
      </w:r>
      <w:r>
        <w:rPr>
          <w:rFonts w:hint="eastAsia" w:ascii="宋体" w:hAnsi="宋体" w:eastAsia="宋体" w:cs="宋体"/>
          <w:color w:val="auto"/>
          <w:kern w:val="2"/>
          <w:sz w:val="24"/>
          <w:szCs w:val="24"/>
          <w:highlight w:val="none"/>
        </w:rPr>
        <w:t xml:space="preserve">                 </w:t>
      </w:r>
    </w:p>
    <w:p>
      <w:pPr>
        <w:pStyle w:val="4"/>
        <w:spacing w:line="360" w:lineRule="exact"/>
        <w:ind w:firstLine="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日期 ：</w:t>
      </w:r>
      <w:r>
        <w:rPr>
          <w:rFonts w:hint="eastAsia" w:ascii="宋体" w:hAnsi="宋体" w:eastAsia="宋体" w:cs="宋体"/>
          <w:color w:val="auto"/>
          <w:kern w:val="2"/>
          <w:sz w:val="24"/>
          <w:szCs w:val="24"/>
          <w:highlight w:val="none"/>
          <w:u w:val="single"/>
          <w:lang w:val="en-US" w:eastAsia="zh-CN"/>
        </w:rPr>
        <w:t xml:space="preserve">                                </w:t>
      </w:r>
      <w:r>
        <w:rPr>
          <w:rFonts w:hint="eastAsia" w:ascii="宋体" w:hAnsi="宋体" w:eastAsia="宋体" w:cs="宋体"/>
          <w:color w:val="auto"/>
          <w:kern w:val="2"/>
          <w:sz w:val="24"/>
          <w:szCs w:val="24"/>
          <w:highlight w:val="none"/>
          <w:lang w:val="en-US" w:eastAsia="zh-CN"/>
        </w:rPr>
        <w:t xml:space="preserve">                                      </w:t>
      </w:r>
      <w:r>
        <w:rPr>
          <w:rFonts w:hint="eastAsia" w:ascii="宋体" w:hAnsi="宋体" w:eastAsia="宋体" w:cs="宋体"/>
          <w:color w:val="auto"/>
          <w:kern w:val="2"/>
          <w:sz w:val="24"/>
          <w:szCs w:val="24"/>
          <w:highlight w:val="none"/>
        </w:rPr>
        <w:t xml:space="preserve">   </w:t>
      </w:r>
    </w:p>
    <w:p>
      <w:pPr>
        <w:pStyle w:val="15"/>
        <w:spacing w:line="400" w:lineRule="exact"/>
        <w:ind w:left="1080" w:leftChars="257" w:hanging="540"/>
        <w:rPr>
          <w:rFonts w:hint="eastAsia" w:ascii="宋体" w:hAnsi="宋体" w:eastAsia="宋体" w:cs="宋体"/>
          <w:b/>
          <w:bCs/>
          <w:color w:val="auto"/>
          <w:sz w:val="22"/>
          <w:szCs w:val="22"/>
          <w:highlight w:val="none"/>
          <w:lang w:eastAsia="zh-CN"/>
        </w:rPr>
      </w:pPr>
      <w:r>
        <w:rPr>
          <w:rFonts w:hint="eastAsia" w:ascii="宋体" w:hAnsi="宋体" w:eastAsia="宋体" w:cs="宋体"/>
          <w:color w:val="auto"/>
          <w:sz w:val="24"/>
          <w:szCs w:val="24"/>
          <w:highlight w:val="none"/>
        </w:rPr>
        <w:t>注: 各项</w:t>
      </w:r>
      <w:r>
        <w:rPr>
          <w:rFonts w:hint="eastAsia" w:ascii="宋体" w:hAnsi="宋体" w:eastAsia="宋体" w:cs="宋体"/>
          <w:color w:val="auto"/>
          <w:sz w:val="24"/>
          <w:szCs w:val="24"/>
          <w:highlight w:val="none"/>
          <w:lang w:val="en-US" w:eastAsia="zh-CN"/>
        </w:rPr>
        <w:t>货物</w:t>
      </w:r>
      <w:r>
        <w:rPr>
          <w:rFonts w:hint="eastAsia" w:ascii="宋体" w:hAnsi="宋体" w:eastAsia="宋体" w:cs="宋体"/>
          <w:color w:val="auto"/>
          <w:sz w:val="24"/>
          <w:szCs w:val="24"/>
          <w:highlight w:val="none"/>
        </w:rPr>
        <w:t>详细技术性能应另页描述</w:t>
      </w:r>
      <w:r>
        <w:rPr>
          <w:rFonts w:hint="eastAsia" w:ascii="宋体" w:hAnsi="宋体" w:eastAsia="宋体" w:cs="宋体"/>
          <w:color w:val="auto"/>
          <w:sz w:val="24"/>
          <w:szCs w:val="24"/>
          <w:highlight w:val="none"/>
          <w:lang w:eastAsia="zh-CN"/>
        </w:rPr>
        <w:t>。</w:t>
      </w:r>
    </w:p>
    <w:p>
      <w:pPr>
        <w:pStyle w:val="15"/>
        <w:spacing w:line="240" w:lineRule="atLeast"/>
        <w:ind w:left="1080" w:leftChars="257" w:hanging="540"/>
        <w:jc w:val="center"/>
        <w:rPr>
          <w:rFonts w:hint="eastAsia" w:ascii="宋体" w:hAnsi="宋体" w:eastAsia="宋体" w:cs="宋体"/>
          <w:b/>
          <w:bCs/>
          <w:color w:val="auto"/>
          <w:sz w:val="22"/>
          <w:szCs w:val="22"/>
          <w:highlight w:val="none"/>
        </w:rPr>
      </w:pPr>
    </w:p>
    <w:p>
      <w:pPr>
        <w:pStyle w:val="15"/>
        <w:spacing w:line="240" w:lineRule="atLeast"/>
        <w:rPr>
          <w:rFonts w:hint="eastAsia" w:ascii="宋体" w:hAnsi="宋体" w:eastAsia="宋体" w:cs="宋体"/>
          <w:color w:val="auto"/>
          <w:sz w:val="24"/>
          <w:highlight w:val="none"/>
        </w:rPr>
      </w:pPr>
    </w:p>
    <w:p>
      <w:pPr>
        <w:pStyle w:val="15"/>
        <w:spacing w:line="240" w:lineRule="atLeast"/>
        <w:rPr>
          <w:rFonts w:hint="eastAsia" w:ascii="宋体" w:hAnsi="宋体" w:eastAsia="宋体" w:cs="宋体"/>
          <w:b/>
          <w:bCs/>
          <w:color w:val="auto"/>
          <w:sz w:val="22"/>
          <w:szCs w:val="22"/>
          <w:highlight w:val="none"/>
        </w:rPr>
      </w:pPr>
    </w:p>
    <w:p>
      <w:pPr>
        <w:pStyle w:val="15"/>
        <w:spacing w:line="240" w:lineRule="atLeast"/>
        <w:rPr>
          <w:rFonts w:hint="eastAsia" w:ascii="宋体" w:hAnsi="宋体" w:eastAsia="宋体" w:cs="宋体"/>
          <w:b/>
          <w:bCs/>
          <w:color w:val="auto"/>
          <w:sz w:val="22"/>
          <w:szCs w:val="22"/>
          <w:highlight w:val="none"/>
        </w:rPr>
      </w:pPr>
    </w:p>
    <w:p>
      <w:pPr>
        <w:pStyle w:val="15"/>
        <w:spacing w:line="240" w:lineRule="atLeast"/>
        <w:rPr>
          <w:rFonts w:hint="eastAsia" w:ascii="宋体" w:hAnsi="宋体" w:eastAsia="宋体" w:cs="宋体"/>
          <w:b/>
          <w:bCs/>
          <w:color w:val="auto"/>
          <w:sz w:val="22"/>
          <w:szCs w:val="22"/>
          <w:highlight w:val="none"/>
        </w:rPr>
      </w:pPr>
    </w:p>
    <w:p>
      <w:pPr>
        <w:pStyle w:val="15"/>
        <w:spacing w:line="240" w:lineRule="atLeast"/>
        <w:rPr>
          <w:rFonts w:hint="eastAsia" w:ascii="宋体" w:hAnsi="宋体" w:eastAsia="宋体" w:cs="宋体"/>
          <w:b/>
          <w:bCs/>
          <w:color w:val="auto"/>
          <w:sz w:val="22"/>
          <w:szCs w:val="22"/>
          <w:highlight w:val="none"/>
        </w:rPr>
      </w:pPr>
    </w:p>
    <w:p>
      <w:pPr>
        <w:pStyle w:val="15"/>
        <w:spacing w:line="240" w:lineRule="atLeast"/>
        <w:rPr>
          <w:rFonts w:hint="eastAsia" w:ascii="宋体" w:hAnsi="宋体" w:eastAsia="宋体" w:cs="宋体"/>
          <w:b/>
          <w:bCs/>
          <w:color w:val="auto"/>
          <w:sz w:val="22"/>
          <w:szCs w:val="22"/>
          <w:highlight w:val="none"/>
        </w:rPr>
      </w:pPr>
    </w:p>
    <w:p>
      <w:pPr>
        <w:pStyle w:val="15"/>
        <w:spacing w:line="240" w:lineRule="atLeast"/>
        <w:rPr>
          <w:rFonts w:hint="eastAsia" w:ascii="宋体" w:hAnsi="宋体" w:eastAsia="宋体" w:cs="宋体"/>
          <w:b/>
          <w:bCs/>
          <w:color w:val="auto"/>
          <w:sz w:val="22"/>
          <w:szCs w:val="22"/>
          <w:highlight w:val="none"/>
        </w:rPr>
      </w:pPr>
    </w:p>
    <w:p>
      <w:pPr>
        <w:pStyle w:val="15"/>
        <w:spacing w:line="240" w:lineRule="atLeast"/>
        <w:rPr>
          <w:rFonts w:hint="eastAsia" w:ascii="宋体" w:hAnsi="宋体" w:eastAsia="宋体" w:cs="宋体"/>
          <w:b/>
          <w:bCs/>
          <w:color w:val="auto"/>
          <w:sz w:val="22"/>
          <w:szCs w:val="22"/>
          <w:highlight w:val="none"/>
        </w:rPr>
      </w:pPr>
    </w:p>
    <w:p>
      <w:pPr>
        <w:pStyle w:val="15"/>
        <w:spacing w:line="240" w:lineRule="atLeast"/>
        <w:rPr>
          <w:rFonts w:hint="eastAsia" w:ascii="宋体" w:hAnsi="宋体" w:eastAsia="宋体" w:cs="宋体"/>
          <w:b/>
          <w:bCs/>
          <w:color w:val="auto"/>
          <w:sz w:val="22"/>
          <w:szCs w:val="22"/>
          <w:highlight w:val="none"/>
        </w:rPr>
      </w:pPr>
    </w:p>
    <w:p>
      <w:pPr>
        <w:pStyle w:val="15"/>
        <w:spacing w:line="240" w:lineRule="atLeast"/>
        <w:rPr>
          <w:rFonts w:hint="eastAsia" w:ascii="宋体" w:hAnsi="宋体" w:eastAsia="宋体" w:cs="宋体"/>
          <w:b/>
          <w:bCs/>
          <w:color w:val="auto"/>
          <w:sz w:val="22"/>
          <w:szCs w:val="22"/>
          <w:highlight w:val="none"/>
        </w:rPr>
      </w:pPr>
    </w:p>
    <w:p>
      <w:pPr>
        <w:pStyle w:val="15"/>
        <w:spacing w:line="240" w:lineRule="atLeast"/>
        <w:rPr>
          <w:rFonts w:hint="eastAsia" w:ascii="宋体" w:hAnsi="宋体" w:eastAsia="宋体" w:cs="宋体"/>
          <w:b/>
          <w:bCs/>
          <w:color w:val="auto"/>
          <w:sz w:val="22"/>
          <w:szCs w:val="22"/>
          <w:highlight w:val="none"/>
        </w:rPr>
      </w:pPr>
    </w:p>
    <w:p>
      <w:pP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br w:type="page"/>
      </w:r>
    </w:p>
    <w:p>
      <w:pPr>
        <w:pStyle w:val="8"/>
        <w:keepNext/>
        <w:keepLines/>
        <w:pageBreakBefore w:val="0"/>
        <w:widowControl w:val="0"/>
        <w:kinsoku/>
        <w:wordWrap/>
        <w:overflowPunct/>
        <w:topLinePunct w:val="0"/>
        <w:autoSpaceDE w:val="0"/>
        <w:autoSpaceDN w:val="0"/>
        <w:bidi w:val="0"/>
        <w:adjustRightInd w:val="0"/>
        <w:snapToGrid/>
        <w:spacing w:before="0" w:line="400" w:lineRule="exact"/>
        <w:jc w:val="center"/>
        <w:textAlignment w:val="auto"/>
        <w:outlineLvl w:val="2"/>
        <w:rPr>
          <w:rFonts w:hint="eastAsia" w:ascii="宋体" w:hAnsi="宋体" w:eastAsia="宋体" w:cs="宋体"/>
          <w:b/>
          <w:bCs/>
          <w:color w:val="auto"/>
          <w:sz w:val="24"/>
          <w:szCs w:val="24"/>
          <w:highlight w:val="none"/>
          <w:u w:val="none"/>
          <w:lang w:val="en-US" w:eastAsia="zh-CN"/>
        </w:rPr>
      </w:pPr>
      <w:bookmarkStart w:id="1514" w:name="_Toc25803"/>
      <w:r>
        <w:rPr>
          <w:rFonts w:hint="eastAsia" w:hAnsi="宋体" w:cs="宋体"/>
          <w:b/>
          <w:bCs/>
          <w:color w:val="auto"/>
          <w:sz w:val="24"/>
          <w:szCs w:val="24"/>
          <w:highlight w:val="none"/>
          <w:u w:val="none"/>
          <w:lang w:val="en-US" w:eastAsia="zh-CN"/>
        </w:rPr>
        <w:t>4</w:t>
      </w:r>
      <w:r>
        <w:rPr>
          <w:rFonts w:hint="eastAsia" w:ascii="宋体" w:hAnsi="宋体" w:eastAsia="宋体" w:cs="宋体"/>
          <w:b/>
          <w:bCs/>
          <w:color w:val="auto"/>
          <w:sz w:val="24"/>
          <w:szCs w:val="24"/>
          <w:highlight w:val="none"/>
          <w:u w:val="none"/>
          <w:lang w:val="en-US" w:eastAsia="zh-CN"/>
        </w:rPr>
        <w:t>.商务条款偏离表</w:t>
      </w:r>
      <w:bookmarkEnd w:id="1514"/>
    </w:p>
    <w:p>
      <w:pPr>
        <w:pStyle w:val="15"/>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项目名称:                      项目编号:         </w:t>
      </w:r>
    </w:p>
    <w:tbl>
      <w:tblPr>
        <w:tblStyle w:val="27"/>
        <w:tblW w:w="56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
        <w:gridCol w:w="2075"/>
        <w:gridCol w:w="2601"/>
        <w:gridCol w:w="2601"/>
        <w:gridCol w:w="761"/>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396" w:type="pct"/>
          </w:tcPr>
          <w:p>
            <w:pPr>
              <w:pStyle w:val="15"/>
              <w:spacing w:line="40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1085" w:type="pct"/>
          </w:tcPr>
          <w:p>
            <w:pPr>
              <w:pStyle w:val="15"/>
              <w:spacing w:line="40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招标文件条款号</w:t>
            </w:r>
          </w:p>
        </w:tc>
        <w:tc>
          <w:tcPr>
            <w:tcW w:w="1360" w:type="pct"/>
          </w:tcPr>
          <w:p>
            <w:pPr>
              <w:pStyle w:val="15"/>
              <w:spacing w:line="40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招标文件的商务条款</w:t>
            </w:r>
          </w:p>
        </w:tc>
        <w:tc>
          <w:tcPr>
            <w:tcW w:w="1360" w:type="pct"/>
          </w:tcPr>
          <w:p>
            <w:pPr>
              <w:pStyle w:val="15"/>
              <w:spacing w:line="40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投标文件的商务条款</w:t>
            </w:r>
          </w:p>
        </w:tc>
        <w:tc>
          <w:tcPr>
            <w:tcW w:w="398" w:type="pct"/>
            <w:vAlign w:val="center"/>
          </w:tcPr>
          <w:p>
            <w:pPr>
              <w:pStyle w:val="15"/>
              <w:spacing w:line="400" w:lineRule="exact"/>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偏离</w:t>
            </w:r>
          </w:p>
        </w:tc>
        <w:tc>
          <w:tcPr>
            <w:tcW w:w="398" w:type="pct"/>
            <w:vAlign w:val="center"/>
          </w:tcPr>
          <w:p>
            <w:pPr>
              <w:pStyle w:val="15"/>
              <w:spacing w:line="40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96"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1085"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5"/>
              <w:spacing w:line="400" w:lineRule="exact"/>
              <w:ind w:left="1080" w:leftChars="257" w:hanging="540"/>
              <w:jc w:val="center"/>
              <w:rPr>
                <w:rFonts w:hint="eastAsia" w:ascii="宋体" w:hAnsi="宋体" w:eastAsia="宋体" w:cs="宋体"/>
                <w:color w:val="auto"/>
                <w:sz w:val="24"/>
                <w:szCs w:val="24"/>
                <w:highlight w:val="none"/>
              </w:rPr>
            </w:pPr>
          </w:p>
        </w:tc>
        <w:tc>
          <w:tcPr>
            <w:tcW w:w="1360" w:type="pct"/>
          </w:tcPr>
          <w:p>
            <w:pPr>
              <w:pStyle w:val="15"/>
              <w:spacing w:line="400" w:lineRule="exact"/>
              <w:ind w:left="1080" w:leftChars="257" w:hanging="540"/>
              <w:jc w:val="center"/>
              <w:rPr>
                <w:rFonts w:hint="eastAsia" w:ascii="宋体" w:hAnsi="宋体" w:eastAsia="宋体" w:cs="宋体"/>
                <w:color w:val="auto"/>
                <w:sz w:val="24"/>
                <w:szCs w:val="24"/>
                <w:highlight w:val="none"/>
              </w:rPr>
            </w:pPr>
          </w:p>
        </w:tc>
        <w:tc>
          <w:tcPr>
            <w:tcW w:w="398"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5"/>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96"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1085"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5"/>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96"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1085"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5"/>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96"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1085"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5"/>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96"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1085"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5"/>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96"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1085"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5"/>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96"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1085"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5"/>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96"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1085"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5"/>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96"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1085"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5"/>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96"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1085"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5"/>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96"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1085"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5"/>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96"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1085"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5"/>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396"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1085"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5"/>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5"/>
              <w:spacing w:line="400" w:lineRule="exact"/>
              <w:ind w:left="1080" w:leftChars="257" w:hanging="540"/>
              <w:rPr>
                <w:rFonts w:hint="eastAsia" w:ascii="宋体" w:hAnsi="宋体" w:eastAsia="宋体" w:cs="宋体"/>
                <w:color w:val="auto"/>
                <w:sz w:val="24"/>
                <w:szCs w:val="24"/>
                <w:highlight w:val="none"/>
              </w:rPr>
            </w:pPr>
          </w:p>
        </w:tc>
      </w:tr>
    </w:tbl>
    <w:p>
      <w:pPr>
        <w:pStyle w:val="15"/>
        <w:spacing w:line="400" w:lineRule="exact"/>
        <w:ind w:left="1080" w:leftChars="257" w:hanging="540"/>
        <w:rPr>
          <w:rFonts w:hint="eastAsia" w:ascii="宋体" w:hAnsi="宋体" w:eastAsia="宋体" w:cs="宋体"/>
          <w:color w:val="auto"/>
          <w:sz w:val="24"/>
          <w:szCs w:val="24"/>
          <w:highlight w:val="none"/>
        </w:rPr>
      </w:pPr>
    </w:p>
    <w:p>
      <w:pPr>
        <w:pStyle w:val="15"/>
        <w:spacing w:line="400" w:lineRule="exact"/>
        <w:ind w:left="1080" w:leftChars="257" w:hanging="540"/>
        <w:rPr>
          <w:rFonts w:hint="eastAsia" w:ascii="宋体" w:hAnsi="宋体" w:eastAsia="宋体" w:cs="宋体"/>
          <w:color w:val="auto"/>
          <w:sz w:val="24"/>
          <w:szCs w:val="24"/>
          <w:highlight w:val="none"/>
        </w:rPr>
      </w:pPr>
    </w:p>
    <w:p>
      <w:pPr>
        <w:pStyle w:val="15"/>
        <w:spacing w:line="400" w:lineRule="exact"/>
        <w:ind w:left="1080" w:leftChars="257" w:hanging="540"/>
        <w:rPr>
          <w:rFonts w:hint="eastAsia" w:ascii="宋体" w:hAnsi="宋体" w:eastAsia="宋体" w:cs="宋体"/>
          <w:color w:val="auto"/>
          <w:sz w:val="24"/>
          <w:szCs w:val="24"/>
          <w:highlight w:val="none"/>
        </w:rPr>
      </w:pPr>
    </w:p>
    <w:p>
      <w:pPr>
        <w:pStyle w:val="4"/>
        <w:spacing w:line="360" w:lineRule="exact"/>
        <w:ind w:firstLine="0"/>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lang w:eastAsia="zh-CN"/>
        </w:rPr>
        <w:t>供应商</w:t>
      </w:r>
      <w:r>
        <w:rPr>
          <w:rFonts w:hint="eastAsia" w:ascii="宋体" w:hAnsi="宋体" w:eastAsia="宋体" w:cs="宋体"/>
          <w:color w:val="auto"/>
          <w:kern w:val="2"/>
          <w:sz w:val="24"/>
          <w:szCs w:val="24"/>
          <w:highlight w:val="none"/>
        </w:rPr>
        <w:t>名称（</w:t>
      </w:r>
      <w:r>
        <w:rPr>
          <w:rFonts w:hint="eastAsia" w:ascii="宋体" w:hAnsi="宋体" w:eastAsia="宋体" w:cs="宋体"/>
          <w:color w:val="auto"/>
          <w:kern w:val="2"/>
          <w:sz w:val="24"/>
          <w:szCs w:val="24"/>
          <w:highlight w:val="none"/>
          <w:lang w:eastAsia="zh-CN"/>
        </w:rPr>
        <w:t>公章</w:t>
      </w:r>
      <w:r>
        <w:rPr>
          <w:rFonts w:hint="eastAsia" w:ascii="宋体" w:hAnsi="宋体" w:eastAsia="宋体" w:cs="宋体"/>
          <w:color w:val="auto"/>
          <w:kern w:val="2"/>
          <w:sz w:val="24"/>
          <w:szCs w:val="24"/>
          <w:highlight w:val="none"/>
        </w:rPr>
        <w:t>）：</w:t>
      </w:r>
      <w:r>
        <w:rPr>
          <w:rFonts w:hint="eastAsia" w:ascii="宋体" w:hAnsi="宋体" w:eastAsia="宋体" w:cs="宋体"/>
          <w:color w:val="auto"/>
          <w:kern w:val="2"/>
          <w:sz w:val="24"/>
          <w:szCs w:val="24"/>
          <w:highlight w:val="none"/>
          <w:u w:val="single"/>
        </w:rPr>
        <w:t xml:space="preserve">                       </w:t>
      </w:r>
    </w:p>
    <w:p>
      <w:pPr>
        <w:pStyle w:val="4"/>
        <w:spacing w:line="360" w:lineRule="exact"/>
        <w:ind w:firstLine="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法定代表人(签/章):</w:t>
      </w:r>
      <w:r>
        <w:rPr>
          <w:rFonts w:hint="eastAsia" w:ascii="宋体" w:hAnsi="宋体" w:eastAsia="宋体" w:cs="宋体"/>
          <w:color w:val="auto"/>
          <w:kern w:val="2"/>
          <w:sz w:val="24"/>
          <w:szCs w:val="24"/>
          <w:highlight w:val="none"/>
          <w:u w:val="single"/>
        </w:rPr>
        <w:tab/>
      </w:r>
      <w:r>
        <w:rPr>
          <w:rFonts w:hint="eastAsia" w:ascii="宋体" w:hAnsi="宋体" w:eastAsia="宋体" w:cs="宋体"/>
          <w:color w:val="auto"/>
          <w:kern w:val="2"/>
          <w:sz w:val="24"/>
          <w:szCs w:val="24"/>
          <w:highlight w:val="none"/>
          <w:u w:val="single"/>
          <w:lang w:val="en-US" w:eastAsia="zh-CN"/>
        </w:rPr>
        <w:t xml:space="preserve">                       </w:t>
      </w:r>
      <w:r>
        <w:rPr>
          <w:rFonts w:hint="eastAsia" w:ascii="宋体" w:hAnsi="宋体" w:eastAsia="宋体" w:cs="宋体"/>
          <w:color w:val="auto"/>
          <w:kern w:val="2"/>
          <w:sz w:val="24"/>
          <w:szCs w:val="24"/>
          <w:highlight w:val="none"/>
          <w:u w:val="single"/>
        </w:rPr>
        <w:t xml:space="preserve">   </w:t>
      </w:r>
      <w:r>
        <w:rPr>
          <w:rFonts w:hint="eastAsia" w:ascii="宋体" w:hAnsi="宋体" w:eastAsia="宋体" w:cs="宋体"/>
          <w:color w:val="auto"/>
          <w:kern w:val="2"/>
          <w:sz w:val="24"/>
          <w:szCs w:val="24"/>
          <w:highlight w:val="none"/>
        </w:rPr>
        <w:t xml:space="preserve">                 </w:t>
      </w:r>
    </w:p>
    <w:p>
      <w:pPr>
        <w:pStyle w:val="4"/>
        <w:spacing w:line="360" w:lineRule="exact"/>
        <w:ind w:firstLine="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rPr>
        <w:t xml:space="preserve">                                  </w:t>
      </w:r>
      <w:r>
        <w:rPr>
          <w:rFonts w:hint="eastAsia" w:ascii="宋体" w:hAnsi="宋体" w:eastAsia="宋体" w:cs="宋体"/>
          <w:color w:val="auto"/>
          <w:kern w:val="2"/>
          <w:sz w:val="24"/>
          <w:szCs w:val="24"/>
          <w:highlight w:val="none"/>
        </w:rPr>
        <w:t xml:space="preserve">   </w:t>
      </w:r>
    </w:p>
    <w:p>
      <w:pPr>
        <w:pStyle w:val="15"/>
        <w:tabs>
          <w:tab w:val="left" w:pos="5370"/>
        </w:tabs>
        <w:spacing w:line="400" w:lineRule="exact"/>
        <w:ind w:left="1080" w:leftChars="257" w:hanging="540"/>
        <w:rPr>
          <w:rFonts w:hint="eastAsia" w:ascii="宋体" w:hAnsi="宋体" w:eastAsia="宋体" w:cs="宋体"/>
          <w:color w:val="auto"/>
          <w:sz w:val="24"/>
          <w:szCs w:val="24"/>
          <w:highlight w:val="none"/>
          <w:u w:val="single"/>
        </w:rPr>
      </w:pPr>
    </w:p>
    <w:p>
      <w:pPr>
        <w:pStyle w:val="15"/>
        <w:tabs>
          <w:tab w:val="left" w:pos="5370"/>
        </w:tabs>
        <w:spacing w:line="400" w:lineRule="exact"/>
        <w:ind w:left="1080" w:leftChars="257" w:hanging="540"/>
        <w:rPr>
          <w:rFonts w:hint="eastAsia" w:ascii="宋体" w:hAnsi="宋体" w:eastAsia="宋体" w:cs="宋体"/>
          <w:color w:val="auto"/>
          <w:sz w:val="24"/>
          <w:szCs w:val="24"/>
          <w:highlight w:val="none"/>
          <w:u w:val="single"/>
        </w:rPr>
      </w:pPr>
    </w:p>
    <w:p>
      <w:pPr>
        <w:pStyle w:val="15"/>
        <w:tabs>
          <w:tab w:val="left" w:pos="5370"/>
        </w:tabs>
        <w:spacing w:line="400" w:lineRule="exact"/>
        <w:ind w:left="1080" w:leftChars="257" w:hanging="540"/>
        <w:rPr>
          <w:rFonts w:hint="eastAsia" w:ascii="宋体" w:hAnsi="宋体" w:eastAsia="宋体" w:cs="宋体"/>
          <w:color w:val="auto"/>
          <w:sz w:val="24"/>
          <w:szCs w:val="24"/>
          <w:highlight w:val="none"/>
          <w:u w:val="single"/>
        </w:rPr>
      </w:pPr>
    </w:p>
    <w:p>
      <w:pP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br w:type="page"/>
      </w:r>
    </w:p>
    <w:p>
      <w:pPr>
        <w:pStyle w:val="8"/>
        <w:keepNext/>
        <w:keepLines/>
        <w:pageBreakBefore w:val="0"/>
        <w:widowControl w:val="0"/>
        <w:kinsoku/>
        <w:wordWrap/>
        <w:overflowPunct/>
        <w:topLinePunct w:val="0"/>
        <w:autoSpaceDE w:val="0"/>
        <w:autoSpaceDN w:val="0"/>
        <w:bidi w:val="0"/>
        <w:adjustRightInd w:val="0"/>
        <w:snapToGrid/>
        <w:spacing w:before="0" w:line="400" w:lineRule="exact"/>
        <w:jc w:val="center"/>
        <w:textAlignment w:val="auto"/>
        <w:outlineLvl w:val="2"/>
        <w:rPr>
          <w:rFonts w:hint="eastAsia" w:ascii="宋体" w:hAnsi="宋体" w:eastAsia="宋体" w:cs="宋体"/>
          <w:b/>
          <w:bCs/>
          <w:color w:val="auto"/>
          <w:sz w:val="24"/>
          <w:szCs w:val="24"/>
          <w:highlight w:val="none"/>
          <w:u w:val="none"/>
          <w:lang w:val="en-US" w:eastAsia="zh-CN"/>
        </w:rPr>
      </w:pPr>
      <w:bookmarkStart w:id="1515" w:name="_Toc27949"/>
      <w:r>
        <w:rPr>
          <w:rFonts w:hint="eastAsia" w:hAnsi="宋体" w:cs="宋体"/>
          <w:b/>
          <w:bCs/>
          <w:color w:val="auto"/>
          <w:sz w:val="24"/>
          <w:szCs w:val="24"/>
          <w:highlight w:val="none"/>
          <w:u w:val="none"/>
          <w:lang w:val="en-US" w:eastAsia="zh-CN"/>
        </w:rPr>
        <w:t>5</w:t>
      </w:r>
      <w:r>
        <w:rPr>
          <w:rFonts w:hint="eastAsia" w:ascii="宋体" w:hAnsi="宋体" w:eastAsia="宋体" w:cs="宋体"/>
          <w:b/>
          <w:bCs/>
          <w:color w:val="auto"/>
          <w:sz w:val="24"/>
          <w:szCs w:val="24"/>
          <w:highlight w:val="none"/>
          <w:u w:val="none"/>
          <w:lang w:val="en-US" w:eastAsia="zh-CN"/>
        </w:rPr>
        <w:t>-1中小企业声明函</w:t>
      </w:r>
      <w:bookmarkEnd w:id="1515"/>
    </w:p>
    <w:bookmarkEnd w:id="1505"/>
    <w:bookmarkEnd w:id="1506"/>
    <w:bookmarkEnd w:id="1507"/>
    <w:bookmarkEnd w:id="1508"/>
    <w:bookmarkEnd w:id="1509"/>
    <w:bookmarkEnd w:id="1510"/>
    <w:bookmarkEnd w:id="1511"/>
    <w:p>
      <w:pPr>
        <w:keepNext w:val="0"/>
        <w:keepLines w:val="0"/>
        <w:widowControl/>
        <w:suppressLineNumbers w:val="0"/>
        <w:shd w:val="clear" w:color="auto" w:fill="auto"/>
        <w:spacing w:before="0" w:beforeAutospacing="1" w:after="0" w:afterAutospacing="1" w:line="348" w:lineRule="atLeast"/>
        <w:ind w:left="0" w:right="0" w:firstLine="384"/>
        <w:jc w:val="left"/>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shd w:val="clear" w:color="auto" w:fill="FFFFFF"/>
          <w:lang w:val="en-US" w:eastAsia="zh-CN"/>
        </w:rPr>
        <w:t>本公司（联合体）郑重声明，根据《政府采购促进中小企业发展管理办法》（财库﹝2020﹞46 号）的规定，本公司（联合体）参加</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（单位名称）</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的</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（项目名称）</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采购活动，提供的货物全部由符合政策要求的中小企业制造。相关企业（含联合体中的中小企业、签订分包意向协议的中小企业）的具体情况如下：</w:t>
      </w:r>
    </w:p>
    <w:p>
      <w:pPr>
        <w:keepNext w:val="0"/>
        <w:keepLines w:val="0"/>
        <w:widowControl/>
        <w:suppressLineNumbers w:val="0"/>
        <w:shd w:val="clear" w:color="auto" w:fill="auto"/>
        <w:spacing w:before="0" w:beforeAutospacing="1" w:after="0" w:afterAutospacing="1" w:line="348" w:lineRule="atLeast"/>
        <w:ind w:left="0" w:right="0" w:firstLine="384"/>
        <w:jc w:val="left"/>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shd w:val="clear" w:color="auto" w:fill="FFFFFF"/>
          <w:lang w:val="en-US" w:eastAsia="zh-CN"/>
        </w:rPr>
        <w:t>1.</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（标的名称）</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，属于</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（采购文件中明确的所属行业）</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行业；制造商为</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（企业名称）</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，从业人员</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人，营业收入为</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万元，资产总额为</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万元，属于</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（中型企业、小型企业、微型企业）</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w:t>
      </w:r>
    </w:p>
    <w:p>
      <w:pPr>
        <w:keepNext w:val="0"/>
        <w:keepLines w:val="0"/>
        <w:widowControl/>
        <w:suppressLineNumbers w:val="0"/>
        <w:shd w:val="clear" w:color="auto" w:fill="auto"/>
        <w:spacing w:before="0" w:beforeAutospacing="1" w:after="0" w:afterAutospacing="1" w:line="348" w:lineRule="atLeast"/>
        <w:ind w:left="0" w:right="0" w:firstLine="384"/>
        <w:jc w:val="left"/>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shd w:val="clear" w:color="auto" w:fill="FFFFFF"/>
          <w:lang w:val="en-US" w:eastAsia="zh-CN"/>
        </w:rPr>
        <w:t>2.</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（标的名称）</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，属于</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（采购文件中明确的所属行业）</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行业；制造商为</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（企业名称）</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，从业人员</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人，营业收入为</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万元，资产总额为</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万元，属于</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（中型企业、小型企业、微型企业）</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w:t>
      </w:r>
    </w:p>
    <w:p>
      <w:pPr>
        <w:keepNext w:val="0"/>
        <w:keepLines w:val="0"/>
        <w:widowControl/>
        <w:suppressLineNumbers w:val="0"/>
        <w:shd w:val="clear" w:color="auto" w:fill="auto"/>
        <w:spacing w:before="0" w:beforeAutospacing="1" w:after="0" w:afterAutospacing="1" w:line="348" w:lineRule="atLeast"/>
        <w:ind w:left="0" w:right="0" w:firstLine="384"/>
        <w:jc w:val="left"/>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shd w:val="clear" w:color="auto" w:fill="FFFFFF"/>
          <w:lang w:val="en-US" w:eastAsia="zh-CN"/>
        </w:rPr>
        <w:t>……</w:t>
      </w:r>
    </w:p>
    <w:p>
      <w:pPr>
        <w:keepNext w:val="0"/>
        <w:keepLines w:val="0"/>
        <w:widowControl/>
        <w:suppressLineNumbers w:val="0"/>
        <w:shd w:val="clear" w:color="auto" w:fill="auto"/>
        <w:spacing w:before="0" w:beforeAutospacing="1" w:after="0" w:afterAutospacing="1" w:line="348" w:lineRule="atLeast"/>
        <w:ind w:left="0" w:right="0" w:firstLine="384"/>
        <w:jc w:val="left"/>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shd w:val="clear" w:color="auto" w:fill="FFFFFF"/>
          <w:lang w:val="en-US" w:eastAsia="zh-CN"/>
        </w:rPr>
        <w:t>以上企业，不属于大企业的分支机构，不存在控股股东为大企业的情形，也不存在与大企业的负责人为同一人的情形。</w:t>
      </w:r>
    </w:p>
    <w:p>
      <w:pPr>
        <w:keepNext w:val="0"/>
        <w:keepLines w:val="0"/>
        <w:widowControl/>
        <w:suppressLineNumbers w:val="0"/>
        <w:shd w:val="clear" w:color="auto" w:fill="auto"/>
        <w:spacing w:before="0" w:beforeAutospacing="1" w:after="0" w:afterAutospacing="1" w:line="348" w:lineRule="atLeast"/>
        <w:ind w:left="0" w:right="0" w:firstLine="384"/>
        <w:jc w:val="left"/>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shd w:val="clear" w:color="auto" w:fill="FFFFFF"/>
          <w:lang w:val="en-US" w:eastAsia="zh-CN"/>
        </w:rPr>
        <w:t>本企业对上述声明内容的真实性负责。如有虚假，将依法承担相应责任。</w:t>
      </w:r>
    </w:p>
    <w:p>
      <w:pPr>
        <w:keepNext w:val="0"/>
        <w:keepLines w:val="0"/>
        <w:widowControl/>
        <w:suppressLineNumbers w:val="0"/>
        <w:shd w:val="clear" w:color="auto" w:fill="auto"/>
        <w:spacing w:before="0" w:beforeAutospacing="1" w:after="0" w:afterAutospacing="1" w:line="348" w:lineRule="atLeast"/>
        <w:ind w:left="0" w:right="0" w:firstLine="384"/>
        <w:jc w:val="left"/>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shd w:val="clear" w:color="auto" w:fill="FFFFFF"/>
          <w:lang w:val="en-US" w:eastAsia="zh-CN"/>
        </w:rPr>
        <w:t> </w:t>
      </w:r>
    </w:p>
    <w:p>
      <w:pPr>
        <w:keepNext w:val="0"/>
        <w:keepLines w:val="0"/>
        <w:widowControl/>
        <w:suppressLineNumbers w:val="0"/>
        <w:shd w:val="clear" w:color="auto" w:fill="auto"/>
        <w:spacing w:before="0" w:beforeAutospacing="1" w:after="0" w:afterAutospacing="1" w:line="348" w:lineRule="atLeast"/>
        <w:ind w:left="0" w:right="0" w:firstLine="384"/>
        <w:jc w:val="left"/>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shd w:val="clear" w:color="auto" w:fill="FFFFFF"/>
          <w:lang w:val="en-US" w:eastAsia="zh-CN"/>
        </w:rPr>
        <w:t> </w:t>
      </w:r>
    </w:p>
    <w:p>
      <w:pPr>
        <w:keepNext w:val="0"/>
        <w:keepLines w:val="0"/>
        <w:widowControl/>
        <w:suppressLineNumbers w:val="0"/>
        <w:shd w:val="clear" w:color="auto" w:fill="auto"/>
        <w:spacing w:before="0" w:beforeAutospacing="1" w:after="0" w:afterAutospacing="1" w:line="348" w:lineRule="atLeast"/>
        <w:ind w:left="0" w:right="0" w:firstLine="4224"/>
        <w:jc w:val="left"/>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shd w:val="clear" w:color="auto" w:fill="FFFFFF"/>
          <w:lang w:val="en-US" w:eastAsia="zh-CN"/>
        </w:rPr>
        <w:t>企业名称（盖章）：</w:t>
      </w:r>
    </w:p>
    <w:p>
      <w:pPr>
        <w:keepNext w:val="0"/>
        <w:keepLines w:val="0"/>
        <w:widowControl/>
        <w:suppressLineNumbers w:val="0"/>
        <w:shd w:val="clear" w:color="auto" w:fill="auto"/>
        <w:spacing w:before="0" w:beforeAutospacing="1" w:after="0" w:afterAutospacing="1" w:line="348" w:lineRule="atLeast"/>
        <w:ind w:left="0" w:right="0" w:firstLine="4224"/>
        <w:jc w:val="left"/>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shd w:val="clear" w:color="auto" w:fill="FFFFFF"/>
          <w:lang w:val="en-US" w:eastAsia="zh-CN"/>
        </w:rPr>
        <w:t>日 期：</w:t>
      </w:r>
    </w:p>
    <w:p>
      <w:pPr>
        <w:pStyle w:val="4"/>
        <w:rPr>
          <w:rFonts w:hint="eastAsia"/>
          <w:highlight w:val="none"/>
          <w:lang w:val="en-US" w:eastAsia="zh-CN"/>
        </w:rPr>
      </w:pPr>
      <w:r>
        <w:rPr>
          <w:rFonts w:hint="eastAsia" w:ascii="宋体" w:hAnsi="宋体" w:cs="宋体"/>
          <w:b/>
          <w:bCs/>
          <w:color w:val="FF0000"/>
          <w:kern w:val="0"/>
          <w:sz w:val="24"/>
          <w:szCs w:val="24"/>
          <w:highlight w:val="none"/>
          <w:u w:val="none"/>
          <w:lang w:val="en-US" w:eastAsia="zh-CN" w:bidi="ar-SA"/>
        </w:rPr>
        <w:t>本项目属于零售业</w:t>
      </w:r>
    </w:p>
    <w:p>
      <w:pPr>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sz w:val="24"/>
          <w:szCs w:val="24"/>
          <w:highlight w:val="none"/>
          <w:lang w:val="en-US" w:eastAsia="zh-CN"/>
        </w:rPr>
        <w:t>注：潜在投标企业属于中小微企业的，请在投标文件中提供“中小企业声明函”，如果未提供或提供虚假的“中小企业声明函”，投标企业将承担由此造成的一切不利后果。</w:t>
      </w:r>
    </w:p>
    <w:p>
      <w:pPr>
        <w:widowControl w:val="0"/>
        <w:snapToGrid w:val="0"/>
        <w:jc w:val="left"/>
        <w:rPr>
          <w:rFonts w:hint="eastAsia" w:ascii="宋体" w:hAnsi="宋体" w:eastAsia="宋体" w:cs="宋体"/>
          <w:b/>
          <w:bCs/>
          <w:color w:val="auto"/>
          <w:kern w:val="0"/>
          <w:sz w:val="21"/>
          <w:szCs w:val="21"/>
          <w:highlight w:val="none"/>
          <w:lang w:val="en-US" w:eastAsia="zh-CN" w:bidi="ar-SA"/>
        </w:rPr>
      </w:pPr>
    </w:p>
    <w:p>
      <w:pPr>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br w:type="page"/>
      </w:r>
    </w:p>
    <w:p>
      <w:pPr>
        <w:jc w:val="left"/>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附：</w:t>
      </w:r>
    </w:p>
    <w:p>
      <w:pPr>
        <w:jc w:val="center"/>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中小微企业划型标准</w:t>
      </w:r>
    </w:p>
    <w:tbl>
      <w:tblPr>
        <w:tblStyle w:val="27"/>
        <w:tblW w:w="9378" w:type="dxa"/>
        <w:jc w:val="center"/>
        <w:tblLayout w:type="fixed"/>
        <w:tblCellMar>
          <w:top w:w="0" w:type="dxa"/>
          <w:left w:w="108" w:type="dxa"/>
          <w:bottom w:w="0" w:type="dxa"/>
          <w:right w:w="108" w:type="dxa"/>
        </w:tblCellMar>
      </w:tblPr>
      <w:tblGrid>
        <w:gridCol w:w="1570"/>
        <w:gridCol w:w="1660"/>
        <w:gridCol w:w="1466"/>
        <w:gridCol w:w="1903"/>
        <w:gridCol w:w="1692"/>
        <w:gridCol w:w="1087"/>
      </w:tblGrid>
      <w:tr>
        <w:tblPrEx>
          <w:tblCellMar>
            <w:top w:w="0" w:type="dxa"/>
            <w:left w:w="108" w:type="dxa"/>
            <w:bottom w:w="0" w:type="dxa"/>
            <w:right w:w="108" w:type="dxa"/>
          </w:tblCellMar>
        </w:tblPrEx>
        <w:trPr>
          <w:trHeight w:val="451" w:hRule="atLeast"/>
          <w:jc w:val="center"/>
        </w:trPr>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行业名称</w:t>
            </w:r>
          </w:p>
        </w:tc>
        <w:tc>
          <w:tcPr>
            <w:tcW w:w="1660" w:type="dxa"/>
            <w:tcBorders>
              <w:top w:val="single" w:color="auto" w:sz="4" w:space="0"/>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指标名称</w:t>
            </w:r>
          </w:p>
        </w:tc>
        <w:tc>
          <w:tcPr>
            <w:tcW w:w="1466" w:type="dxa"/>
            <w:tcBorders>
              <w:top w:val="single" w:color="auto" w:sz="4" w:space="0"/>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计量单位</w:t>
            </w:r>
          </w:p>
        </w:tc>
        <w:tc>
          <w:tcPr>
            <w:tcW w:w="1903" w:type="dxa"/>
            <w:tcBorders>
              <w:top w:val="single" w:color="auto" w:sz="4" w:space="0"/>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中型</w:t>
            </w:r>
          </w:p>
        </w:tc>
        <w:tc>
          <w:tcPr>
            <w:tcW w:w="1692" w:type="dxa"/>
            <w:tcBorders>
              <w:top w:val="single" w:color="auto" w:sz="4" w:space="0"/>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小型</w:t>
            </w:r>
          </w:p>
        </w:tc>
        <w:tc>
          <w:tcPr>
            <w:tcW w:w="1087" w:type="dxa"/>
            <w:tcBorders>
              <w:top w:val="single" w:color="auto" w:sz="4" w:space="0"/>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微型</w:t>
            </w:r>
          </w:p>
        </w:tc>
      </w:tr>
      <w:tr>
        <w:tblPrEx>
          <w:tblCellMar>
            <w:top w:w="0" w:type="dxa"/>
            <w:left w:w="108" w:type="dxa"/>
            <w:bottom w:w="0" w:type="dxa"/>
            <w:right w:w="108" w:type="dxa"/>
          </w:tblCellMar>
        </w:tblPrEx>
        <w:trPr>
          <w:trHeight w:val="199" w:hRule="atLeast"/>
          <w:jc w:val="center"/>
        </w:trPr>
        <w:tc>
          <w:tcPr>
            <w:tcW w:w="1570" w:type="dxa"/>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农、林、牧、渔</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500≤Y＜20000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50≤Y＜500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Y＜50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工业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300≤X＜1000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20≤X＜300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X＜20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2000≤Y＜40000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300≤Y＜2000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Y＜300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建筑业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6000≤Y＜80000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300≤Y＜6000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Y＜300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资产总额（Z）</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5000≤Z＜80000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300≤Z＜5000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Z＜300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批发业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20≤X＜200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5≤X＜20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X＜5</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5000≤Y＜40000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1000≤Y＜5000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Y＜1000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color w:val="FF0000"/>
                <w:kern w:val="0"/>
                <w:sz w:val="24"/>
                <w:szCs w:val="24"/>
                <w:highlight w:val="none"/>
              </w:rPr>
            </w:pPr>
            <w:r>
              <w:rPr>
                <w:rFonts w:hint="eastAsia" w:ascii="宋体" w:hAnsi="宋体" w:eastAsia="宋体" w:cs="宋体"/>
                <w:b/>
                <w:bCs/>
                <w:color w:val="FF0000"/>
                <w:kern w:val="0"/>
                <w:sz w:val="24"/>
                <w:szCs w:val="24"/>
                <w:highlight w:val="none"/>
              </w:rPr>
              <w:t>零售业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FF0000"/>
                <w:kern w:val="0"/>
                <w:sz w:val="24"/>
                <w:szCs w:val="24"/>
                <w:highlight w:val="none"/>
              </w:rPr>
            </w:pPr>
            <w:r>
              <w:rPr>
                <w:rFonts w:hint="eastAsia" w:ascii="宋体" w:hAnsi="宋体" w:eastAsia="宋体" w:cs="宋体"/>
                <w:color w:val="FF0000"/>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FF0000"/>
                <w:kern w:val="0"/>
                <w:sz w:val="24"/>
                <w:szCs w:val="24"/>
                <w:highlight w:val="none"/>
              </w:rPr>
            </w:pPr>
            <w:r>
              <w:rPr>
                <w:rFonts w:hint="eastAsia" w:ascii="宋体" w:hAnsi="宋体" w:eastAsia="宋体" w:cs="宋体"/>
                <w:color w:val="FF0000"/>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FF0000"/>
                <w:kern w:val="0"/>
                <w:sz w:val="24"/>
                <w:szCs w:val="24"/>
                <w:highlight w:val="none"/>
              </w:rPr>
            </w:pPr>
            <w:r>
              <w:rPr>
                <w:rFonts w:hint="eastAsia" w:ascii="宋体" w:hAnsi="宋体" w:eastAsia="宋体" w:cs="宋体"/>
                <w:color w:val="FF0000"/>
                <w:kern w:val="0"/>
                <w:sz w:val="24"/>
                <w:szCs w:val="24"/>
                <w:highlight w:val="none"/>
              </w:rPr>
              <w:t>50≤X＜300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FF0000"/>
                <w:kern w:val="0"/>
                <w:sz w:val="24"/>
                <w:szCs w:val="24"/>
                <w:highlight w:val="none"/>
              </w:rPr>
            </w:pPr>
            <w:r>
              <w:rPr>
                <w:rFonts w:hint="eastAsia" w:ascii="宋体" w:hAnsi="宋体" w:eastAsia="宋体" w:cs="宋体"/>
                <w:color w:val="FF0000"/>
                <w:kern w:val="0"/>
                <w:sz w:val="24"/>
                <w:szCs w:val="24"/>
                <w:highlight w:val="none"/>
              </w:rPr>
              <w:t>10≤X＜50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FF0000"/>
                <w:kern w:val="0"/>
                <w:sz w:val="24"/>
                <w:szCs w:val="24"/>
                <w:highlight w:val="none"/>
              </w:rPr>
            </w:pPr>
            <w:r>
              <w:rPr>
                <w:rFonts w:hint="eastAsia" w:ascii="宋体" w:hAnsi="宋体" w:eastAsia="宋体" w:cs="宋体"/>
                <w:color w:val="FF0000"/>
                <w:kern w:val="0"/>
                <w:sz w:val="24"/>
                <w:szCs w:val="24"/>
                <w:highlight w:val="none"/>
              </w:rPr>
              <w:t>X＜10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color w:val="FF0000"/>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FF0000"/>
                <w:kern w:val="0"/>
                <w:sz w:val="24"/>
                <w:szCs w:val="24"/>
                <w:highlight w:val="none"/>
              </w:rPr>
            </w:pPr>
            <w:r>
              <w:rPr>
                <w:rFonts w:hint="eastAsia" w:ascii="宋体" w:hAnsi="宋体" w:eastAsia="宋体" w:cs="宋体"/>
                <w:color w:val="FF0000"/>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FF0000"/>
                <w:kern w:val="0"/>
                <w:sz w:val="24"/>
                <w:szCs w:val="24"/>
                <w:highlight w:val="none"/>
              </w:rPr>
            </w:pPr>
            <w:r>
              <w:rPr>
                <w:rFonts w:hint="eastAsia" w:ascii="宋体" w:hAnsi="宋体" w:eastAsia="宋体" w:cs="宋体"/>
                <w:color w:val="FF0000"/>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FF0000"/>
                <w:kern w:val="0"/>
                <w:sz w:val="24"/>
                <w:szCs w:val="24"/>
                <w:highlight w:val="none"/>
              </w:rPr>
            </w:pPr>
            <w:r>
              <w:rPr>
                <w:rFonts w:hint="eastAsia" w:ascii="宋体" w:hAnsi="宋体" w:eastAsia="宋体" w:cs="宋体"/>
                <w:color w:val="FF0000"/>
                <w:kern w:val="0"/>
                <w:sz w:val="24"/>
                <w:szCs w:val="24"/>
                <w:highlight w:val="none"/>
              </w:rPr>
              <w:t>500≤Y＜20000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FF0000"/>
                <w:kern w:val="0"/>
                <w:sz w:val="24"/>
                <w:szCs w:val="24"/>
                <w:highlight w:val="none"/>
              </w:rPr>
            </w:pPr>
            <w:r>
              <w:rPr>
                <w:rFonts w:hint="eastAsia" w:ascii="宋体" w:hAnsi="宋体" w:eastAsia="宋体" w:cs="宋体"/>
                <w:color w:val="FF0000"/>
                <w:kern w:val="0"/>
                <w:sz w:val="24"/>
                <w:szCs w:val="24"/>
                <w:highlight w:val="none"/>
              </w:rPr>
              <w:t>100≤Y＜500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FF0000"/>
                <w:kern w:val="0"/>
                <w:sz w:val="24"/>
                <w:szCs w:val="24"/>
                <w:highlight w:val="none"/>
              </w:rPr>
            </w:pPr>
            <w:r>
              <w:rPr>
                <w:rFonts w:hint="eastAsia" w:ascii="宋体" w:hAnsi="宋体" w:eastAsia="宋体" w:cs="宋体"/>
                <w:color w:val="FF0000"/>
                <w:kern w:val="0"/>
                <w:sz w:val="24"/>
                <w:szCs w:val="24"/>
                <w:highlight w:val="none"/>
              </w:rPr>
              <w:t>Y＜100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交通运输业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300≤X＜1000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20≤X＜300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X＜20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3000≤Y＜30000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200≤Y＜3000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Y＜200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仓储业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100≤X＜200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20≤X＜100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X＜20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1000≤Y＜30000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100≤Y＜1000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Y＜100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邮政业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300≤X＜1000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20≤X＜300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X＜20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2000≤Y＜30000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100≤Y＜2000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Y＜100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住宿业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100≤X＜300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10≤X＜100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X＜10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2000≤Y＜10000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100≤Y＜2000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Y＜100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餐饮业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100≤X＜300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10≤X＜100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X＜10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2000≤Y＜10000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100≤Y＜2000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Y＜100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信息传输业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100≤X＜2000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10≤X＜100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X＜10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color w:val="auto"/>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1000≤Y＜100000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100≤Y＜1000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Y＜100</w:t>
            </w:r>
          </w:p>
        </w:tc>
      </w:tr>
      <w:tr>
        <w:tblPrEx>
          <w:tblCellMar>
            <w:top w:w="0" w:type="dxa"/>
            <w:left w:w="108" w:type="dxa"/>
            <w:bottom w:w="0" w:type="dxa"/>
            <w:right w:w="108" w:type="dxa"/>
          </w:tblCellMar>
        </w:tblPrEx>
        <w:trPr>
          <w:trHeight w:val="394"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软件和信息技术服务业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100≤X＜300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10≤X＜100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X＜10</w:t>
            </w:r>
          </w:p>
        </w:tc>
      </w:tr>
      <w:tr>
        <w:tblPrEx>
          <w:tblCellMar>
            <w:top w:w="0" w:type="dxa"/>
            <w:left w:w="108" w:type="dxa"/>
            <w:bottom w:w="0" w:type="dxa"/>
            <w:right w:w="108" w:type="dxa"/>
          </w:tblCellMar>
        </w:tblPrEx>
        <w:trPr>
          <w:trHeight w:val="377"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1000≤Y＜10000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50≤Y＜1000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Y＜50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房地产开发经营</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1000≤Y＜200000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100≤X＜1000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X＜100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资产总额（Z）</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5000≤Z＜10000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2000≤Y＜5000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Y＜2000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物业管理</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300≤X＜1000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100≤X＜300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X＜100</w:t>
            </w:r>
          </w:p>
        </w:tc>
      </w:tr>
      <w:tr>
        <w:tblPrEx>
          <w:tblCellMar>
            <w:top w:w="0" w:type="dxa"/>
            <w:left w:w="108" w:type="dxa"/>
            <w:bottom w:w="0" w:type="dxa"/>
            <w:right w:w="108" w:type="dxa"/>
          </w:tblCellMar>
        </w:tblPrEx>
        <w:trPr>
          <w:trHeight w:val="90"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1000≤Y＜5000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500≤Y＜1000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Y＜500</w:t>
            </w:r>
          </w:p>
        </w:tc>
      </w:tr>
      <w:tr>
        <w:tblPrEx>
          <w:tblCellMar>
            <w:top w:w="0" w:type="dxa"/>
            <w:left w:w="108" w:type="dxa"/>
            <w:bottom w:w="0" w:type="dxa"/>
            <w:right w:w="108" w:type="dxa"/>
          </w:tblCellMar>
        </w:tblPrEx>
        <w:trPr>
          <w:trHeight w:val="242"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租赁和商务服务业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100≤X＜300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10≤X＜100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X＜10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资产总额（Z）</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8000≤Z＜120000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100≤Z＜8000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Y＜100</w:t>
            </w:r>
          </w:p>
        </w:tc>
      </w:tr>
      <w:tr>
        <w:tblPrEx>
          <w:tblCellMar>
            <w:top w:w="0" w:type="dxa"/>
            <w:left w:w="108" w:type="dxa"/>
            <w:bottom w:w="0" w:type="dxa"/>
            <w:right w:w="108" w:type="dxa"/>
          </w:tblCellMar>
        </w:tblPrEx>
        <w:trPr>
          <w:trHeight w:val="199" w:hRule="atLeast"/>
          <w:jc w:val="center"/>
        </w:trPr>
        <w:tc>
          <w:tcPr>
            <w:tcW w:w="1570" w:type="dxa"/>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其他未列明行业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100≤X＜300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10≤X＜100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X＜10</w:t>
            </w:r>
          </w:p>
        </w:tc>
      </w:tr>
    </w:tbl>
    <w:p>
      <w:pPr>
        <w:spacing w:line="360" w:lineRule="auto"/>
        <w:rPr>
          <w:rFonts w:hint="eastAsia" w:ascii="宋体" w:hAnsi="宋体" w:eastAsia="宋体" w:cs="宋体"/>
          <w:sz w:val="24"/>
          <w:szCs w:val="24"/>
          <w:highlight w:val="none"/>
        </w:rPr>
      </w:pPr>
    </w:p>
    <w:p>
      <w:pPr>
        <w:snapToGrid w:val="0"/>
        <w:spacing w:line="336" w:lineRule="auto"/>
        <w:ind w:firstLine="482" w:firstLineChars="200"/>
        <w:contextualSpacing/>
        <w:jc w:val="left"/>
        <w:rPr>
          <w:rFonts w:hint="eastAsia" w:ascii="宋体" w:hAnsi="宋体" w:eastAsia="宋体" w:cs="宋体"/>
          <w:sz w:val="24"/>
          <w:szCs w:val="24"/>
          <w:highlight w:val="none"/>
        </w:rPr>
      </w:pPr>
      <w:r>
        <w:rPr>
          <w:rFonts w:hint="eastAsia" w:ascii="宋体" w:hAnsi="宋体" w:eastAsia="宋体" w:cs="宋体"/>
          <w:b/>
          <w:sz w:val="24"/>
          <w:szCs w:val="24"/>
          <w:highlight w:val="none"/>
        </w:rPr>
        <w:t>说明：</w:t>
      </w:r>
      <w:r>
        <w:rPr>
          <w:rFonts w:hint="eastAsia" w:ascii="宋体" w:hAnsi="宋体" w:eastAsia="宋体" w:cs="宋体"/>
          <w:sz w:val="24"/>
          <w:szCs w:val="24"/>
          <w:highlight w:val="none"/>
        </w:rPr>
        <w:t>上述标准参照《关于印发中小企业划型标准规定的通知》（工信部联企业[2011]300号），大型、中型和小型企业须同时满足所列指标的下限，否则下划一档；微型企业只须满足所列指标中的一项即可。</w:t>
      </w:r>
    </w:p>
    <w:p>
      <w:pPr>
        <w:snapToGrid w:val="0"/>
        <w:spacing w:line="336" w:lineRule="auto"/>
        <w:ind w:firstLine="480" w:firstLineChars="200"/>
        <w:contextualSpacing/>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本</w:t>
      </w:r>
      <w:r>
        <w:rPr>
          <w:rFonts w:hint="eastAsia" w:ascii="宋体" w:hAnsi="宋体" w:eastAsia="宋体" w:cs="宋体"/>
          <w:sz w:val="24"/>
          <w:szCs w:val="24"/>
          <w:highlight w:val="none"/>
          <w:lang w:eastAsia="zh-CN"/>
        </w:rPr>
        <w:t>招标文件</w:t>
      </w:r>
      <w:r>
        <w:rPr>
          <w:rFonts w:hint="eastAsia" w:ascii="宋体" w:hAnsi="宋体" w:eastAsia="宋体" w:cs="宋体"/>
          <w:sz w:val="24"/>
          <w:szCs w:val="24"/>
          <w:highlight w:val="none"/>
        </w:rPr>
        <w:t>所称中小企业，是指在中华人民共和国境内依法设立，依据国务院批准的</w:t>
      </w:r>
    </w:p>
    <w:p>
      <w:pPr>
        <w:snapToGrid w:val="0"/>
        <w:spacing w:line="336" w:lineRule="auto"/>
        <w:ind w:firstLine="480" w:firstLineChars="200"/>
        <w:contextualSpacing/>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w:t>
      </w:r>
      <w:r>
        <w:rPr>
          <w:rFonts w:hint="eastAsia" w:ascii="宋体" w:hAnsi="宋体" w:eastAsia="宋体" w:cs="宋体"/>
          <w:sz w:val="24"/>
          <w:szCs w:val="24"/>
          <w:highlight w:val="none"/>
          <w:lang w:eastAsia="zh-CN"/>
        </w:rPr>
        <w:t>招标文件</w:t>
      </w:r>
      <w:r>
        <w:rPr>
          <w:rFonts w:hint="eastAsia" w:ascii="宋体" w:hAnsi="宋体" w:eastAsia="宋体" w:cs="宋体"/>
          <w:sz w:val="24"/>
          <w:szCs w:val="24"/>
          <w:highlight w:val="none"/>
        </w:rPr>
        <w:t>规定的中小企业扶持政策：</w:t>
      </w:r>
    </w:p>
    <w:p>
      <w:pPr>
        <w:snapToGrid w:val="0"/>
        <w:spacing w:line="336" w:lineRule="auto"/>
        <w:ind w:firstLine="480" w:firstLineChars="200"/>
        <w:contextualSpacing/>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（1）在货物采购项目中，货物由中小企业制造，即货物由中小企业生产且使用该中小企业商号或者注册商标，不对其中涉及的工程承建商和服务的承接商作出要求；</w:t>
      </w:r>
    </w:p>
    <w:p>
      <w:pPr>
        <w:snapToGrid w:val="0"/>
        <w:spacing w:line="336" w:lineRule="auto"/>
        <w:ind w:firstLine="480" w:firstLineChars="200"/>
        <w:contextualSpacing/>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（2）在工程采购项目中，工程由中小企业承建，即工程施工单位为中小企业，不对其中涉及的货物的制造商和服务的承接商作出要求；</w:t>
      </w:r>
    </w:p>
    <w:p>
      <w:pPr>
        <w:snapToGrid w:val="0"/>
        <w:spacing w:line="336" w:lineRule="auto"/>
        <w:ind w:firstLine="480" w:firstLineChars="200"/>
        <w:contextualSpacing/>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（3）在服务采购项目中，服务由中小企业承接，即提供服务的人员为中小企业依照《中华人民共和国劳动合同法》订立劳动合同的从业人员，不对其中涉及的货物的制造商和工程承建商作出要求。</w:t>
      </w:r>
    </w:p>
    <w:p>
      <w:pPr>
        <w:snapToGrid w:val="0"/>
        <w:spacing w:line="336" w:lineRule="auto"/>
        <w:ind w:firstLine="480" w:firstLineChars="200"/>
        <w:contextualSpacing/>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在货物采购项目中，供应商提供的货物既有中小企业制造货物，也有大型企业制造货物的，不享受本</w:t>
      </w:r>
      <w:r>
        <w:rPr>
          <w:rFonts w:hint="eastAsia" w:ascii="宋体" w:hAnsi="宋体" w:eastAsia="宋体" w:cs="宋体"/>
          <w:sz w:val="24"/>
          <w:szCs w:val="24"/>
          <w:highlight w:val="none"/>
          <w:lang w:eastAsia="zh-CN"/>
        </w:rPr>
        <w:t>招标文件</w:t>
      </w:r>
      <w:r>
        <w:rPr>
          <w:rFonts w:hint="eastAsia" w:ascii="宋体" w:hAnsi="宋体" w:eastAsia="宋体" w:cs="宋体"/>
          <w:sz w:val="24"/>
          <w:szCs w:val="24"/>
          <w:highlight w:val="none"/>
        </w:rPr>
        <w:t>规定的中小企业扶持政策。以联合体形式参加政府采购活动，联合体各方均为中小企业的，联合体视同中小企业。其中，联合体各方均为小微企业的，联合体视同小微企业。</w:t>
      </w:r>
    </w:p>
    <w:p>
      <w:pPr>
        <w:snapToGrid w:val="0"/>
        <w:spacing w:line="336" w:lineRule="auto"/>
        <w:ind w:firstLine="480" w:firstLineChars="200"/>
        <w:contextualSpacing/>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依据本</w:t>
      </w:r>
      <w:r>
        <w:rPr>
          <w:rFonts w:hint="eastAsia" w:ascii="宋体" w:hAnsi="宋体" w:eastAsia="宋体" w:cs="宋体"/>
          <w:sz w:val="24"/>
          <w:szCs w:val="24"/>
          <w:highlight w:val="none"/>
          <w:lang w:eastAsia="zh-CN"/>
        </w:rPr>
        <w:t>招标文件</w:t>
      </w:r>
      <w:r>
        <w:rPr>
          <w:rFonts w:hint="eastAsia" w:ascii="宋体" w:hAnsi="宋体" w:eastAsia="宋体" w:cs="宋体"/>
          <w:sz w:val="24"/>
          <w:szCs w:val="24"/>
          <w:highlight w:val="none"/>
        </w:rPr>
        <w:t>规定享受扶持政策获得政府采购合同的，小微企业不得将合同分包给大中型企业，中型企业不得将合同分包给大型企业。</w:t>
      </w:r>
    </w:p>
    <w:p>
      <w:pPr>
        <w:rPr>
          <w:rFonts w:hint="eastAsia" w:ascii="宋体" w:hAnsi="宋体" w:eastAsia="宋体" w:cs="宋体"/>
          <w:highlight w:val="none"/>
        </w:rPr>
      </w:pPr>
    </w:p>
    <w:p>
      <w:pP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br w:type="page"/>
      </w:r>
    </w:p>
    <w:p>
      <w:pPr>
        <w:pStyle w:val="8"/>
        <w:keepNext/>
        <w:keepLines/>
        <w:pageBreakBefore w:val="0"/>
        <w:widowControl w:val="0"/>
        <w:kinsoku/>
        <w:wordWrap/>
        <w:overflowPunct/>
        <w:topLinePunct w:val="0"/>
        <w:autoSpaceDE w:val="0"/>
        <w:autoSpaceDN w:val="0"/>
        <w:bidi w:val="0"/>
        <w:adjustRightInd w:val="0"/>
        <w:snapToGrid/>
        <w:spacing w:before="0" w:line="400" w:lineRule="exact"/>
        <w:jc w:val="center"/>
        <w:textAlignment w:val="auto"/>
        <w:outlineLvl w:val="2"/>
        <w:rPr>
          <w:rFonts w:hint="eastAsia" w:ascii="宋体" w:hAnsi="宋体" w:eastAsia="宋体" w:cs="宋体"/>
          <w:b/>
          <w:bCs/>
          <w:color w:val="auto"/>
          <w:sz w:val="24"/>
          <w:szCs w:val="24"/>
          <w:highlight w:val="none"/>
          <w:u w:val="none"/>
          <w:lang w:val="en-US" w:eastAsia="zh-CN"/>
        </w:rPr>
      </w:pPr>
      <w:bookmarkStart w:id="1516" w:name="_Toc3432"/>
      <w:r>
        <w:rPr>
          <w:rFonts w:hint="eastAsia" w:hAnsi="宋体" w:cs="宋体"/>
          <w:b/>
          <w:bCs/>
          <w:color w:val="auto"/>
          <w:sz w:val="24"/>
          <w:szCs w:val="24"/>
          <w:highlight w:val="none"/>
          <w:u w:val="none"/>
          <w:lang w:val="en-US" w:eastAsia="zh-CN"/>
        </w:rPr>
        <w:t>5</w:t>
      </w:r>
      <w:r>
        <w:rPr>
          <w:rFonts w:hint="eastAsia" w:ascii="宋体" w:hAnsi="宋体" w:eastAsia="宋体" w:cs="宋体"/>
          <w:b/>
          <w:bCs/>
          <w:color w:val="auto"/>
          <w:sz w:val="24"/>
          <w:szCs w:val="24"/>
          <w:highlight w:val="none"/>
          <w:u w:val="none"/>
          <w:lang w:val="en-US" w:eastAsia="zh-CN"/>
        </w:rPr>
        <w:t>-2 残疾人福利性单位声明函</w:t>
      </w:r>
      <w:bookmarkEnd w:id="1516"/>
    </w:p>
    <w:p>
      <w:pPr>
        <w:spacing w:line="400" w:lineRule="exact"/>
        <w:ind w:left="1080" w:leftChars="257" w:hanging="540"/>
        <w:jc w:val="center"/>
        <w:rPr>
          <w:rFonts w:hint="eastAsia" w:ascii="宋体" w:hAnsi="宋体" w:eastAsia="宋体" w:cs="宋体"/>
          <w:color w:val="auto"/>
          <w:kern w:val="0"/>
          <w:sz w:val="24"/>
          <w:highlight w:val="none"/>
        </w:rPr>
      </w:pPr>
    </w:p>
    <w:p>
      <w:pPr>
        <w:spacing w:line="400" w:lineRule="exact"/>
        <w:ind w:firstLine="567"/>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w:t>
      </w:r>
      <w:r>
        <w:rPr>
          <w:rFonts w:hint="eastAsia" w:ascii="宋体" w:hAnsi="宋体" w:eastAsia="宋体" w:cs="宋体"/>
          <w:color w:val="auto"/>
          <w:kern w:val="0"/>
          <w:sz w:val="24"/>
          <w:highlight w:val="none"/>
          <w:lang w:val="en-US" w:eastAsia="zh-CN"/>
        </w:rPr>
        <w:t>单位货物</w:t>
      </w:r>
      <w:r>
        <w:rPr>
          <w:rFonts w:hint="eastAsia" w:ascii="宋体" w:hAnsi="宋体" w:eastAsia="宋体" w:cs="宋体"/>
          <w:color w:val="auto"/>
          <w:kern w:val="0"/>
          <w:sz w:val="24"/>
          <w:highlight w:val="none"/>
        </w:rPr>
        <w:t>，或者提供其他残疾人福利性单位</w:t>
      </w:r>
      <w:r>
        <w:rPr>
          <w:rFonts w:hint="eastAsia" w:ascii="宋体" w:hAnsi="宋体" w:eastAsia="宋体" w:cs="宋体"/>
          <w:color w:val="auto"/>
          <w:kern w:val="0"/>
          <w:sz w:val="24"/>
          <w:highlight w:val="none"/>
          <w:lang w:val="en-US" w:eastAsia="zh-CN"/>
        </w:rPr>
        <w:t>服务</w:t>
      </w:r>
      <w:r>
        <w:rPr>
          <w:rFonts w:hint="eastAsia" w:ascii="宋体" w:hAnsi="宋体" w:eastAsia="宋体" w:cs="宋体"/>
          <w:color w:val="auto"/>
          <w:kern w:val="0"/>
          <w:sz w:val="24"/>
          <w:highlight w:val="none"/>
        </w:rPr>
        <w:t>（不包括使用非残疾人福利性单位</w:t>
      </w:r>
      <w:r>
        <w:rPr>
          <w:rFonts w:hint="eastAsia" w:ascii="宋体" w:hAnsi="宋体" w:eastAsia="宋体" w:cs="宋体"/>
          <w:color w:val="auto"/>
          <w:kern w:val="0"/>
          <w:sz w:val="24"/>
          <w:highlight w:val="none"/>
          <w:lang w:val="en-US" w:eastAsia="zh-CN"/>
        </w:rPr>
        <w:t>服务</w:t>
      </w:r>
      <w:r>
        <w:rPr>
          <w:rFonts w:hint="eastAsia" w:ascii="宋体" w:hAnsi="宋体" w:eastAsia="宋体" w:cs="宋体"/>
          <w:color w:val="auto"/>
          <w:kern w:val="0"/>
          <w:sz w:val="24"/>
          <w:highlight w:val="none"/>
        </w:rPr>
        <w:t>）。</w:t>
      </w:r>
    </w:p>
    <w:p>
      <w:pPr>
        <w:spacing w:line="400" w:lineRule="exact"/>
        <w:ind w:left="1080" w:leftChars="257" w:hanging="54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本单位对上述声明的真实性负责。如有虚假，将依法承担相应责任。</w:t>
      </w:r>
    </w:p>
    <w:p>
      <w:pPr>
        <w:spacing w:line="400" w:lineRule="exact"/>
        <w:ind w:left="1080" w:leftChars="257" w:hanging="54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残疾人福利性单位名称（公章）：</w:t>
      </w:r>
    </w:p>
    <w:p>
      <w:pPr>
        <w:spacing w:line="400" w:lineRule="exact"/>
        <w:ind w:left="1080" w:leftChars="257" w:hanging="540"/>
        <w:jc w:val="center"/>
        <w:rPr>
          <w:rFonts w:hint="eastAsia" w:ascii="宋体" w:hAnsi="宋体" w:eastAsia="宋体" w:cs="宋体"/>
          <w:b/>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u w:val="single" w:color="FFFFFF"/>
        </w:rPr>
        <w:t xml:space="preserve">       </w:t>
      </w:r>
      <w:r>
        <w:rPr>
          <w:rFonts w:hint="eastAsia" w:ascii="宋体" w:hAnsi="宋体" w:eastAsia="宋体" w:cs="宋体"/>
          <w:color w:val="auto"/>
          <w:kern w:val="0"/>
          <w:sz w:val="24"/>
          <w:highlight w:val="none"/>
        </w:rPr>
        <w:t>日  期：</w:t>
      </w:r>
    </w:p>
    <w:p>
      <w:pPr>
        <w:pStyle w:val="2"/>
        <w:spacing w:line="400" w:lineRule="exact"/>
        <w:ind w:firstLine="480"/>
        <w:rPr>
          <w:rFonts w:hint="eastAsia" w:ascii="宋体" w:hAnsi="宋体" w:eastAsia="宋体" w:cs="宋体"/>
          <w:color w:val="auto"/>
          <w:highlight w:val="none"/>
        </w:rPr>
      </w:pPr>
    </w:p>
    <w:p>
      <w:pPr>
        <w:pStyle w:val="2"/>
        <w:spacing w:line="400" w:lineRule="exact"/>
        <w:ind w:firstLine="480"/>
        <w:rPr>
          <w:rFonts w:hint="eastAsia" w:ascii="宋体" w:hAnsi="宋体" w:eastAsia="宋体" w:cs="宋体"/>
          <w:color w:val="auto"/>
          <w:highlight w:val="none"/>
        </w:rPr>
      </w:pPr>
    </w:p>
    <w:p>
      <w:pPr>
        <w:pStyle w:val="4"/>
        <w:rPr>
          <w:rFonts w:hint="eastAsia" w:ascii="宋体" w:hAnsi="宋体" w:eastAsia="宋体" w:cs="宋体"/>
          <w:color w:val="auto"/>
          <w:highlight w:val="none"/>
        </w:rPr>
      </w:pPr>
    </w:p>
    <w:p>
      <w:pPr>
        <w:pStyle w:val="5"/>
        <w:rPr>
          <w:rFonts w:hint="eastAsia" w:ascii="宋体" w:hAnsi="宋体" w:eastAsia="宋体" w:cs="宋体"/>
          <w:color w:val="auto"/>
          <w:highlight w:val="none"/>
        </w:rPr>
      </w:pPr>
    </w:p>
    <w:p>
      <w:pPr>
        <w:rPr>
          <w:rFonts w:hint="eastAsia" w:ascii="宋体" w:hAnsi="宋体" w:eastAsia="宋体" w:cs="宋体"/>
          <w:highlight w:val="none"/>
        </w:rPr>
      </w:pPr>
    </w:p>
    <w:p>
      <w:pPr>
        <w:pStyle w:val="5"/>
        <w:rPr>
          <w:rFonts w:hint="eastAsia" w:ascii="宋体" w:hAnsi="宋体" w:eastAsia="宋体" w:cs="宋体"/>
          <w:color w:val="auto"/>
          <w:highlight w:val="none"/>
        </w:rPr>
      </w:pPr>
    </w:p>
    <w:p>
      <w:pPr>
        <w:rPr>
          <w:rFonts w:hint="eastAsia" w:ascii="宋体" w:hAnsi="宋体" w:eastAsia="宋体" w:cs="宋体"/>
          <w:highlight w:val="none"/>
        </w:rPr>
      </w:pPr>
    </w:p>
    <w:p>
      <w:pPr>
        <w:pStyle w:val="8"/>
        <w:keepNext/>
        <w:keepLines/>
        <w:pageBreakBefore w:val="0"/>
        <w:widowControl w:val="0"/>
        <w:kinsoku/>
        <w:wordWrap/>
        <w:overflowPunct/>
        <w:topLinePunct w:val="0"/>
        <w:autoSpaceDE w:val="0"/>
        <w:autoSpaceDN w:val="0"/>
        <w:bidi w:val="0"/>
        <w:adjustRightInd w:val="0"/>
        <w:snapToGrid/>
        <w:spacing w:before="0" w:line="400" w:lineRule="exact"/>
        <w:jc w:val="center"/>
        <w:textAlignment w:val="auto"/>
        <w:outlineLvl w:val="2"/>
        <w:rPr>
          <w:rFonts w:hint="eastAsia" w:ascii="宋体" w:hAnsi="宋体" w:eastAsia="宋体" w:cs="宋体"/>
          <w:b/>
          <w:bCs/>
          <w:color w:val="auto"/>
          <w:sz w:val="24"/>
          <w:szCs w:val="24"/>
          <w:highlight w:val="none"/>
          <w:u w:val="none"/>
          <w:lang w:val="en-US" w:eastAsia="zh-CN"/>
        </w:rPr>
      </w:pPr>
      <w:bookmarkStart w:id="1517" w:name="_Toc2179"/>
      <w:r>
        <w:rPr>
          <w:rFonts w:hint="eastAsia" w:hAnsi="宋体" w:cs="宋体"/>
          <w:b/>
          <w:bCs/>
          <w:color w:val="auto"/>
          <w:sz w:val="24"/>
          <w:szCs w:val="24"/>
          <w:highlight w:val="none"/>
          <w:u w:val="none"/>
          <w:lang w:val="en-US" w:eastAsia="zh-CN"/>
        </w:rPr>
        <w:t>6</w:t>
      </w:r>
      <w:r>
        <w:rPr>
          <w:rFonts w:hint="eastAsia" w:ascii="宋体" w:hAnsi="宋体" w:eastAsia="宋体" w:cs="宋体"/>
          <w:b/>
          <w:bCs/>
          <w:color w:val="auto"/>
          <w:sz w:val="24"/>
          <w:szCs w:val="24"/>
          <w:highlight w:val="none"/>
          <w:u w:val="none"/>
          <w:lang w:val="en-US" w:eastAsia="zh-CN"/>
        </w:rPr>
        <w:t>.供应商关联单位的说明（格式自拟）</w:t>
      </w:r>
      <w:bookmarkEnd w:id="1517"/>
    </w:p>
    <w:p>
      <w:pPr>
        <w:pStyle w:val="4"/>
        <w:spacing w:line="400" w:lineRule="exact"/>
        <w:jc w:val="center"/>
        <w:rPr>
          <w:rFonts w:hint="eastAsia" w:ascii="宋体" w:hAnsi="宋体" w:eastAsia="宋体" w:cs="宋体"/>
          <w:color w:val="auto"/>
          <w:szCs w:val="24"/>
          <w:highlight w:val="none"/>
        </w:rPr>
      </w:pPr>
    </w:p>
    <w:p>
      <w:pPr>
        <w:pStyle w:val="4"/>
        <w:spacing w:line="400" w:lineRule="exact"/>
        <w:ind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说明：供应商应当如实披露与本单位存在下列关联关系的单位名称：</w:t>
      </w:r>
    </w:p>
    <w:p>
      <w:pPr>
        <w:pStyle w:val="4"/>
        <w:spacing w:line="400" w:lineRule="exact"/>
        <w:ind w:firstLine="960" w:firstLineChars="400"/>
        <w:rPr>
          <w:rFonts w:hint="eastAsia" w:ascii="宋体" w:hAnsi="宋体" w:eastAsia="宋体" w:cs="宋体"/>
          <w:color w:val="auto"/>
          <w:szCs w:val="24"/>
          <w:highlight w:val="none"/>
          <w:lang w:eastAsia="zh-CN"/>
        </w:rPr>
      </w:pPr>
      <w:r>
        <w:rPr>
          <w:rFonts w:hint="eastAsia" w:ascii="宋体" w:hAnsi="宋体" w:eastAsia="宋体" w:cs="宋体"/>
          <w:color w:val="auto"/>
          <w:szCs w:val="24"/>
          <w:highlight w:val="none"/>
        </w:rPr>
        <w:t>（1）与供应商单位负责人为同一人的其他单位；</w:t>
      </w:r>
    </w:p>
    <w:p>
      <w:pPr>
        <w:pStyle w:val="4"/>
        <w:spacing w:line="400" w:lineRule="exact"/>
        <w:ind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（2）与供应商存在直接控股、管理关系的其他单位。</w:t>
      </w:r>
    </w:p>
    <w:p>
      <w:pPr>
        <w:pStyle w:val="5"/>
        <w:rPr>
          <w:rFonts w:hint="eastAsia" w:ascii="宋体" w:hAnsi="宋体" w:eastAsia="宋体" w:cs="宋体"/>
          <w:color w:val="auto"/>
          <w:highlight w:val="none"/>
        </w:rPr>
      </w:pPr>
    </w:p>
    <w:p>
      <w:pPr>
        <w:pStyle w:val="21"/>
        <w:rPr>
          <w:rFonts w:hint="eastAsia" w:ascii="宋体" w:hAnsi="宋体" w:eastAsia="宋体" w:cs="宋体"/>
          <w:b/>
          <w:color w:val="auto"/>
          <w:kern w:val="0"/>
          <w:sz w:val="24"/>
          <w:highlight w:val="none"/>
        </w:rPr>
      </w:pPr>
    </w:p>
    <w:p>
      <w:pPr>
        <w:pStyle w:val="21"/>
        <w:rPr>
          <w:rFonts w:hint="eastAsia" w:ascii="宋体" w:hAnsi="宋体" w:eastAsia="宋体" w:cs="宋体"/>
          <w:b/>
          <w:color w:val="auto"/>
          <w:kern w:val="0"/>
          <w:sz w:val="24"/>
          <w:highlight w:val="none"/>
        </w:rPr>
      </w:pPr>
    </w:p>
    <w:p>
      <w:pPr>
        <w:pStyle w:val="21"/>
        <w:rPr>
          <w:rFonts w:hint="eastAsia" w:ascii="宋体" w:hAnsi="宋体" w:eastAsia="宋体" w:cs="宋体"/>
          <w:b/>
          <w:color w:val="auto"/>
          <w:kern w:val="0"/>
          <w:sz w:val="24"/>
          <w:highlight w:val="none"/>
        </w:rPr>
      </w:pPr>
    </w:p>
    <w:p>
      <w:pPr>
        <w:pStyle w:val="21"/>
        <w:rPr>
          <w:rFonts w:hint="eastAsia" w:ascii="宋体" w:hAnsi="宋体" w:eastAsia="宋体" w:cs="宋体"/>
          <w:b/>
          <w:color w:val="auto"/>
          <w:kern w:val="0"/>
          <w:sz w:val="24"/>
          <w:highlight w:val="none"/>
        </w:rPr>
      </w:pPr>
    </w:p>
    <w:p>
      <w:pPr>
        <w:pStyle w:val="21"/>
        <w:rPr>
          <w:rFonts w:hint="eastAsia" w:ascii="宋体" w:hAnsi="宋体" w:eastAsia="宋体" w:cs="宋体"/>
          <w:b/>
          <w:color w:val="auto"/>
          <w:kern w:val="0"/>
          <w:sz w:val="24"/>
          <w:highlight w:val="none"/>
        </w:rPr>
      </w:pPr>
    </w:p>
    <w:p>
      <w:pPr>
        <w:pStyle w:val="21"/>
        <w:rPr>
          <w:rFonts w:hint="eastAsia" w:ascii="宋体" w:hAnsi="宋体" w:eastAsia="宋体" w:cs="宋体"/>
          <w:b/>
          <w:color w:val="auto"/>
          <w:kern w:val="0"/>
          <w:sz w:val="24"/>
          <w:highlight w:val="none"/>
        </w:rPr>
      </w:pPr>
    </w:p>
    <w:p>
      <w:pPr>
        <w:pStyle w:val="8"/>
        <w:keepNext/>
        <w:keepLines/>
        <w:pageBreakBefore w:val="0"/>
        <w:widowControl w:val="0"/>
        <w:kinsoku/>
        <w:wordWrap/>
        <w:overflowPunct/>
        <w:topLinePunct w:val="0"/>
        <w:autoSpaceDE w:val="0"/>
        <w:autoSpaceDN w:val="0"/>
        <w:bidi w:val="0"/>
        <w:adjustRightInd w:val="0"/>
        <w:snapToGrid/>
        <w:spacing w:before="0" w:line="400" w:lineRule="exact"/>
        <w:jc w:val="center"/>
        <w:textAlignment w:val="auto"/>
        <w:outlineLvl w:val="2"/>
        <w:rPr>
          <w:rFonts w:hint="eastAsia" w:ascii="宋体" w:hAnsi="宋体" w:eastAsia="宋体" w:cs="宋体"/>
          <w:b/>
          <w:bCs/>
          <w:color w:val="auto"/>
          <w:sz w:val="24"/>
          <w:szCs w:val="24"/>
          <w:highlight w:val="none"/>
          <w:u w:val="none"/>
          <w:lang w:val="en-US" w:eastAsia="zh-CN"/>
        </w:rPr>
      </w:pPr>
      <w:bookmarkStart w:id="1518" w:name="_Toc11261"/>
      <w:r>
        <w:rPr>
          <w:rFonts w:hint="eastAsia" w:hAnsi="宋体" w:cs="宋体"/>
          <w:b/>
          <w:bCs/>
          <w:color w:val="auto"/>
          <w:sz w:val="24"/>
          <w:szCs w:val="24"/>
          <w:highlight w:val="none"/>
          <w:u w:val="none"/>
          <w:lang w:val="en-US" w:eastAsia="zh-CN"/>
        </w:rPr>
        <w:t>7</w:t>
      </w:r>
      <w:r>
        <w:rPr>
          <w:rFonts w:hint="eastAsia" w:ascii="宋体" w:hAnsi="宋体" w:eastAsia="宋体" w:cs="宋体"/>
          <w:b/>
          <w:bCs/>
          <w:color w:val="auto"/>
          <w:sz w:val="24"/>
          <w:szCs w:val="24"/>
          <w:highlight w:val="none"/>
          <w:u w:val="none"/>
          <w:lang w:val="en-US" w:eastAsia="zh-CN"/>
        </w:rPr>
        <w:t>.供应商可提供有利于投标的其他证明材料</w:t>
      </w:r>
      <w:bookmarkEnd w:id="1518"/>
    </w:p>
    <w:p>
      <w:pPr>
        <w:pStyle w:val="4"/>
        <w:ind w:left="0" w:leftChars="0" w:firstLine="0" w:firstLineChars="0"/>
        <w:rPr>
          <w:rFonts w:hint="eastAsia" w:ascii="宋体" w:hAnsi="宋体" w:eastAsia="宋体" w:cs="宋体"/>
          <w:color w:val="auto"/>
          <w:sz w:val="24"/>
          <w:highlight w:val="none"/>
        </w:rPr>
      </w:pPr>
    </w:p>
    <w:p>
      <w:pPr>
        <w:pStyle w:val="5"/>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pStyle w:val="21"/>
        <w:rPr>
          <w:rFonts w:hint="eastAsia" w:ascii="宋体" w:hAnsi="宋体" w:eastAsia="宋体" w:cs="宋体"/>
          <w:color w:val="auto"/>
          <w:sz w:val="24"/>
          <w:highlight w:val="none"/>
        </w:rPr>
      </w:pPr>
    </w:p>
    <w:p>
      <w:pPr>
        <w:pStyle w:val="21"/>
        <w:rPr>
          <w:rFonts w:hint="eastAsia" w:ascii="宋体" w:hAnsi="宋体" w:eastAsia="宋体" w:cs="宋体"/>
          <w:color w:val="auto"/>
          <w:sz w:val="24"/>
          <w:highlight w:val="none"/>
        </w:rPr>
      </w:pPr>
    </w:p>
    <w:p>
      <w:pPr>
        <w:pStyle w:val="21"/>
        <w:rPr>
          <w:rFonts w:hint="eastAsia" w:ascii="宋体" w:hAnsi="宋体" w:eastAsia="宋体" w:cs="宋体"/>
          <w:color w:val="auto"/>
          <w:sz w:val="24"/>
          <w:highlight w:val="none"/>
        </w:rPr>
      </w:pPr>
    </w:p>
    <w:p>
      <w:pPr>
        <w:pStyle w:val="8"/>
        <w:keepNext/>
        <w:keepLines/>
        <w:pageBreakBefore w:val="0"/>
        <w:widowControl w:val="0"/>
        <w:kinsoku/>
        <w:wordWrap/>
        <w:overflowPunct/>
        <w:topLinePunct w:val="0"/>
        <w:autoSpaceDE w:val="0"/>
        <w:autoSpaceDN w:val="0"/>
        <w:bidi w:val="0"/>
        <w:adjustRightInd w:val="0"/>
        <w:snapToGrid/>
        <w:spacing w:before="0" w:line="400" w:lineRule="exact"/>
        <w:jc w:val="left"/>
        <w:textAlignment w:val="auto"/>
        <w:outlineLvl w:val="2"/>
        <w:rPr>
          <w:rFonts w:hint="eastAsia" w:ascii="宋体" w:hAnsi="宋体" w:eastAsia="宋体" w:cs="宋体"/>
          <w:b/>
          <w:bCs/>
          <w:color w:val="auto"/>
          <w:sz w:val="24"/>
          <w:szCs w:val="24"/>
          <w:highlight w:val="none"/>
          <w:u w:val="none"/>
          <w:lang w:val="en-US" w:eastAsia="zh-CN"/>
        </w:rPr>
      </w:pPr>
      <w:bookmarkStart w:id="1519" w:name="_Toc19102"/>
      <w:r>
        <w:rPr>
          <w:rFonts w:hint="eastAsia" w:hAnsi="宋体" w:cs="宋体"/>
          <w:b/>
          <w:bCs/>
          <w:color w:val="auto"/>
          <w:sz w:val="24"/>
          <w:szCs w:val="24"/>
          <w:highlight w:val="none"/>
          <w:u w:val="none"/>
          <w:lang w:val="en-US" w:eastAsia="zh-CN"/>
        </w:rPr>
        <w:t>8</w:t>
      </w:r>
      <w:r>
        <w:rPr>
          <w:rFonts w:hint="eastAsia" w:ascii="宋体" w:hAnsi="宋体" w:eastAsia="宋体" w:cs="宋体"/>
          <w:b/>
          <w:bCs/>
          <w:color w:val="auto"/>
          <w:sz w:val="24"/>
          <w:szCs w:val="24"/>
          <w:highlight w:val="none"/>
          <w:u w:val="none"/>
          <w:lang w:val="en-US" w:eastAsia="zh-CN"/>
        </w:rPr>
        <w:t>.投标文件格式范本</w:t>
      </w:r>
      <w:bookmarkEnd w:id="1519"/>
    </w:p>
    <w:tbl>
      <w:tblPr>
        <w:tblStyle w:val="27"/>
        <w:tblpPr w:leftFromText="180" w:rightFromText="180" w:vertAnchor="text" w:horzAnchor="page" w:tblpX="1380" w:tblpY="440"/>
        <w:tblOverlap w:val="never"/>
        <w:tblW w:w="9120" w:type="dxa"/>
        <w:tblInd w:w="0" w:type="dxa"/>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FCFEEA"/>
        <w:tblLayout w:type="fixed"/>
        <w:tblCellMar>
          <w:top w:w="0" w:type="dxa"/>
          <w:left w:w="108" w:type="dxa"/>
          <w:bottom w:w="0" w:type="dxa"/>
          <w:right w:w="108" w:type="dxa"/>
        </w:tblCellMar>
      </w:tblPr>
      <w:tblGrid>
        <w:gridCol w:w="9120"/>
      </w:tblGrid>
      <w:tr>
        <w:tblPrEx>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FCFEEA"/>
        </w:tblPrEx>
        <w:trPr>
          <w:trHeight w:val="11132" w:hRule="atLeast"/>
        </w:trPr>
        <w:tc>
          <w:tcPr>
            <w:tcW w:w="9120" w:type="dxa"/>
            <w:shd w:val="clear" w:color="auto" w:fill="FCFEEA"/>
          </w:tcPr>
          <w:p>
            <w:pPr>
              <w:pStyle w:val="12"/>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 xml:space="preserve">                                                （正本</w:t>
            </w:r>
            <w:r>
              <w:rPr>
                <w:rFonts w:hint="eastAsia" w:ascii="宋体" w:hAnsi="宋体" w:eastAsia="宋体" w:cs="宋体"/>
                <w:b/>
                <w:bCs/>
                <w:color w:val="auto"/>
                <w:sz w:val="28"/>
                <w:szCs w:val="28"/>
                <w:highlight w:val="none"/>
                <w:lang w:val="en-US" w:eastAsia="zh-CN"/>
              </w:rPr>
              <w:t>/</w:t>
            </w:r>
            <w:r>
              <w:rPr>
                <w:rFonts w:hint="eastAsia" w:ascii="宋体" w:hAnsi="宋体" w:eastAsia="宋体" w:cs="宋体"/>
                <w:b/>
                <w:bCs/>
                <w:color w:val="auto"/>
                <w:sz w:val="28"/>
                <w:szCs w:val="28"/>
                <w:highlight w:val="none"/>
              </w:rPr>
              <w:t>副本）</w:t>
            </w:r>
          </w:p>
          <w:p>
            <w:pPr>
              <w:pStyle w:val="12"/>
              <w:ind w:firstLine="4216" w:firstLineChars="1500"/>
              <w:rPr>
                <w:rFonts w:hint="eastAsia" w:ascii="宋体" w:hAnsi="宋体" w:eastAsia="宋体" w:cs="宋体"/>
                <w:b/>
                <w:bCs/>
                <w:color w:val="auto"/>
                <w:sz w:val="28"/>
                <w:szCs w:val="28"/>
                <w:highlight w:val="none"/>
              </w:rPr>
            </w:pPr>
          </w:p>
          <w:p>
            <w:pPr>
              <w:pStyle w:val="12"/>
              <w:ind w:firstLine="4216" w:firstLineChars="1500"/>
              <w:rPr>
                <w:rFonts w:hint="eastAsia" w:ascii="宋体" w:hAnsi="宋体" w:eastAsia="宋体" w:cs="宋体"/>
                <w:b/>
                <w:bCs/>
                <w:color w:val="auto"/>
                <w:sz w:val="28"/>
                <w:szCs w:val="28"/>
                <w:highlight w:val="none"/>
              </w:rPr>
            </w:pPr>
          </w:p>
          <w:p>
            <w:pPr>
              <w:pStyle w:val="12"/>
              <w:rPr>
                <w:rFonts w:hint="eastAsia" w:ascii="宋体" w:hAnsi="宋体" w:eastAsia="宋体" w:cs="宋体"/>
                <w:b/>
                <w:bCs/>
                <w:color w:val="auto"/>
                <w:sz w:val="28"/>
                <w:szCs w:val="28"/>
                <w:highlight w:val="none"/>
              </w:rPr>
            </w:pPr>
          </w:p>
          <w:p>
            <w:pPr>
              <w:pStyle w:val="12"/>
              <w:ind w:firstLine="1897" w:firstLineChars="900"/>
              <w:rPr>
                <w:rFonts w:hint="eastAsia" w:ascii="宋体" w:hAnsi="宋体" w:eastAsia="宋体" w:cs="宋体"/>
                <w:b/>
                <w:bCs/>
                <w:color w:val="auto"/>
                <w:sz w:val="28"/>
                <w:szCs w:val="28"/>
                <w:highlight w:val="none"/>
              </w:rPr>
            </w:pP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8"/>
                <w:szCs w:val="28"/>
                <w:highlight w:val="none"/>
              </w:rPr>
              <w:t>项目</w:t>
            </w:r>
          </w:p>
          <w:p>
            <w:pPr>
              <w:pStyle w:val="12"/>
              <w:jc w:val="center"/>
              <w:rPr>
                <w:rFonts w:hint="eastAsia" w:ascii="宋体" w:hAnsi="宋体" w:eastAsia="宋体" w:cs="宋体"/>
                <w:b/>
                <w:bCs/>
                <w:color w:val="auto"/>
                <w:sz w:val="21"/>
                <w:szCs w:val="21"/>
                <w:highlight w:val="none"/>
              </w:rPr>
            </w:pPr>
          </w:p>
          <w:p>
            <w:pPr>
              <w:rPr>
                <w:rFonts w:hint="eastAsia" w:ascii="宋体" w:hAnsi="宋体" w:eastAsia="宋体" w:cs="宋体"/>
                <w:highlight w:val="none"/>
              </w:rPr>
            </w:pPr>
          </w:p>
          <w:p>
            <w:pPr>
              <w:pStyle w:val="12"/>
              <w:ind w:firstLine="2741" w:firstLineChars="13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项目</w:t>
            </w:r>
            <w:r>
              <w:rPr>
                <w:rFonts w:hint="eastAsia" w:ascii="宋体" w:hAnsi="宋体" w:eastAsia="宋体" w:cs="宋体"/>
                <w:b/>
                <w:bCs/>
                <w:color w:val="auto"/>
                <w:sz w:val="21"/>
                <w:szCs w:val="21"/>
                <w:highlight w:val="none"/>
              </w:rPr>
              <w:t>编号 ＊＊＊      包号：＊＊＊</w:t>
            </w:r>
          </w:p>
          <w:p>
            <w:pPr>
              <w:pStyle w:val="12"/>
              <w:jc w:val="center"/>
              <w:rPr>
                <w:rFonts w:hint="eastAsia" w:ascii="宋体" w:hAnsi="宋体" w:eastAsia="宋体" w:cs="宋体"/>
                <w:b/>
                <w:bCs/>
                <w:color w:val="auto"/>
                <w:sz w:val="48"/>
                <w:highlight w:val="none"/>
              </w:rPr>
            </w:pPr>
          </w:p>
          <w:p>
            <w:pPr>
              <w:pStyle w:val="12"/>
              <w:jc w:val="center"/>
              <w:rPr>
                <w:rFonts w:hint="eastAsia" w:ascii="宋体" w:hAnsi="宋体" w:eastAsia="宋体" w:cs="宋体"/>
                <w:b/>
                <w:bCs/>
                <w:color w:val="auto"/>
                <w:sz w:val="48"/>
                <w:highlight w:val="none"/>
              </w:rPr>
            </w:pPr>
            <w:r>
              <w:rPr>
                <w:rFonts w:hint="eastAsia" w:ascii="宋体" w:hAnsi="宋体" w:eastAsia="宋体" w:cs="宋体"/>
                <w:b/>
                <w:bCs/>
                <w:color w:val="auto"/>
                <w:sz w:val="48"/>
                <w:highlight w:val="none"/>
              </w:rPr>
              <w:t>投 标 文 件</w:t>
            </w:r>
          </w:p>
          <w:p>
            <w:pPr>
              <w:pStyle w:val="4"/>
              <w:ind w:firstLine="0"/>
              <w:rPr>
                <w:rFonts w:hint="eastAsia" w:ascii="宋体" w:hAnsi="宋体" w:eastAsia="宋体" w:cs="宋体"/>
                <w:b/>
                <w:color w:val="auto"/>
                <w:sz w:val="32"/>
                <w:highlight w:val="none"/>
              </w:rPr>
            </w:pPr>
          </w:p>
          <w:p>
            <w:pPr>
              <w:pStyle w:val="4"/>
              <w:rPr>
                <w:rFonts w:hint="eastAsia" w:ascii="宋体" w:hAnsi="宋体" w:eastAsia="宋体" w:cs="宋体"/>
                <w:b/>
                <w:color w:val="auto"/>
                <w:sz w:val="32"/>
                <w:highlight w:val="none"/>
              </w:rPr>
            </w:pPr>
          </w:p>
          <w:p>
            <w:pPr>
              <w:spacing w:line="360" w:lineRule="auto"/>
              <w:ind w:left="176" w:leftChars="84" w:firstLine="1260" w:firstLineChars="6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应</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商：</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（公章）</w:t>
            </w:r>
          </w:p>
          <w:p>
            <w:pPr>
              <w:spacing w:line="360" w:lineRule="auto"/>
              <w:ind w:left="176" w:leftChars="84" w:firstLine="1260" w:firstLineChars="6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项目名称：</w:t>
            </w:r>
            <w:r>
              <w:rPr>
                <w:rFonts w:hint="eastAsia" w:ascii="宋体" w:hAnsi="宋体" w:eastAsia="宋体" w:cs="宋体"/>
                <w:color w:val="auto"/>
                <w:szCs w:val="21"/>
                <w:highlight w:val="none"/>
                <w:u w:val="single"/>
              </w:rPr>
              <w:t xml:space="preserve">                                       </w:t>
            </w:r>
          </w:p>
          <w:p>
            <w:pPr>
              <w:spacing w:line="360" w:lineRule="auto"/>
              <w:ind w:left="176" w:leftChars="84" w:firstLine="1260" w:firstLineChars="6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项目编号：</w:t>
            </w:r>
            <w:r>
              <w:rPr>
                <w:rFonts w:hint="eastAsia" w:ascii="宋体" w:hAnsi="宋体" w:eastAsia="宋体" w:cs="宋体"/>
                <w:color w:val="auto"/>
                <w:szCs w:val="21"/>
                <w:highlight w:val="none"/>
                <w:u w:val="single"/>
              </w:rPr>
              <w:t xml:space="preserve">                                       </w:t>
            </w:r>
          </w:p>
          <w:p>
            <w:pPr>
              <w:spacing w:line="360" w:lineRule="auto"/>
              <w:ind w:left="176" w:leftChars="84" w:firstLine="1260" w:firstLineChars="6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联 系 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line="360" w:lineRule="auto"/>
              <w:ind w:left="176" w:leftChars="84" w:firstLine="1260" w:firstLineChars="6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    话：</w:t>
            </w:r>
            <w:r>
              <w:rPr>
                <w:rFonts w:hint="eastAsia" w:ascii="宋体" w:hAnsi="宋体" w:eastAsia="宋体" w:cs="宋体"/>
                <w:color w:val="auto"/>
                <w:szCs w:val="21"/>
                <w:highlight w:val="none"/>
                <w:u w:val="single"/>
              </w:rPr>
              <w:t xml:space="preserve">                                       </w:t>
            </w:r>
          </w:p>
          <w:p>
            <w:pPr>
              <w:spacing w:line="360" w:lineRule="auto"/>
              <w:ind w:left="176" w:leftChars="84" w:firstLine="1260" w:firstLineChars="600"/>
              <w:rPr>
                <w:rFonts w:hint="eastAsia" w:ascii="宋体" w:hAnsi="宋体" w:eastAsia="宋体" w:cs="宋体"/>
                <w:b/>
                <w:bCs/>
                <w:color w:val="auto"/>
                <w:highlight w:val="none"/>
              </w:rPr>
            </w:pPr>
            <w:r>
              <w:rPr>
                <w:rFonts w:hint="eastAsia" w:ascii="宋体" w:hAnsi="宋体" w:eastAsia="宋体" w:cs="宋体"/>
                <w:color w:val="auto"/>
                <w:szCs w:val="21"/>
                <w:highlight w:val="none"/>
              </w:rPr>
              <w:t>地    址：</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p>
          <w:p>
            <w:pPr>
              <w:jc w:val="center"/>
              <w:rPr>
                <w:rFonts w:hint="eastAsia" w:ascii="宋体" w:hAnsi="宋体" w:eastAsia="宋体" w:cs="宋体"/>
                <w:b/>
                <w:bCs/>
                <w:color w:val="auto"/>
                <w:highlight w:val="none"/>
              </w:rPr>
            </w:pPr>
          </w:p>
          <w:p>
            <w:pPr>
              <w:pStyle w:val="4"/>
              <w:rPr>
                <w:rFonts w:hint="eastAsia" w:ascii="宋体" w:hAnsi="宋体" w:eastAsia="宋体" w:cs="宋体"/>
                <w:color w:val="auto"/>
                <w:highlight w:val="none"/>
              </w:rPr>
            </w:pPr>
          </w:p>
          <w:p>
            <w:pPr>
              <w:jc w:val="center"/>
              <w:rPr>
                <w:rFonts w:hint="eastAsia" w:ascii="宋体" w:hAnsi="宋体" w:eastAsia="宋体" w:cs="宋体"/>
                <w:b/>
                <w:bCs/>
                <w:color w:val="auto"/>
                <w:highlight w:val="none"/>
              </w:rPr>
            </w:pPr>
          </w:p>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注：在202</w:t>
            </w:r>
            <w:r>
              <w:rPr>
                <w:rFonts w:hint="eastAsia" w:ascii="宋体" w:hAnsi="宋体" w:eastAsia="宋体" w:cs="宋体"/>
                <w:b/>
                <w:bCs/>
                <w:color w:val="auto"/>
                <w:highlight w:val="none"/>
                <w:lang w:val="en-US" w:eastAsia="zh-CN"/>
              </w:rPr>
              <w:t>3</w:t>
            </w:r>
            <w:r>
              <w:rPr>
                <w:rFonts w:hint="eastAsia" w:ascii="宋体" w:hAnsi="宋体" w:eastAsia="宋体" w:cs="宋体"/>
                <w:b/>
                <w:bCs/>
                <w:color w:val="auto"/>
                <w:highlight w:val="none"/>
              </w:rPr>
              <w:t>年</w:t>
            </w:r>
            <w:r>
              <w:rPr>
                <w:rFonts w:hint="eastAsia" w:ascii="宋体" w:hAnsi="宋体" w:eastAsia="宋体" w:cs="宋体"/>
                <w:b/>
                <w:bCs/>
                <w:color w:val="auto"/>
                <w:sz w:val="21"/>
                <w:szCs w:val="21"/>
                <w:highlight w:val="none"/>
              </w:rPr>
              <w:t>＊</w:t>
            </w:r>
            <w:r>
              <w:rPr>
                <w:rFonts w:hint="eastAsia" w:ascii="宋体" w:hAnsi="宋体" w:eastAsia="宋体" w:cs="宋体"/>
                <w:b/>
                <w:bCs/>
                <w:color w:val="auto"/>
                <w:highlight w:val="none"/>
              </w:rPr>
              <w:t>月</w:t>
            </w:r>
            <w:r>
              <w:rPr>
                <w:rFonts w:hint="eastAsia" w:ascii="宋体" w:hAnsi="宋体" w:eastAsia="宋体" w:cs="宋体"/>
                <w:b/>
                <w:bCs/>
                <w:color w:val="auto"/>
                <w:sz w:val="21"/>
                <w:szCs w:val="21"/>
                <w:highlight w:val="none"/>
              </w:rPr>
              <w:t>＊</w:t>
            </w:r>
            <w:r>
              <w:rPr>
                <w:rFonts w:hint="eastAsia" w:ascii="宋体" w:hAnsi="宋体" w:eastAsia="宋体" w:cs="宋体"/>
                <w:b/>
                <w:bCs/>
                <w:color w:val="auto"/>
                <w:highlight w:val="none"/>
              </w:rPr>
              <w:t>日</w:t>
            </w:r>
            <w:r>
              <w:rPr>
                <w:rFonts w:hint="eastAsia" w:ascii="宋体" w:hAnsi="宋体" w:eastAsia="宋体" w:cs="宋体"/>
                <w:b/>
                <w:bCs/>
                <w:color w:val="auto"/>
                <w:sz w:val="21"/>
                <w:szCs w:val="21"/>
                <w:highlight w:val="none"/>
              </w:rPr>
              <w:t>＊</w:t>
            </w:r>
            <w:r>
              <w:rPr>
                <w:rFonts w:hint="eastAsia" w:ascii="宋体" w:hAnsi="宋体" w:eastAsia="宋体" w:cs="宋体"/>
                <w:b/>
                <w:bCs/>
                <w:color w:val="auto"/>
                <w:highlight w:val="none"/>
              </w:rPr>
              <w:t>午</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val="en-US" w:eastAsia="zh-CN"/>
              </w:rPr>
              <w:t>时</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val="en-US" w:eastAsia="zh-CN"/>
              </w:rPr>
              <w:t>分</w:t>
            </w:r>
            <w:r>
              <w:rPr>
                <w:rFonts w:hint="eastAsia" w:ascii="宋体" w:hAnsi="宋体" w:eastAsia="宋体" w:cs="宋体"/>
                <w:b/>
                <w:bCs/>
                <w:color w:val="auto"/>
                <w:highlight w:val="none"/>
              </w:rPr>
              <w:t>之前不得启封</w:t>
            </w:r>
          </w:p>
          <w:p>
            <w:pPr>
              <w:jc w:val="center"/>
              <w:rPr>
                <w:rFonts w:hint="eastAsia" w:ascii="宋体" w:hAnsi="宋体" w:eastAsia="宋体" w:cs="宋体"/>
                <w:b/>
                <w:bCs/>
                <w:color w:val="auto"/>
                <w:highlight w:val="none"/>
              </w:rPr>
            </w:pPr>
          </w:p>
        </w:tc>
      </w:tr>
    </w:tbl>
    <w:p>
      <w:pPr>
        <w:spacing w:line="240" w:lineRule="atLeast"/>
        <w:jc w:val="center"/>
        <w:rPr>
          <w:rFonts w:hint="eastAsia" w:ascii="宋体" w:hAnsi="宋体" w:eastAsia="宋体" w:cs="宋体"/>
          <w:b/>
          <w:color w:val="auto"/>
          <w:sz w:val="32"/>
          <w:highlight w:val="none"/>
        </w:rPr>
      </w:pPr>
    </w:p>
    <w:p>
      <w:pPr>
        <w:spacing w:line="240" w:lineRule="atLeast"/>
        <w:jc w:val="center"/>
        <w:rPr>
          <w:rFonts w:hint="eastAsia" w:ascii="宋体" w:hAnsi="宋体" w:eastAsia="宋体" w:cs="宋体"/>
          <w:b/>
          <w:color w:val="auto"/>
          <w:sz w:val="32"/>
          <w:highlight w:val="none"/>
        </w:rPr>
      </w:pPr>
    </w:p>
    <w:p>
      <w:pPr>
        <w:spacing w:line="240" w:lineRule="atLeast"/>
        <w:jc w:val="center"/>
        <w:rPr>
          <w:rFonts w:hint="eastAsia" w:ascii="宋体" w:hAnsi="宋体" w:eastAsia="宋体" w:cs="宋体"/>
          <w:b/>
          <w:color w:val="auto"/>
          <w:sz w:val="44"/>
          <w:szCs w:val="44"/>
          <w:highlight w:val="none"/>
        </w:rPr>
      </w:pPr>
    </w:p>
    <w:p>
      <w:pPr>
        <w:spacing w:line="240" w:lineRule="atLeast"/>
        <w:jc w:val="center"/>
        <w:rPr>
          <w:rFonts w:hint="eastAsia" w:ascii="宋体" w:hAnsi="宋体" w:eastAsia="宋体" w:cs="宋体"/>
          <w:b/>
          <w:color w:val="auto"/>
          <w:sz w:val="44"/>
          <w:szCs w:val="44"/>
          <w:highlight w:val="none"/>
        </w:rPr>
      </w:pPr>
    </w:p>
    <w:p>
      <w:pPr>
        <w:spacing w:line="240" w:lineRule="atLeast"/>
        <w:rPr>
          <w:rFonts w:hint="eastAsia" w:ascii="宋体" w:hAnsi="宋体" w:eastAsia="宋体" w:cs="宋体"/>
          <w:b/>
          <w:color w:val="auto"/>
          <w:sz w:val="44"/>
          <w:szCs w:val="44"/>
          <w:highlight w:val="none"/>
        </w:rPr>
      </w:pPr>
    </w:p>
    <w:p>
      <w:pPr>
        <w:spacing w:line="240" w:lineRule="atLeast"/>
        <w:jc w:val="center"/>
        <w:outlineLvl w:val="9"/>
        <w:rPr>
          <w:rFonts w:hint="eastAsia" w:ascii="宋体" w:hAnsi="宋体" w:eastAsia="宋体" w:cs="宋体"/>
          <w:b/>
          <w:color w:val="auto"/>
          <w:sz w:val="44"/>
          <w:szCs w:val="44"/>
          <w:highlight w:val="none"/>
        </w:rPr>
      </w:pPr>
    </w:p>
    <w:p>
      <w:pPr>
        <w:outlineLvl w:val="9"/>
        <w:rPr>
          <w:rFonts w:hint="eastAsia" w:ascii="宋体" w:hAnsi="宋体" w:eastAsia="宋体" w:cs="宋体"/>
          <w:b/>
          <w:color w:val="auto"/>
          <w:sz w:val="44"/>
          <w:szCs w:val="44"/>
          <w:highlight w:val="none"/>
        </w:rPr>
      </w:pPr>
    </w:p>
    <w:p>
      <w:pPr>
        <w:pStyle w:val="4"/>
        <w:outlineLvl w:val="9"/>
        <w:rPr>
          <w:rFonts w:hint="eastAsia" w:ascii="宋体" w:hAnsi="宋体" w:eastAsia="宋体" w:cs="宋体"/>
          <w:b/>
          <w:color w:val="auto"/>
          <w:sz w:val="44"/>
          <w:szCs w:val="44"/>
          <w:highlight w:val="none"/>
        </w:rPr>
      </w:pPr>
    </w:p>
    <w:p>
      <w:pPr>
        <w:pStyle w:val="5"/>
        <w:rPr>
          <w:rFonts w:hint="eastAsia" w:ascii="宋体" w:hAnsi="宋体" w:eastAsia="宋体" w:cs="宋体"/>
          <w:highlight w:val="none"/>
        </w:rPr>
      </w:pPr>
    </w:p>
    <w:p>
      <w:pPr>
        <w:pStyle w:val="5"/>
        <w:outlineLvl w:val="9"/>
        <w:rPr>
          <w:rFonts w:hint="eastAsia" w:ascii="宋体" w:hAnsi="宋体" w:eastAsia="宋体" w:cs="宋体"/>
          <w:b/>
          <w:color w:val="auto"/>
          <w:sz w:val="44"/>
          <w:szCs w:val="44"/>
          <w:highlight w:val="none"/>
        </w:rPr>
      </w:pPr>
    </w:p>
    <w:p>
      <w:pPr>
        <w:outlineLvl w:val="9"/>
        <w:rPr>
          <w:rFonts w:hint="eastAsia" w:ascii="宋体" w:hAnsi="宋体" w:eastAsia="宋体" w:cs="宋体"/>
          <w:b/>
          <w:color w:val="auto"/>
          <w:sz w:val="44"/>
          <w:szCs w:val="44"/>
          <w:highlight w:val="none"/>
        </w:rPr>
      </w:pPr>
    </w:p>
    <w:p>
      <w:pPr>
        <w:outlineLvl w:val="9"/>
        <w:rPr>
          <w:rFonts w:hint="eastAsia" w:ascii="宋体" w:hAnsi="宋体" w:eastAsia="宋体" w:cs="宋体"/>
          <w:highlight w:val="none"/>
        </w:rPr>
      </w:pPr>
    </w:p>
    <w:p>
      <w:pPr>
        <w:pStyle w:val="21"/>
        <w:rPr>
          <w:rFonts w:hint="eastAsia" w:ascii="宋体" w:hAnsi="宋体" w:eastAsia="宋体" w:cs="宋体"/>
          <w:color w:val="auto"/>
          <w:highlight w:val="none"/>
        </w:rPr>
      </w:pPr>
    </w:p>
    <w:p>
      <w:pPr>
        <w:spacing w:line="240" w:lineRule="atLeast"/>
        <w:jc w:val="center"/>
        <w:outlineLvl w:val="9"/>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招 标 文 件</w:t>
      </w:r>
    </w:p>
    <w:p>
      <w:pPr>
        <w:spacing w:line="360" w:lineRule="auto"/>
        <w:rPr>
          <w:rFonts w:hint="eastAsia" w:ascii="宋体" w:hAnsi="宋体" w:eastAsia="宋体" w:cs="宋体"/>
          <w:b/>
          <w:color w:val="auto"/>
          <w:sz w:val="40"/>
          <w:szCs w:val="40"/>
          <w:highlight w:val="none"/>
        </w:rPr>
      </w:pPr>
      <w:bookmarkStart w:id="1520" w:name="_Toc24900_WPSOffice_Level2"/>
    </w:p>
    <w:p>
      <w:pPr>
        <w:spacing w:line="360" w:lineRule="auto"/>
        <w:jc w:val="center"/>
        <w:rPr>
          <w:rFonts w:hint="eastAsia" w:ascii="宋体" w:hAnsi="宋体" w:eastAsia="宋体" w:cs="宋体"/>
          <w:b/>
          <w:color w:val="FF0000"/>
          <w:sz w:val="40"/>
          <w:szCs w:val="40"/>
          <w:highlight w:val="none"/>
          <w:lang w:val="en-US" w:eastAsia="zh-CN"/>
        </w:rPr>
      </w:pPr>
      <w:r>
        <w:rPr>
          <w:rFonts w:hint="eastAsia" w:ascii="宋体" w:hAnsi="宋体" w:eastAsia="宋体" w:cs="宋体"/>
          <w:b/>
          <w:color w:val="auto"/>
          <w:sz w:val="40"/>
          <w:szCs w:val="40"/>
          <w:highlight w:val="none"/>
        </w:rPr>
        <w:t>项目编号：</w:t>
      </w:r>
      <w:bookmarkEnd w:id="1520"/>
      <w:r>
        <w:rPr>
          <w:rFonts w:hint="eastAsia" w:ascii="宋体" w:hAnsi="宋体" w:cs="宋体"/>
          <w:b/>
          <w:color w:val="000000" w:themeColor="text1"/>
          <w:sz w:val="40"/>
          <w:szCs w:val="40"/>
          <w:highlight w:val="none"/>
          <w:lang w:eastAsia="zh-CN"/>
          <w14:textFill>
            <w14:solidFill>
              <w14:schemeClr w14:val="tx1"/>
            </w14:solidFill>
          </w14:textFill>
        </w:rPr>
        <w:t>ZPDL(2023)032-2</w:t>
      </w:r>
      <w:r>
        <w:rPr>
          <w:rFonts w:hint="eastAsia" w:ascii="宋体" w:hAnsi="宋体" w:eastAsia="宋体" w:cs="宋体"/>
          <w:b/>
          <w:color w:val="FF0000"/>
          <w:sz w:val="40"/>
          <w:szCs w:val="40"/>
          <w:highlight w:val="none"/>
          <w:lang w:eastAsia="zh-CN"/>
        </w:rPr>
        <w:t xml:space="preserve"> </w:t>
      </w:r>
    </w:p>
    <w:p>
      <w:pPr>
        <w:spacing w:line="240" w:lineRule="atLeast"/>
        <w:jc w:val="center"/>
        <w:rPr>
          <w:rFonts w:hint="eastAsia" w:ascii="宋体" w:hAnsi="宋体" w:eastAsia="宋体" w:cs="宋体"/>
          <w:b/>
          <w:color w:val="auto"/>
          <w:sz w:val="32"/>
          <w:highlight w:val="none"/>
        </w:rPr>
      </w:pPr>
    </w:p>
    <w:p>
      <w:pPr>
        <w:spacing w:line="240" w:lineRule="atLeast"/>
        <w:jc w:val="center"/>
        <w:rPr>
          <w:rFonts w:hint="eastAsia" w:ascii="宋体" w:hAnsi="宋体" w:eastAsia="宋体" w:cs="宋体"/>
          <w:b/>
          <w:color w:val="auto"/>
          <w:sz w:val="32"/>
          <w:highlight w:val="none"/>
        </w:rPr>
      </w:pPr>
    </w:p>
    <w:p>
      <w:pPr>
        <w:spacing w:line="240" w:lineRule="atLeast"/>
        <w:jc w:val="center"/>
        <w:outlineLvl w:val="9"/>
        <w:rPr>
          <w:rFonts w:hint="eastAsia" w:ascii="宋体" w:hAnsi="宋体" w:eastAsia="宋体" w:cs="宋体"/>
          <w:b/>
          <w:color w:val="auto"/>
          <w:sz w:val="44"/>
          <w:szCs w:val="36"/>
          <w:highlight w:val="none"/>
        </w:rPr>
      </w:pPr>
      <w:r>
        <w:rPr>
          <w:rFonts w:hint="eastAsia" w:ascii="宋体" w:hAnsi="宋体" w:eastAsia="宋体" w:cs="宋体"/>
          <w:b/>
          <w:color w:val="auto"/>
          <w:sz w:val="44"/>
          <w:szCs w:val="36"/>
          <w:highlight w:val="none"/>
        </w:rPr>
        <w:t>第 二 册</w:t>
      </w:r>
    </w:p>
    <w:p>
      <w:pPr>
        <w:rPr>
          <w:rFonts w:hint="eastAsia" w:ascii="宋体" w:hAnsi="宋体" w:eastAsia="宋体" w:cs="宋体"/>
          <w:color w:val="auto"/>
          <w:sz w:val="44"/>
          <w:szCs w:val="36"/>
          <w:highlight w:val="none"/>
        </w:rPr>
      </w:pPr>
    </w:p>
    <w:p>
      <w:pPr>
        <w:pStyle w:val="4"/>
        <w:rPr>
          <w:rFonts w:hint="eastAsia" w:ascii="宋体" w:hAnsi="宋体" w:eastAsia="宋体" w:cs="宋体"/>
          <w:b/>
          <w:color w:val="auto"/>
          <w:sz w:val="44"/>
          <w:szCs w:val="36"/>
          <w:highlight w:val="none"/>
        </w:rPr>
      </w:pPr>
    </w:p>
    <w:p>
      <w:pPr>
        <w:pStyle w:val="5"/>
        <w:rPr>
          <w:rFonts w:hint="eastAsia" w:ascii="宋体" w:hAnsi="宋体" w:eastAsia="宋体" w:cs="宋体"/>
          <w:b/>
          <w:color w:val="auto"/>
          <w:sz w:val="44"/>
          <w:szCs w:val="36"/>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240" w:lineRule="atLeast"/>
        <w:jc w:val="center"/>
        <w:rPr>
          <w:rFonts w:hint="eastAsia" w:ascii="宋体" w:hAnsi="宋体" w:eastAsia="宋体" w:cs="宋体"/>
          <w:b/>
          <w:color w:val="auto"/>
          <w:sz w:val="32"/>
          <w:highlight w:val="none"/>
        </w:rPr>
      </w:pPr>
    </w:p>
    <w:p>
      <w:pPr>
        <w:pStyle w:val="4"/>
        <w:rPr>
          <w:rFonts w:hint="eastAsia" w:ascii="宋体" w:hAnsi="宋体" w:eastAsia="宋体" w:cs="宋体"/>
          <w:b/>
          <w:color w:val="auto"/>
          <w:sz w:val="32"/>
          <w:highlight w:val="none"/>
        </w:rPr>
      </w:pPr>
    </w:p>
    <w:bookmarkEnd w:id="1449"/>
    <w:bookmarkEnd w:id="1450"/>
    <w:bookmarkEnd w:id="1451"/>
    <w:bookmarkEnd w:id="1452"/>
    <w:bookmarkEnd w:id="1477"/>
    <w:bookmarkEnd w:id="1478"/>
    <w:bookmarkEnd w:id="1479"/>
    <w:bookmarkEnd w:id="1480"/>
    <w:bookmarkEnd w:id="1481"/>
    <w:bookmarkEnd w:id="1482"/>
    <w:p>
      <w:pPr>
        <w:pStyle w:val="4"/>
        <w:ind w:left="0" w:leftChars="0" w:firstLine="0" w:firstLineChars="0"/>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Style w:val="39"/>
          <w:rFonts w:hint="eastAsia" w:ascii="宋体" w:hAnsi="宋体" w:eastAsia="宋体" w:cs="宋体"/>
          <w:color w:val="auto"/>
          <w:highlight w:val="none"/>
        </w:rPr>
      </w:pPr>
      <w:bookmarkStart w:id="1521" w:name="_Toc218935350"/>
      <w:bookmarkStart w:id="1522" w:name="_Toc216582822"/>
      <w:bookmarkStart w:id="1523" w:name="_Toc16370"/>
      <w:bookmarkStart w:id="1524" w:name="_Toc507399902"/>
      <w:bookmarkStart w:id="1525" w:name="_Toc29715"/>
      <w:bookmarkStart w:id="1526" w:name="_Toc515647829"/>
      <w:bookmarkStart w:id="1527" w:name="_Toc219175634"/>
      <w:bookmarkStart w:id="1528" w:name="_Toc22081"/>
      <w:bookmarkStart w:id="1529" w:name="_Toc28765"/>
      <w:r>
        <w:rPr>
          <w:rStyle w:val="39"/>
          <w:rFonts w:hint="eastAsia" w:ascii="宋体" w:hAnsi="宋体" w:eastAsia="宋体" w:cs="宋体"/>
          <w:color w:val="auto"/>
          <w:highlight w:val="none"/>
        </w:rPr>
        <w:br w:type="page"/>
      </w:r>
    </w:p>
    <w:p>
      <w:pPr>
        <w:pStyle w:val="4"/>
        <w:ind w:firstLine="0"/>
        <w:jc w:val="center"/>
        <w:outlineLvl w:val="0"/>
        <w:rPr>
          <w:rFonts w:hint="eastAsia" w:ascii="宋体" w:hAnsi="宋体" w:eastAsia="宋体" w:cs="宋体"/>
          <w:b/>
          <w:bCs/>
          <w:color w:val="auto"/>
          <w:sz w:val="32"/>
          <w:szCs w:val="32"/>
          <w:highlight w:val="none"/>
          <w:lang w:val="en-US" w:eastAsia="zh-CN"/>
        </w:rPr>
      </w:pPr>
      <w:bookmarkStart w:id="1530" w:name="_Toc15678"/>
      <w:r>
        <w:rPr>
          <w:rFonts w:hint="eastAsia" w:ascii="宋体" w:hAnsi="宋体" w:eastAsia="宋体" w:cs="宋体"/>
          <w:b/>
          <w:bCs/>
          <w:color w:val="auto"/>
          <w:sz w:val="32"/>
          <w:szCs w:val="32"/>
          <w:highlight w:val="none"/>
          <w:lang w:val="en-US" w:eastAsia="zh-CN"/>
        </w:rPr>
        <w:t>第3章  投标邀请</w:t>
      </w:r>
      <w:bookmarkEnd w:id="1521"/>
      <w:bookmarkEnd w:id="1522"/>
      <w:bookmarkEnd w:id="1523"/>
      <w:bookmarkEnd w:id="1524"/>
      <w:bookmarkEnd w:id="1525"/>
      <w:bookmarkEnd w:id="1526"/>
      <w:bookmarkEnd w:id="1527"/>
      <w:bookmarkEnd w:id="1528"/>
      <w:bookmarkEnd w:id="1529"/>
      <w:bookmarkEnd w:id="1530"/>
      <w:bookmarkStart w:id="1531" w:name="_Toc10488"/>
      <w:bookmarkStart w:id="1532" w:name="_Toc31583"/>
      <w:bookmarkStart w:id="1533" w:name="_Toc515647830"/>
      <w:bookmarkStart w:id="1534" w:name="_Toc5272"/>
      <w:bookmarkStart w:id="1535" w:name="_Toc507399903"/>
      <w:bookmarkStart w:id="1536" w:name="_Toc512937850"/>
      <w:bookmarkStart w:id="1537" w:name="_Toc216582823"/>
    </w:p>
    <w:p>
      <w:pPr>
        <w:keepNext w:val="0"/>
        <w:keepLines w:val="0"/>
        <w:pageBreakBefore w:val="0"/>
        <w:widowControl w:val="0"/>
        <w:tabs>
          <w:tab w:val="left" w:pos="0"/>
          <w:tab w:val="left" w:pos="3165"/>
          <w:tab w:val="center" w:pos="4153"/>
        </w:tabs>
        <w:kinsoku/>
        <w:wordWrap/>
        <w:overflowPunct/>
        <w:topLinePunct w:val="0"/>
        <w:autoSpaceDE/>
        <w:autoSpaceDN/>
        <w:bidi w:val="0"/>
        <w:adjustRightInd/>
        <w:snapToGrid/>
        <w:spacing w:before="0" w:after="0" w:line="440" w:lineRule="exact"/>
        <w:jc w:val="center"/>
        <w:textAlignment w:val="auto"/>
        <w:outlineLvl w:val="9"/>
        <w:rPr>
          <w:rFonts w:hint="eastAsia" w:ascii="宋体" w:hAnsi="宋体" w:eastAsia="宋体" w:cs="宋体"/>
          <w:b/>
          <w:bCs/>
          <w:color w:val="auto"/>
          <w:sz w:val="32"/>
          <w:szCs w:val="32"/>
          <w:highlight w:val="none"/>
          <w:lang w:val="en-US" w:eastAsia="zh-CN"/>
        </w:rPr>
      </w:pPr>
      <w:bookmarkStart w:id="1538" w:name="_Toc29132"/>
      <w:r>
        <w:rPr>
          <w:rFonts w:hint="eastAsia" w:ascii="宋体" w:hAnsi="宋体" w:cs="宋体"/>
          <w:b/>
          <w:bCs/>
          <w:color w:val="auto"/>
          <w:sz w:val="32"/>
          <w:szCs w:val="32"/>
          <w:highlight w:val="none"/>
          <w:lang w:val="en-US" w:eastAsia="zh-CN"/>
        </w:rPr>
        <w:t>泽普县中小学及幼儿园2023-2024学年食堂食材采购项目（二次）公开</w:t>
      </w:r>
      <w:r>
        <w:rPr>
          <w:rFonts w:hint="eastAsia" w:ascii="宋体" w:hAnsi="宋体" w:eastAsia="宋体" w:cs="宋体"/>
          <w:b/>
          <w:bCs/>
          <w:color w:val="auto"/>
          <w:sz w:val="32"/>
          <w:szCs w:val="32"/>
          <w:highlight w:val="none"/>
          <w:lang w:val="en-US" w:eastAsia="zh-CN"/>
        </w:rPr>
        <w:t>招标公告</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69" w:hRule="atLeast"/>
        </w:trPr>
        <w:tc>
          <w:tcPr>
            <w:tcW w:w="8528"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项目概况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cs="宋体"/>
                <w:b w:val="0"/>
                <w:color w:val="000000"/>
                <w:kern w:val="2"/>
                <w:sz w:val="24"/>
                <w:szCs w:val="24"/>
                <w:highlight w:val="none"/>
                <w:u w:val="single"/>
                <w:lang w:val="en-US" w:eastAsia="zh-CN" w:bidi="ar-SA"/>
              </w:rPr>
              <w:t>泽普县中小学及幼儿园2023-2024学年食堂食材采购项目（二次）</w:t>
            </w:r>
            <w:r>
              <w:rPr>
                <w:rFonts w:hint="eastAsia" w:ascii="宋体" w:hAnsi="宋体" w:eastAsia="宋体" w:cs="宋体"/>
                <w:b w:val="0"/>
                <w:color w:val="000000"/>
                <w:kern w:val="2"/>
                <w:sz w:val="24"/>
                <w:szCs w:val="24"/>
                <w:highlight w:val="none"/>
                <w:lang w:val="en-US" w:eastAsia="zh-CN" w:bidi="ar-SA"/>
              </w:rPr>
              <w:t>的潜在供应商应在</w:t>
            </w:r>
            <w:r>
              <w:rPr>
                <w:rFonts w:hint="eastAsia" w:ascii="宋体" w:hAnsi="宋体" w:eastAsia="宋体" w:cs="宋体"/>
                <w:b w:val="0"/>
                <w:color w:val="000000"/>
                <w:kern w:val="2"/>
                <w:sz w:val="24"/>
                <w:szCs w:val="24"/>
                <w:highlight w:val="none"/>
                <w:u w:val="single"/>
                <w:lang w:val="en-US" w:eastAsia="zh-CN" w:bidi="ar-SA"/>
              </w:rPr>
              <w:t>政采云平台（https://login.zcygov.cn/user-login/#/login）</w:t>
            </w:r>
            <w:r>
              <w:rPr>
                <w:rFonts w:hint="eastAsia" w:ascii="宋体" w:hAnsi="宋体" w:eastAsia="宋体" w:cs="宋体"/>
                <w:b w:val="0"/>
                <w:color w:val="000000"/>
                <w:kern w:val="2"/>
                <w:sz w:val="24"/>
                <w:szCs w:val="24"/>
                <w:highlight w:val="none"/>
                <w:lang w:val="en-US" w:eastAsia="zh-CN" w:bidi="ar-SA"/>
              </w:rPr>
              <w:t>获取招标文件，并</w:t>
            </w:r>
            <w:r>
              <w:rPr>
                <w:rFonts w:hint="eastAsia" w:ascii="宋体" w:hAnsi="宋体" w:eastAsia="宋体" w:cs="宋体"/>
                <w:b w:val="0"/>
                <w:color w:val="000000"/>
                <w:kern w:val="2"/>
                <w:sz w:val="24"/>
                <w:szCs w:val="24"/>
                <w:highlight w:val="none"/>
                <w:u w:val="none"/>
                <w:lang w:val="en-US" w:eastAsia="zh-CN" w:bidi="ar-SA"/>
              </w:rPr>
              <w:t>于</w:t>
            </w:r>
            <w:r>
              <w:rPr>
                <w:rFonts w:hint="eastAsia" w:ascii="宋体" w:hAnsi="宋体" w:eastAsia="宋体" w:cs="宋体"/>
                <w:b w:val="0"/>
                <w:color w:val="000000"/>
                <w:kern w:val="2"/>
                <w:sz w:val="24"/>
                <w:szCs w:val="24"/>
                <w:highlight w:val="none"/>
                <w:u w:val="single"/>
                <w:lang w:val="en-US" w:eastAsia="zh-CN" w:bidi="ar-SA"/>
              </w:rPr>
              <w:t>2</w:t>
            </w:r>
            <w:r>
              <w:rPr>
                <w:rFonts w:hint="eastAsia" w:ascii="宋体" w:hAnsi="宋体" w:cs="宋体"/>
                <w:b w:val="0"/>
                <w:color w:val="000000"/>
                <w:kern w:val="2"/>
                <w:sz w:val="24"/>
                <w:szCs w:val="24"/>
                <w:highlight w:val="none"/>
                <w:u w:val="single"/>
                <w:lang w:val="en-US" w:eastAsia="zh-CN" w:bidi="ar-SA"/>
              </w:rPr>
              <w:t>023年10月12日16:00</w:t>
            </w:r>
            <w:r>
              <w:rPr>
                <w:rFonts w:hint="eastAsia" w:ascii="宋体" w:hAnsi="宋体" w:eastAsia="宋体" w:cs="宋体"/>
                <w:b w:val="0"/>
                <w:color w:val="000000"/>
                <w:kern w:val="2"/>
                <w:sz w:val="24"/>
                <w:szCs w:val="24"/>
                <w:highlight w:val="none"/>
                <w:u w:val="single"/>
                <w:lang w:val="en-US" w:eastAsia="zh-CN" w:bidi="ar-SA"/>
              </w:rPr>
              <w:t>（北京时间）</w:t>
            </w:r>
            <w:r>
              <w:rPr>
                <w:rFonts w:hint="eastAsia" w:ascii="宋体" w:hAnsi="宋体" w:eastAsia="宋体" w:cs="宋体"/>
                <w:b w:val="0"/>
                <w:color w:val="000000"/>
                <w:kern w:val="2"/>
                <w:sz w:val="24"/>
                <w:szCs w:val="24"/>
                <w:highlight w:val="none"/>
                <w:lang w:val="en-US" w:eastAsia="zh-CN" w:bidi="ar-SA"/>
              </w:rPr>
              <w:t>前上传投标文件。</w:t>
            </w:r>
          </w:p>
        </w:tc>
      </w:tr>
    </w:tbl>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b/>
          <w:bCs w:val="0"/>
          <w:color w:val="auto"/>
          <w:sz w:val="24"/>
          <w:szCs w:val="24"/>
          <w:highlight w:val="none"/>
        </w:rPr>
      </w:pPr>
      <w:bookmarkStart w:id="1539" w:name="_Toc28359079"/>
      <w:bookmarkStart w:id="1540" w:name="_Toc35393790"/>
      <w:bookmarkStart w:id="1541" w:name="_Toc35393621"/>
      <w:bookmarkStart w:id="1542" w:name="_Toc28217"/>
      <w:bookmarkStart w:id="1543" w:name="_Toc28359002"/>
      <w:bookmarkStart w:id="1544" w:name="_Toc20970"/>
      <w:bookmarkStart w:id="1545" w:name="_Toc28253"/>
      <w:bookmarkStart w:id="1546" w:name="_Hlk24379207"/>
      <w:r>
        <w:rPr>
          <w:rFonts w:hint="eastAsia" w:ascii="宋体" w:hAnsi="宋体" w:eastAsia="宋体" w:cs="宋体"/>
          <w:b/>
          <w:bCs w:val="0"/>
          <w:color w:val="auto"/>
          <w:sz w:val="24"/>
          <w:szCs w:val="24"/>
          <w:highlight w:val="none"/>
        </w:rPr>
        <w:t>一、</w:t>
      </w:r>
      <w:bookmarkEnd w:id="1539"/>
      <w:bookmarkEnd w:id="1540"/>
      <w:bookmarkEnd w:id="1541"/>
      <w:bookmarkEnd w:id="1542"/>
      <w:bookmarkEnd w:id="1543"/>
      <w:r>
        <w:rPr>
          <w:rFonts w:hint="eastAsia" w:ascii="宋体" w:hAnsi="宋体" w:eastAsia="宋体" w:cs="宋体"/>
          <w:b/>
          <w:bCs w:val="0"/>
          <w:color w:val="auto"/>
          <w:sz w:val="24"/>
          <w:szCs w:val="24"/>
          <w:highlight w:val="none"/>
        </w:rPr>
        <w:t>项目基本情况</w:t>
      </w:r>
      <w:bookmarkEnd w:id="1544"/>
      <w:bookmarkEnd w:id="1545"/>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auto"/>
          <w:sz w:val="24"/>
          <w:szCs w:val="24"/>
          <w:highlight w:val="none"/>
          <w:lang w:val="en-US" w:eastAsia="zh-CN"/>
        </w:rPr>
        <w:t>1.项目编号</w:t>
      </w:r>
      <w:r>
        <w:rPr>
          <w:rFonts w:hint="eastAsia" w:ascii="宋体" w:hAnsi="宋体" w:eastAsia="宋体" w:cs="宋体"/>
          <w:color w:val="000000"/>
          <w:sz w:val="24"/>
          <w:szCs w:val="24"/>
          <w:highlight w:val="none"/>
          <w:lang w:val="en-US" w:eastAsia="zh-CN"/>
        </w:rPr>
        <w:t>：</w:t>
      </w:r>
      <w:r>
        <w:rPr>
          <w:rFonts w:hint="eastAsia" w:ascii="宋体" w:hAnsi="宋体" w:cs="宋体"/>
          <w:color w:val="000000"/>
          <w:sz w:val="24"/>
          <w:szCs w:val="24"/>
          <w:highlight w:val="none"/>
          <w:lang w:val="en-US" w:eastAsia="zh-CN"/>
        </w:rPr>
        <w:t>ZPDL(2023)032-2</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2.项目名称：</w:t>
      </w:r>
      <w:bookmarkEnd w:id="1546"/>
      <w:r>
        <w:rPr>
          <w:rFonts w:hint="eastAsia" w:ascii="宋体" w:hAnsi="宋体" w:cs="宋体"/>
          <w:color w:val="auto"/>
          <w:sz w:val="24"/>
          <w:szCs w:val="24"/>
          <w:highlight w:val="none"/>
          <w:lang w:val="en-US" w:eastAsia="zh-CN"/>
        </w:rPr>
        <w:t>泽普县中小学及幼儿园2023-2024学年食堂食材采购项目（二次）</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3.采购方式：公开招标</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4.预算金额（元）</w:t>
      </w:r>
      <w:r>
        <w:rPr>
          <w:rFonts w:hint="eastAsia" w:ascii="宋体" w:hAnsi="宋体" w:eastAsia="宋体" w:cs="宋体"/>
          <w:b w:val="0"/>
          <w:bCs w:val="0"/>
          <w:color w:val="auto"/>
          <w:sz w:val="24"/>
          <w:szCs w:val="24"/>
          <w:highlight w:val="none"/>
          <w:lang w:val="en-US" w:eastAsia="zh-CN"/>
        </w:rPr>
        <w:t>：</w:t>
      </w:r>
      <w:r>
        <w:rPr>
          <w:rFonts w:hint="eastAsia" w:ascii="宋体" w:hAnsi="宋体" w:cs="宋体"/>
          <w:b w:val="0"/>
          <w:bCs w:val="0"/>
          <w:color w:val="auto"/>
          <w:sz w:val="24"/>
          <w:szCs w:val="24"/>
          <w:highlight w:val="none"/>
          <w:lang w:val="en-US" w:eastAsia="zh-CN"/>
        </w:rPr>
        <w:t>67</w:t>
      </w:r>
      <w:r>
        <w:rPr>
          <w:rFonts w:hint="eastAsia" w:ascii="宋体" w:hAnsi="宋体" w:cs="宋体"/>
          <w:color w:val="auto"/>
          <w:sz w:val="24"/>
          <w:szCs w:val="24"/>
          <w:highlight w:val="none"/>
          <w:lang w:val="en-US" w:eastAsia="zh-CN"/>
        </w:rPr>
        <w:t>186830</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color w:val="auto"/>
          <w:sz w:val="24"/>
          <w:szCs w:val="24"/>
          <w:highlight w:val="none"/>
          <w:lang w:val="en-US" w:eastAsia="zh-CN"/>
        </w:rPr>
        <w:t>5.最高限价（元）：</w:t>
      </w:r>
      <w:r>
        <w:rPr>
          <w:rFonts w:hint="eastAsia" w:ascii="宋体" w:hAnsi="宋体" w:cs="宋体"/>
          <w:color w:val="auto"/>
          <w:sz w:val="24"/>
          <w:szCs w:val="24"/>
          <w:highlight w:val="none"/>
          <w:lang w:val="en-US" w:eastAsia="zh-CN"/>
        </w:rPr>
        <w:t>20543730，46643100</w:t>
      </w:r>
    </w:p>
    <w:p>
      <w:pPr>
        <w:keepNext w:val="0"/>
        <w:pageBreakBefore w:val="0"/>
        <w:widowControl w:val="0"/>
        <w:shd w:val="clear" w:color="auto" w:fill="auto"/>
        <w:kinsoku/>
        <w:wordWrap/>
        <w:overflowPunct/>
        <w:topLinePunct w:val="0"/>
        <w:autoSpaceDE/>
        <w:autoSpaceDN/>
        <w:bidi w:val="0"/>
        <w:adjustRightInd/>
        <w:snapToGrid w:val="0"/>
        <w:spacing w:before="0" w:beforeAutospacing="0" w:after="0" w:afterAutospacing="0" w:line="360" w:lineRule="exact"/>
        <w:ind w:left="0" w:leftChars="0" w:firstLine="480" w:firstLineChars="200"/>
        <w:jc w:val="both"/>
        <w:textAlignment w:val="baseline"/>
        <w:rPr>
          <w:rFonts w:hint="eastAsia" w:ascii="宋体" w:hAnsi="宋体" w:eastAsia="宋体" w:cs="宋体"/>
          <w:b w:val="0"/>
          <w:i w:val="0"/>
          <w:caps w:val="0"/>
          <w:color w:val="auto"/>
          <w:spacing w:val="0"/>
          <w:w w:val="100"/>
          <w:kern w:val="0"/>
          <w:sz w:val="24"/>
          <w:szCs w:val="24"/>
          <w:highlight w:val="none"/>
          <w:lang w:val="en-US" w:eastAsia="zh-CN" w:bidi="ar-SA"/>
        </w:rPr>
      </w:pPr>
      <w:bookmarkStart w:id="1547" w:name="_Toc35393791"/>
      <w:bookmarkStart w:id="1548" w:name="_Toc19260"/>
      <w:bookmarkStart w:id="1549" w:name="_Toc29506"/>
      <w:bookmarkStart w:id="1550" w:name="_Toc35393622"/>
      <w:bookmarkStart w:id="1551" w:name="_Toc28359003"/>
      <w:bookmarkStart w:id="1552" w:name="_Toc13688"/>
      <w:bookmarkStart w:id="1553" w:name="_Toc28359080"/>
      <w:r>
        <w:rPr>
          <w:rFonts w:hint="eastAsia" w:ascii="宋体" w:hAnsi="宋体" w:eastAsia="宋体" w:cs="宋体"/>
          <w:b w:val="0"/>
          <w:i w:val="0"/>
          <w:caps w:val="0"/>
          <w:color w:val="auto"/>
          <w:spacing w:val="0"/>
          <w:w w:val="100"/>
          <w:kern w:val="0"/>
          <w:sz w:val="24"/>
          <w:szCs w:val="24"/>
          <w:highlight w:val="none"/>
          <w:lang w:val="en-US" w:eastAsia="zh-CN" w:bidi="ar-SA"/>
        </w:rPr>
        <w:t>6、采购需求：</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标项1：</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标项名称：</w:t>
      </w:r>
      <w:r>
        <w:rPr>
          <w:rFonts w:hint="eastAsia" w:ascii="宋体" w:hAnsi="宋体" w:cs="宋体"/>
          <w:b w:val="0"/>
          <w:i w:val="0"/>
          <w:caps w:val="0"/>
          <w:color w:val="000000"/>
          <w:spacing w:val="0"/>
          <w:w w:val="100"/>
          <w:kern w:val="0"/>
          <w:sz w:val="24"/>
          <w:szCs w:val="24"/>
          <w:highlight w:val="none"/>
          <w:lang w:val="en-US" w:eastAsia="zh-CN" w:bidi="ar-SA"/>
        </w:rPr>
        <w:t>米面油、副食品一批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数量：一批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预算金额(元)：</w:t>
      </w:r>
      <w:r>
        <w:rPr>
          <w:rFonts w:hint="eastAsia" w:ascii="宋体" w:hAnsi="宋体" w:cs="宋体"/>
          <w:color w:val="auto"/>
          <w:sz w:val="24"/>
          <w:szCs w:val="24"/>
          <w:highlight w:val="none"/>
          <w:lang w:val="en-US" w:eastAsia="zh-CN"/>
        </w:rPr>
        <w:t>20543730</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简要规格描述或项目基本概况介绍、用途：</w:t>
      </w:r>
      <w:r>
        <w:rPr>
          <w:rFonts w:hint="eastAsia" w:ascii="宋体" w:hAnsi="宋体" w:cs="宋体"/>
          <w:b w:val="0"/>
          <w:i w:val="0"/>
          <w:caps w:val="0"/>
          <w:color w:val="000000"/>
          <w:spacing w:val="0"/>
          <w:w w:val="100"/>
          <w:kern w:val="0"/>
          <w:sz w:val="24"/>
          <w:szCs w:val="24"/>
          <w:highlight w:val="none"/>
          <w:lang w:val="en-US" w:eastAsia="zh-CN" w:bidi="ar-SA"/>
        </w:rPr>
        <w:t>米面油、副食品一批</w:t>
      </w:r>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备注：无。</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标项2：</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cs="宋体"/>
          <w:b w:val="0"/>
          <w:i w:val="0"/>
          <w:caps w:val="0"/>
          <w:color w:val="000000"/>
          <w:spacing w:val="0"/>
          <w:w w:val="100"/>
          <w:kern w:val="0"/>
          <w:sz w:val="24"/>
          <w:szCs w:val="24"/>
          <w:highlight w:val="none"/>
          <w:lang w:val="en-US" w:eastAsia="zh-CN" w:bidi="ar-SA"/>
        </w:rPr>
      </w:pPr>
      <w:r>
        <w:rPr>
          <w:rFonts w:hint="eastAsia" w:ascii="宋体" w:hAnsi="宋体" w:eastAsia="宋体" w:cs="宋体"/>
          <w:color w:val="auto"/>
          <w:sz w:val="24"/>
          <w:szCs w:val="24"/>
          <w:highlight w:val="none"/>
          <w:lang w:val="en-US" w:eastAsia="zh-CN"/>
        </w:rPr>
        <w:t>标项名称：</w:t>
      </w:r>
      <w:r>
        <w:rPr>
          <w:rFonts w:hint="eastAsia" w:ascii="宋体" w:hAnsi="宋体" w:cs="宋体"/>
          <w:b w:val="0"/>
          <w:i w:val="0"/>
          <w:caps w:val="0"/>
          <w:color w:val="000000"/>
          <w:spacing w:val="0"/>
          <w:w w:val="100"/>
          <w:kern w:val="0"/>
          <w:sz w:val="24"/>
          <w:szCs w:val="24"/>
          <w:highlight w:val="none"/>
          <w:lang w:val="en-US" w:eastAsia="zh-CN" w:bidi="ar-SA"/>
        </w:rPr>
        <w:t>蔬菜水果鸡蛋及肉制品一批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数量：一批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预算金额(元)：</w:t>
      </w:r>
      <w:r>
        <w:rPr>
          <w:rFonts w:hint="eastAsia" w:ascii="宋体" w:hAnsi="宋体" w:cs="宋体"/>
          <w:color w:val="auto"/>
          <w:sz w:val="24"/>
          <w:szCs w:val="24"/>
          <w:highlight w:val="none"/>
          <w:lang w:val="en-US" w:eastAsia="zh-CN"/>
        </w:rPr>
        <w:t>46643100</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简要规格描述或项目基本概况介绍、用途：</w:t>
      </w:r>
      <w:r>
        <w:rPr>
          <w:rFonts w:hint="eastAsia" w:ascii="宋体" w:hAnsi="宋体" w:cs="宋体"/>
          <w:b w:val="0"/>
          <w:i w:val="0"/>
          <w:caps w:val="0"/>
          <w:color w:val="000000"/>
          <w:spacing w:val="0"/>
          <w:w w:val="100"/>
          <w:kern w:val="0"/>
          <w:sz w:val="24"/>
          <w:szCs w:val="24"/>
          <w:highlight w:val="none"/>
          <w:lang w:val="en-US" w:eastAsia="zh-CN" w:bidi="ar-SA"/>
        </w:rPr>
        <w:t>蔬菜水果鸡蛋及肉制品一批</w:t>
      </w:r>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备注：无。</w:t>
      </w:r>
    </w:p>
    <w:p>
      <w:pPr>
        <w:keepNext w:val="0"/>
        <w:pageBreakBefore w:val="0"/>
        <w:widowControl w:val="0"/>
        <w:shd w:val="clear" w:color="auto" w:fill="auto"/>
        <w:kinsoku/>
        <w:wordWrap/>
        <w:overflowPunct/>
        <w:topLinePunct w:val="0"/>
        <w:autoSpaceDE/>
        <w:autoSpaceDN/>
        <w:bidi w:val="0"/>
        <w:adjustRightInd/>
        <w:snapToGrid w:val="0"/>
        <w:spacing w:before="0" w:beforeAutospacing="0" w:after="0" w:afterAutospacing="0" w:line="360" w:lineRule="exact"/>
        <w:ind w:left="0" w:leftChars="0" w:firstLine="480" w:firstLineChars="200"/>
        <w:jc w:val="both"/>
        <w:textAlignment w:val="baseline"/>
        <w:rPr>
          <w:rFonts w:hint="eastAsia" w:ascii="宋体" w:hAnsi="宋体" w:eastAsia="宋体" w:cs="宋体"/>
          <w:b w:val="0"/>
          <w:i w:val="0"/>
          <w:caps w:val="0"/>
          <w:color w:val="000000"/>
          <w:spacing w:val="0"/>
          <w:w w:val="100"/>
          <w:kern w:val="0"/>
          <w:sz w:val="24"/>
          <w:szCs w:val="24"/>
          <w:highlight w:val="none"/>
          <w:lang w:val="en-US" w:eastAsia="zh-CN" w:bidi="ar-SA"/>
        </w:rPr>
      </w:pPr>
      <w:r>
        <w:rPr>
          <w:rFonts w:hint="eastAsia" w:ascii="宋体" w:hAnsi="宋体" w:eastAsia="宋体" w:cs="宋体"/>
          <w:b w:val="0"/>
          <w:i w:val="0"/>
          <w:caps w:val="0"/>
          <w:color w:val="000000"/>
          <w:spacing w:val="0"/>
          <w:w w:val="100"/>
          <w:kern w:val="0"/>
          <w:sz w:val="24"/>
          <w:szCs w:val="24"/>
          <w:highlight w:val="none"/>
          <w:lang w:val="en-US" w:eastAsia="zh-CN" w:bidi="ar-SA"/>
        </w:rPr>
        <w:t>合同履约期限：标项1、标项2：详见招标文件。</w:t>
      </w:r>
    </w:p>
    <w:p>
      <w:pPr>
        <w:keepNext w:val="0"/>
        <w:pageBreakBefore w:val="0"/>
        <w:widowControl w:val="0"/>
        <w:shd w:val="clear" w:color="auto" w:fill="auto"/>
        <w:kinsoku/>
        <w:wordWrap/>
        <w:overflowPunct/>
        <w:topLinePunct w:val="0"/>
        <w:autoSpaceDE/>
        <w:autoSpaceDN/>
        <w:bidi w:val="0"/>
        <w:adjustRightInd/>
        <w:snapToGrid w:val="0"/>
        <w:spacing w:before="0" w:beforeAutospacing="0" w:after="0" w:afterAutospacing="0" w:line="360" w:lineRule="exact"/>
        <w:ind w:left="0" w:leftChars="0" w:firstLine="480" w:firstLineChars="200"/>
        <w:jc w:val="both"/>
        <w:textAlignment w:val="baseline"/>
        <w:rPr>
          <w:rFonts w:hint="eastAsia" w:ascii="宋体" w:hAnsi="宋体" w:eastAsia="宋体" w:cs="宋体"/>
          <w:b w:val="0"/>
          <w:i w:val="0"/>
          <w:caps w:val="0"/>
          <w:color w:val="000000"/>
          <w:spacing w:val="0"/>
          <w:w w:val="100"/>
          <w:kern w:val="0"/>
          <w:sz w:val="24"/>
          <w:szCs w:val="24"/>
          <w:highlight w:val="none"/>
          <w:lang w:val="en-US" w:eastAsia="zh-CN" w:bidi="ar-SA"/>
        </w:rPr>
      </w:pPr>
      <w:r>
        <w:rPr>
          <w:rFonts w:hint="eastAsia" w:ascii="宋体" w:hAnsi="宋体" w:eastAsia="宋体" w:cs="宋体"/>
          <w:b w:val="0"/>
          <w:i w:val="0"/>
          <w:caps w:val="0"/>
          <w:color w:val="000000"/>
          <w:spacing w:val="0"/>
          <w:w w:val="100"/>
          <w:kern w:val="0"/>
          <w:sz w:val="24"/>
          <w:szCs w:val="24"/>
          <w:highlight w:val="none"/>
          <w:lang w:val="en-US" w:eastAsia="zh-CN" w:bidi="ar-SA"/>
        </w:rPr>
        <w:t>7、本项目不接受联合体投标。</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b/>
          <w:bCs/>
          <w:i w:val="0"/>
          <w:caps w:val="0"/>
          <w:color w:val="FF0000"/>
          <w:spacing w:val="0"/>
          <w:w w:val="100"/>
          <w:kern w:val="0"/>
          <w:sz w:val="24"/>
          <w:szCs w:val="24"/>
          <w:highlight w:val="none"/>
          <w:lang w:val="en-US" w:eastAsia="zh-CN" w:bidi="ar-SA"/>
        </w:rPr>
      </w:pPr>
      <w:r>
        <w:rPr>
          <w:rFonts w:hint="eastAsia" w:ascii="宋体" w:hAnsi="宋体" w:eastAsia="宋体" w:cs="宋体"/>
          <w:b/>
          <w:bCs w:val="0"/>
          <w:color w:val="000000"/>
          <w:sz w:val="24"/>
          <w:szCs w:val="24"/>
          <w:highlight w:val="none"/>
        </w:rPr>
        <w:t>二、</w:t>
      </w:r>
      <w:r>
        <w:rPr>
          <w:rFonts w:hint="eastAsia" w:ascii="宋体" w:hAnsi="宋体" w:cs="宋体"/>
          <w:b/>
          <w:bCs w:val="0"/>
          <w:color w:val="000000"/>
          <w:sz w:val="24"/>
          <w:szCs w:val="24"/>
          <w:highlight w:val="none"/>
          <w:lang w:eastAsia="zh-CN"/>
        </w:rPr>
        <w:t>申请人的</w:t>
      </w:r>
      <w:r>
        <w:rPr>
          <w:rFonts w:hint="eastAsia" w:ascii="宋体" w:hAnsi="宋体" w:eastAsia="宋体" w:cs="宋体"/>
          <w:b/>
          <w:bCs w:val="0"/>
          <w:color w:val="000000"/>
          <w:sz w:val="24"/>
          <w:szCs w:val="24"/>
          <w:highlight w:val="none"/>
        </w:rPr>
        <w:t>资格要求：</w:t>
      </w:r>
      <w:bookmarkEnd w:id="1547"/>
      <w:bookmarkEnd w:id="1548"/>
      <w:bookmarkEnd w:id="1549"/>
      <w:bookmarkEnd w:id="1550"/>
      <w:bookmarkEnd w:id="1551"/>
      <w:bookmarkEnd w:id="1552"/>
      <w:bookmarkEnd w:id="1553"/>
      <w:r>
        <w:rPr>
          <w:rFonts w:hint="eastAsia" w:ascii="宋体" w:hAnsi="宋体" w:eastAsia="宋体" w:cs="宋体"/>
          <w:b/>
          <w:bCs w:val="0"/>
          <w:color w:val="FF0000"/>
          <w:sz w:val="24"/>
          <w:szCs w:val="24"/>
          <w:highlight w:val="none"/>
        </w:rPr>
        <w:t xml:space="preserve"> </w:t>
      </w:r>
    </w:p>
    <w:p>
      <w:pPr>
        <w:keepNext w:val="0"/>
        <w:pageBreakBefore w:val="0"/>
        <w:widowControl w:val="0"/>
        <w:shd w:val="clear" w:color="auto" w:fill="auto"/>
        <w:kinsoku/>
        <w:wordWrap/>
        <w:overflowPunct/>
        <w:topLinePunct w:val="0"/>
        <w:autoSpaceDE/>
        <w:autoSpaceDN/>
        <w:bidi w:val="0"/>
        <w:adjustRightInd/>
        <w:snapToGrid w:val="0"/>
        <w:spacing w:before="0" w:beforeAutospacing="0" w:after="0" w:afterAutospacing="0" w:line="360" w:lineRule="exact"/>
        <w:jc w:val="both"/>
        <w:textAlignment w:val="baseline"/>
        <w:rPr>
          <w:rFonts w:hint="eastAsia" w:ascii="宋体" w:hAnsi="宋体" w:eastAsia="宋体" w:cs="宋体"/>
          <w:b w:val="0"/>
          <w:i w:val="0"/>
          <w:caps w:val="0"/>
          <w:color w:val="000000"/>
          <w:spacing w:val="0"/>
          <w:w w:val="100"/>
          <w:kern w:val="0"/>
          <w:sz w:val="24"/>
          <w:szCs w:val="24"/>
          <w:highlight w:val="none"/>
          <w:lang w:val="en-US" w:eastAsia="zh-CN" w:bidi="ar-SA"/>
        </w:rPr>
      </w:pPr>
      <w:r>
        <w:rPr>
          <w:rFonts w:hint="eastAsia" w:ascii="宋体" w:hAnsi="宋体" w:eastAsia="宋体" w:cs="宋体"/>
          <w:b w:val="0"/>
          <w:i w:val="0"/>
          <w:caps w:val="0"/>
          <w:color w:val="000000"/>
          <w:spacing w:val="0"/>
          <w:w w:val="100"/>
          <w:kern w:val="0"/>
          <w:sz w:val="24"/>
          <w:szCs w:val="24"/>
          <w:highlight w:val="none"/>
          <w:lang w:val="en-US" w:eastAsia="zh-CN" w:bidi="ar-SA"/>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b w:val="0"/>
          <w:i w:val="0"/>
          <w:caps w:val="0"/>
          <w:color w:val="000000"/>
          <w:spacing w:val="0"/>
          <w:w w:val="100"/>
          <w:kern w:val="0"/>
          <w:sz w:val="24"/>
          <w:szCs w:val="24"/>
          <w:highlight w:val="none"/>
          <w:lang w:val="en-US" w:eastAsia="zh-CN" w:bidi="ar-SA"/>
        </w:rPr>
      </w:pPr>
      <w:r>
        <w:rPr>
          <w:rFonts w:hint="eastAsia" w:ascii="宋体" w:hAnsi="宋体" w:eastAsia="宋体" w:cs="宋体"/>
          <w:b w:val="0"/>
          <w:i w:val="0"/>
          <w:caps w:val="0"/>
          <w:color w:val="000000"/>
          <w:spacing w:val="0"/>
          <w:w w:val="100"/>
          <w:kern w:val="0"/>
          <w:sz w:val="24"/>
          <w:szCs w:val="24"/>
          <w:highlight w:val="none"/>
          <w:lang w:val="en-US" w:eastAsia="zh-CN" w:bidi="ar-SA"/>
        </w:rPr>
        <w:t>2.落实政府采购政策需满足的资格要求：</w:t>
      </w:r>
      <w:r>
        <w:rPr>
          <w:rFonts w:hint="eastAsia" w:ascii="宋体" w:hAnsi="宋体" w:cs="宋体"/>
          <w:b w:val="0"/>
          <w:i w:val="0"/>
          <w:caps w:val="0"/>
          <w:color w:val="000000"/>
          <w:spacing w:val="0"/>
          <w:w w:val="100"/>
          <w:kern w:val="0"/>
          <w:sz w:val="24"/>
          <w:szCs w:val="24"/>
          <w:highlight w:val="none"/>
          <w:lang w:val="en-US" w:eastAsia="zh-CN" w:bidi="ar-SA"/>
        </w:rPr>
        <w:t>标项一、标项二</w:t>
      </w:r>
      <w:r>
        <w:rPr>
          <w:rFonts w:hint="eastAsia" w:ascii="宋体" w:hAnsi="宋体" w:eastAsia="宋体" w:cs="宋体"/>
          <w:b w:val="0"/>
          <w:i w:val="0"/>
          <w:caps w:val="0"/>
          <w:color w:val="000000"/>
          <w:spacing w:val="0"/>
          <w:w w:val="100"/>
          <w:kern w:val="0"/>
          <w:sz w:val="24"/>
          <w:szCs w:val="24"/>
          <w:highlight w:val="none"/>
          <w:lang w:val="en-US" w:eastAsia="zh-CN" w:bidi="ar-SA"/>
        </w:rPr>
        <w:t>专门面向中小企业。</w:t>
      </w:r>
    </w:p>
    <w:p>
      <w:pPr>
        <w:pStyle w:val="21"/>
        <w:rPr>
          <w:rFonts w:hint="eastAsia"/>
          <w:lang w:val="en-US" w:eastAsia="zh-CN"/>
        </w:rPr>
      </w:pPr>
      <w:r>
        <w:rPr>
          <w:rFonts w:hint="eastAsia" w:ascii="宋体" w:hAnsi="宋体" w:cs="宋体"/>
          <w:b w:val="0"/>
          <w:i w:val="0"/>
          <w:caps w:val="0"/>
          <w:color w:val="000000"/>
          <w:spacing w:val="0"/>
          <w:w w:val="100"/>
          <w:kern w:val="0"/>
          <w:sz w:val="24"/>
          <w:szCs w:val="24"/>
          <w:highlight w:val="none"/>
          <w:lang w:val="en-US" w:eastAsia="zh-CN" w:bidi="ar-SA"/>
        </w:rPr>
        <w:t>3.本项目的特定资格要求：标项一、标项二具备《食品经营许可证》或《食品生产许可证》</w:t>
      </w:r>
      <w:r>
        <w:rPr>
          <w:rFonts w:hint="eastAsia" w:ascii="宋体" w:hAnsi="宋体" w:eastAsia="宋体" w:cs="宋体"/>
          <w:b w:val="0"/>
          <w:i w:val="0"/>
          <w:caps w:val="0"/>
          <w:color w:val="000000"/>
          <w:spacing w:val="0"/>
          <w:w w:val="100"/>
          <w:kern w:val="0"/>
          <w:sz w:val="24"/>
          <w:szCs w:val="24"/>
          <w:highlight w:val="none"/>
          <w:lang w:val="en-US" w:eastAsia="zh-CN" w:bidi="ar-SA"/>
        </w:rPr>
        <w:t>；</w:t>
      </w:r>
    </w:p>
    <w:p>
      <w:pPr>
        <w:pStyle w:val="21"/>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三、获取采购文件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获取时间：2023年</w:t>
      </w:r>
      <w:r>
        <w:rPr>
          <w:rFonts w:hint="eastAsia" w:ascii="宋体" w:hAnsi="宋体" w:cs="宋体"/>
          <w:color w:val="000000"/>
          <w:sz w:val="24"/>
          <w:szCs w:val="24"/>
          <w:highlight w:val="none"/>
          <w:lang w:val="en-US" w:eastAsia="zh-CN"/>
        </w:rPr>
        <w:t>9</w:t>
      </w:r>
      <w:r>
        <w:rPr>
          <w:rFonts w:hint="eastAsia" w:ascii="宋体" w:hAnsi="宋体" w:eastAsia="宋体" w:cs="宋体"/>
          <w:color w:val="000000"/>
          <w:sz w:val="24"/>
          <w:szCs w:val="24"/>
          <w:highlight w:val="none"/>
          <w:lang w:val="en-US" w:eastAsia="zh-CN"/>
        </w:rPr>
        <w:t>月</w:t>
      </w:r>
      <w:r>
        <w:rPr>
          <w:rFonts w:hint="eastAsia" w:ascii="宋体" w:hAnsi="宋体" w:cs="宋体"/>
          <w:color w:val="000000"/>
          <w:sz w:val="24"/>
          <w:szCs w:val="24"/>
          <w:highlight w:val="none"/>
          <w:lang w:val="en-US" w:eastAsia="zh-CN"/>
        </w:rPr>
        <w:t>22</w:t>
      </w:r>
      <w:r>
        <w:rPr>
          <w:rFonts w:hint="eastAsia" w:ascii="宋体" w:hAnsi="宋体" w:eastAsia="宋体" w:cs="宋体"/>
          <w:color w:val="000000"/>
          <w:sz w:val="24"/>
          <w:szCs w:val="24"/>
          <w:highlight w:val="none"/>
          <w:lang w:val="en-US" w:eastAsia="zh-CN"/>
        </w:rPr>
        <w:t>日至2023年</w:t>
      </w:r>
      <w:r>
        <w:rPr>
          <w:rFonts w:hint="eastAsia" w:ascii="宋体" w:hAnsi="宋体" w:cs="宋体"/>
          <w:color w:val="000000"/>
          <w:sz w:val="24"/>
          <w:szCs w:val="24"/>
          <w:highlight w:val="none"/>
          <w:lang w:val="en-US" w:eastAsia="zh-CN"/>
        </w:rPr>
        <w:t>10</w:t>
      </w:r>
      <w:r>
        <w:rPr>
          <w:rFonts w:hint="eastAsia" w:ascii="宋体" w:hAnsi="宋体" w:eastAsia="宋体" w:cs="宋体"/>
          <w:color w:val="000000"/>
          <w:sz w:val="24"/>
          <w:szCs w:val="24"/>
          <w:highlight w:val="none"/>
          <w:lang w:val="en-US" w:eastAsia="zh-CN"/>
        </w:rPr>
        <w:t>月</w:t>
      </w:r>
      <w:r>
        <w:rPr>
          <w:rFonts w:hint="eastAsia" w:ascii="宋体" w:hAnsi="宋体" w:cs="宋体"/>
          <w:color w:val="000000"/>
          <w:sz w:val="24"/>
          <w:szCs w:val="24"/>
          <w:highlight w:val="none"/>
          <w:lang w:val="en-US" w:eastAsia="zh-CN"/>
        </w:rPr>
        <w:t>07</w:t>
      </w:r>
      <w:r>
        <w:rPr>
          <w:rFonts w:hint="eastAsia" w:ascii="宋体" w:hAnsi="宋体" w:eastAsia="宋体" w:cs="宋体"/>
          <w:color w:val="000000"/>
          <w:sz w:val="24"/>
          <w:szCs w:val="24"/>
          <w:highlight w:val="none"/>
          <w:lang w:val="en-US" w:eastAsia="zh-CN"/>
        </w:rPr>
        <w:t>日，每天上午10:00至14:00，下午1</w:t>
      </w:r>
      <w:r>
        <w:rPr>
          <w:rFonts w:hint="eastAsia" w:ascii="宋体" w:hAnsi="宋体" w:cs="宋体"/>
          <w:color w:val="000000"/>
          <w:sz w:val="24"/>
          <w:szCs w:val="24"/>
          <w:highlight w:val="none"/>
          <w:lang w:val="en-US" w:eastAsia="zh-CN"/>
        </w:rPr>
        <w:t>6</w:t>
      </w:r>
      <w:r>
        <w:rPr>
          <w:rFonts w:hint="eastAsia" w:ascii="宋体" w:hAnsi="宋体" w:eastAsia="宋体" w:cs="宋体"/>
          <w:color w:val="000000"/>
          <w:sz w:val="24"/>
          <w:szCs w:val="24"/>
          <w:highlight w:val="none"/>
          <w:lang w:val="en-US" w:eastAsia="zh-CN"/>
        </w:rPr>
        <w:t>:</w:t>
      </w:r>
      <w:r>
        <w:rPr>
          <w:rFonts w:hint="eastAsia" w:ascii="宋体" w:hAnsi="宋体" w:cs="宋体"/>
          <w:color w:val="000000"/>
          <w:sz w:val="24"/>
          <w:szCs w:val="24"/>
          <w:highlight w:val="none"/>
          <w:lang w:val="en-US" w:eastAsia="zh-CN"/>
        </w:rPr>
        <w:t>0</w:t>
      </w:r>
      <w:r>
        <w:rPr>
          <w:rFonts w:hint="eastAsia" w:ascii="宋体" w:hAnsi="宋体" w:eastAsia="宋体" w:cs="宋体"/>
          <w:color w:val="000000"/>
          <w:sz w:val="24"/>
          <w:szCs w:val="24"/>
          <w:highlight w:val="none"/>
          <w:lang w:val="en-US" w:eastAsia="zh-CN"/>
        </w:rPr>
        <w:t>0至</w:t>
      </w:r>
      <w:r>
        <w:rPr>
          <w:rFonts w:hint="eastAsia" w:ascii="宋体" w:hAnsi="宋体" w:cs="宋体"/>
          <w:color w:val="000000"/>
          <w:sz w:val="24"/>
          <w:szCs w:val="24"/>
          <w:highlight w:val="none"/>
          <w:lang w:val="en-US" w:eastAsia="zh-CN"/>
        </w:rPr>
        <w:t>20</w:t>
      </w:r>
      <w:r>
        <w:rPr>
          <w:rFonts w:hint="eastAsia" w:ascii="宋体" w:hAnsi="宋体" w:eastAsia="宋体" w:cs="宋体"/>
          <w:color w:val="000000"/>
          <w:sz w:val="24"/>
          <w:szCs w:val="24"/>
          <w:highlight w:val="none"/>
          <w:lang w:val="en-US" w:eastAsia="zh-CN"/>
        </w:rPr>
        <w:t>:</w:t>
      </w:r>
      <w:r>
        <w:rPr>
          <w:rFonts w:hint="eastAsia" w:ascii="宋体" w:hAnsi="宋体" w:cs="宋体"/>
          <w:color w:val="000000"/>
          <w:sz w:val="24"/>
          <w:szCs w:val="24"/>
          <w:highlight w:val="none"/>
          <w:lang w:val="en-US" w:eastAsia="zh-CN"/>
        </w:rPr>
        <w:t>0</w:t>
      </w:r>
      <w:r>
        <w:rPr>
          <w:rFonts w:hint="eastAsia" w:ascii="宋体" w:hAnsi="宋体" w:eastAsia="宋体" w:cs="宋体"/>
          <w:color w:val="000000"/>
          <w:sz w:val="24"/>
          <w:szCs w:val="24"/>
          <w:highlight w:val="none"/>
          <w:lang w:val="en-US" w:eastAsia="zh-CN"/>
        </w:rPr>
        <w:t>0（北京时间，法定节假日除外）</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获取方式：供应商登陆政采云平台（https://login.zcygov.cn/user-login/#/login） ，在线申请获取采购文件（登录政府采购云平台 → 项目采购 → 获取采购文件 → 申请，审核通过后可下载招标文件，如有操作性问题，可与政采云在线客服进行咨询，咨询电话：400-881-7190）</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获取地点：政采云平台（https://login.zcygov.cn/user-login/#/login）</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售价（元）：0元</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b/>
          <w:bCs w:val="0"/>
          <w:color w:val="000000"/>
          <w:sz w:val="24"/>
          <w:szCs w:val="24"/>
          <w:highlight w:val="none"/>
        </w:rPr>
      </w:pPr>
      <w:bookmarkStart w:id="1554" w:name="_Toc28359082"/>
      <w:bookmarkStart w:id="1555" w:name="_Toc28359005"/>
      <w:bookmarkStart w:id="1556" w:name="_Toc35393624"/>
      <w:bookmarkStart w:id="1557" w:name="_Toc35393793"/>
      <w:bookmarkStart w:id="1558" w:name="_Toc952"/>
      <w:bookmarkStart w:id="1559" w:name="_Toc2532"/>
      <w:bookmarkStart w:id="1560" w:name="_Toc9047"/>
      <w:bookmarkStart w:id="1561" w:name="_Toc2422"/>
      <w:r>
        <w:rPr>
          <w:rFonts w:hint="eastAsia" w:ascii="宋体" w:hAnsi="宋体" w:eastAsia="宋体" w:cs="宋体"/>
          <w:b/>
          <w:bCs w:val="0"/>
          <w:color w:val="000000"/>
          <w:sz w:val="24"/>
          <w:szCs w:val="24"/>
          <w:highlight w:val="none"/>
        </w:rPr>
        <w:t>四、响应文件提交</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截止时间：2</w:t>
      </w:r>
      <w:r>
        <w:rPr>
          <w:rFonts w:hint="eastAsia" w:ascii="宋体" w:hAnsi="宋体" w:cs="宋体"/>
          <w:color w:val="000000"/>
          <w:sz w:val="24"/>
          <w:szCs w:val="24"/>
          <w:highlight w:val="none"/>
          <w:lang w:val="en-US" w:eastAsia="zh-CN"/>
        </w:rPr>
        <w:t>023年10月12日16:00</w:t>
      </w:r>
      <w:r>
        <w:rPr>
          <w:rFonts w:hint="eastAsia" w:ascii="宋体" w:hAnsi="宋体" w:eastAsia="宋体" w:cs="宋体"/>
          <w:color w:val="000000"/>
          <w:sz w:val="24"/>
          <w:szCs w:val="24"/>
          <w:highlight w:val="none"/>
          <w:lang w:val="en-US" w:eastAsia="zh-CN"/>
        </w:rPr>
        <w:t>（北京时间）</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 xml:space="preserve">地点：政采云平台（https://login.zcygov.cn/user-login/#/login） </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b/>
          <w:bCs w:val="0"/>
          <w:color w:val="000000"/>
          <w:sz w:val="24"/>
          <w:szCs w:val="24"/>
          <w:highlight w:val="none"/>
        </w:rPr>
      </w:pPr>
      <w:r>
        <w:rPr>
          <w:rFonts w:hint="eastAsia" w:ascii="宋体" w:hAnsi="宋体" w:eastAsia="宋体" w:cs="宋体"/>
          <w:b/>
          <w:bCs w:val="0"/>
          <w:color w:val="000000"/>
          <w:sz w:val="24"/>
          <w:szCs w:val="24"/>
          <w:highlight w:val="none"/>
        </w:rPr>
        <w:t xml:space="preserve">五、响应文件开启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开启时间：2</w:t>
      </w:r>
      <w:r>
        <w:rPr>
          <w:rFonts w:hint="eastAsia" w:ascii="宋体" w:hAnsi="宋体" w:cs="宋体"/>
          <w:color w:val="000000"/>
          <w:sz w:val="24"/>
          <w:szCs w:val="24"/>
          <w:highlight w:val="none"/>
          <w:lang w:val="en-US" w:eastAsia="zh-CN"/>
        </w:rPr>
        <w:t>023年10月12日16:00</w:t>
      </w:r>
      <w:r>
        <w:rPr>
          <w:rFonts w:hint="eastAsia" w:ascii="宋体" w:hAnsi="宋体" w:eastAsia="宋体" w:cs="宋体"/>
          <w:color w:val="000000"/>
          <w:sz w:val="24"/>
          <w:szCs w:val="24"/>
          <w:highlight w:val="none"/>
          <w:lang w:val="en-US" w:eastAsia="zh-CN"/>
        </w:rPr>
        <w:t>（北京时间）</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地点：政采云平台（https://login.zcygov.cn/user-login/#/login）</w:t>
      </w:r>
    </w:p>
    <w:bookmarkEnd w:id="1554"/>
    <w:bookmarkEnd w:id="1555"/>
    <w:bookmarkEnd w:id="1556"/>
    <w:bookmarkEnd w:id="1557"/>
    <w:bookmarkEnd w:id="1558"/>
    <w:bookmarkEnd w:id="1559"/>
    <w:bookmarkEnd w:id="1560"/>
    <w:bookmarkEnd w:id="1561"/>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b/>
          <w:bCs w:val="0"/>
          <w:color w:val="auto"/>
          <w:sz w:val="24"/>
          <w:szCs w:val="24"/>
          <w:highlight w:val="none"/>
        </w:rPr>
      </w:pPr>
      <w:bookmarkStart w:id="1562" w:name="_Toc30400"/>
      <w:bookmarkStart w:id="1563" w:name="_Toc35393625"/>
      <w:bookmarkStart w:id="1564" w:name="_Toc23672"/>
      <w:bookmarkStart w:id="1565" w:name="_Toc35393794"/>
      <w:bookmarkStart w:id="1566" w:name="_Toc28359084"/>
      <w:bookmarkStart w:id="1567" w:name="_Toc20863"/>
      <w:bookmarkStart w:id="1568" w:name="_Toc32108"/>
      <w:bookmarkStart w:id="1569" w:name="_Toc28359007"/>
      <w:r>
        <w:rPr>
          <w:rFonts w:hint="eastAsia" w:ascii="宋体" w:hAnsi="宋体" w:eastAsia="宋体" w:cs="宋体"/>
          <w:b/>
          <w:bCs w:val="0"/>
          <w:color w:val="auto"/>
          <w:sz w:val="24"/>
          <w:szCs w:val="24"/>
          <w:highlight w:val="none"/>
        </w:rPr>
        <w:t>六、公告期限</w:t>
      </w:r>
      <w:bookmarkEnd w:id="1562"/>
      <w:bookmarkEnd w:id="1563"/>
      <w:bookmarkEnd w:id="1564"/>
      <w:bookmarkEnd w:id="1565"/>
      <w:bookmarkEnd w:id="1566"/>
      <w:bookmarkEnd w:id="1567"/>
      <w:bookmarkEnd w:id="1568"/>
      <w:bookmarkEnd w:id="1569"/>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自本公告发布之日起5个工作日。</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七、其它补充事宜</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bookmarkStart w:id="1570" w:name="_Toc999"/>
      <w:bookmarkStart w:id="1571" w:name="_Toc35393795"/>
      <w:bookmarkStart w:id="1572" w:name="_Toc35393626"/>
      <w:bookmarkStart w:id="1573" w:name="_Toc13675"/>
      <w:bookmarkStart w:id="1574" w:name="_Toc647"/>
      <w:bookmarkStart w:id="1575" w:name="_Toc18258"/>
      <w:r>
        <w:rPr>
          <w:rFonts w:hint="eastAsia" w:ascii="宋体" w:hAnsi="宋体" w:eastAsia="宋体" w:cs="宋体"/>
          <w:color w:val="auto"/>
          <w:sz w:val="24"/>
          <w:szCs w:val="24"/>
          <w:highlight w:val="none"/>
          <w:lang w:val="en-US" w:eastAsia="zh-CN"/>
        </w:rPr>
        <w:t>1.本项目为电子招投标，供应商需要使用CA加密设备，凡参加本项目必须可自主通过新疆CA申领渠道“新疆政务通”申请政采云平台可使用的CA设备，如原有兵团或公共资源使用的CA，可与新疆CA联系，申请增加电子证书即可，无需重复申领。如需咨询，请联系新疆CA服务热线0991-2819290（喀什办理地点喀什东城喀什市行政审批局一楼企业服务专区数字证书窗口，联系电话15001465669）。</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2.本项目实行网上投标，采用电子投标文件(供应商须使用CA加密设备通过政采云电子投标客户端制作投标文件)。若供应商参与投标，自行承担投标一切费用。</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3.各供应商应在开标前应确保成为新疆政府采购网正式注册入库供应商，并完成CA数字证书申领。因未注册入库、未办理CA数字证书等原因造成无法投标或投标失败等后果由供应商自行承担。</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5.供应商在开标时须使用制作加密电子投标文件所使用的CA锁及电脑，电脑须提前配置好浏览器（建议使用360浏览器或谷歌浏览器），以便开标时解锁。</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6.投标保证金缴纳及确认时间：凡拟参加本次招标项目的供应商，必须在开标前将投标保证金汇入指定账户。否则，届时其投标将被拒绝。</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政采云新疆网超供应商服务二十群：35547618（如已加入1-19群，无需重复加入），钉钉工具软件具有回放功能，直播培训结束后可在钉钉群中回放观看学习。</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八、</w:t>
      </w:r>
      <w:bookmarkEnd w:id="1570"/>
      <w:bookmarkEnd w:id="1571"/>
      <w:bookmarkEnd w:id="1572"/>
      <w:bookmarkEnd w:id="1573"/>
      <w:bookmarkEnd w:id="1574"/>
      <w:bookmarkEnd w:id="1575"/>
      <w:r>
        <w:rPr>
          <w:rFonts w:hint="eastAsia" w:ascii="宋体" w:hAnsi="宋体" w:eastAsia="宋体" w:cs="宋体"/>
          <w:b/>
          <w:bCs w:val="0"/>
          <w:color w:val="auto"/>
          <w:sz w:val="24"/>
          <w:szCs w:val="24"/>
          <w:highlight w:val="none"/>
        </w:rPr>
        <w:t>凡对本次招标提出询问，请按以下方式联系</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1.采购人信息</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名    称：</w:t>
      </w:r>
      <w:r>
        <w:rPr>
          <w:rFonts w:hint="eastAsia" w:ascii="宋体" w:hAnsi="宋体" w:cs="宋体"/>
          <w:color w:val="auto"/>
          <w:sz w:val="24"/>
          <w:szCs w:val="24"/>
          <w:highlight w:val="none"/>
          <w:lang w:val="en-US" w:eastAsia="zh-CN"/>
        </w:rPr>
        <w:t>泽普县教育局</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地    址：</w:t>
      </w:r>
      <w:r>
        <w:rPr>
          <w:rFonts w:hint="eastAsia" w:ascii="宋体" w:hAnsi="宋体" w:cs="宋体"/>
          <w:color w:val="auto"/>
          <w:sz w:val="24"/>
          <w:szCs w:val="24"/>
          <w:highlight w:val="none"/>
          <w:lang w:val="en-US" w:eastAsia="zh-CN"/>
        </w:rPr>
        <w:t>泽普县教育局</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联 系 人：</w:t>
      </w:r>
      <w:bookmarkStart w:id="1576" w:name="_Toc28359009"/>
      <w:bookmarkStart w:id="1577" w:name="_Toc28359086"/>
      <w:r>
        <w:rPr>
          <w:rFonts w:hint="eastAsia" w:ascii="宋体" w:hAnsi="宋体" w:cs="宋体"/>
          <w:color w:val="auto"/>
          <w:sz w:val="24"/>
          <w:szCs w:val="24"/>
          <w:highlight w:val="none"/>
          <w:lang w:val="en-US" w:eastAsia="zh-CN"/>
        </w:rPr>
        <w:t>张俊华</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联系电话：</w:t>
      </w:r>
      <w:r>
        <w:rPr>
          <w:rFonts w:hint="eastAsia" w:ascii="宋体" w:hAnsi="宋体" w:cs="宋体"/>
          <w:color w:val="auto"/>
          <w:sz w:val="24"/>
          <w:szCs w:val="24"/>
          <w:highlight w:val="none"/>
          <w:lang w:val="en-US" w:eastAsia="zh-CN"/>
        </w:rPr>
        <w:t>16699115588</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2.代理机构信息</w:t>
      </w:r>
      <w:bookmarkEnd w:id="1576"/>
      <w:bookmarkEnd w:id="1577"/>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名 称：中经国际工程咨询集团有限公司</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地　址：</w:t>
      </w:r>
      <w:bookmarkStart w:id="1578" w:name="_Toc28359010"/>
      <w:bookmarkStart w:id="1579" w:name="_Toc28359087"/>
      <w:r>
        <w:rPr>
          <w:rFonts w:hint="eastAsia" w:ascii="宋体" w:hAnsi="宋体" w:cs="宋体"/>
          <w:color w:val="auto"/>
          <w:sz w:val="24"/>
          <w:szCs w:val="24"/>
          <w:highlight w:val="none"/>
          <w:lang w:val="en-US" w:eastAsia="zh-CN"/>
        </w:rPr>
        <w:t>喀什地区喀什市深喀大道陕西大厦12楼1202室</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联 系 人：</w:t>
      </w:r>
      <w:r>
        <w:rPr>
          <w:rFonts w:hint="eastAsia" w:ascii="宋体" w:hAnsi="宋体" w:cs="宋体"/>
          <w:color w:val="auto"/>
          <w:sz w:val="24"/>
          <w:szCs w:val="24"/>
          <w:highlight w:val="none"/>
          <w:lang w:val="en-US" w:eastAsia="zh-CN"/>
        </w:rPr>
        <w:t>黄海霞</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联系电话：</w:t>
      </w:r>
      <w:bookmarkEnd w:id="1578"/>
      <w:bookmarkEnd w:id="1579"/>
      <w:r>
        <w:rPr>
          <w:rFonts w:hint="eastAsia" w:ascii="宋体" w:hAnsi="宋体" w:eastAsia="宋体" w:cs="宋体"/>
          <w:color w:val="auto"/>
          <w:sz w:val="24"/>
          <w:szCs w:val="24"/>
          <w:highlight w:val="none"/>
          <w:lang w:val="en-US" w:eastAsia="zh-CN"/>
        </w:rPr>
        <w:t xml:space="preserve">18099850003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3.项目联系方式</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项目联系人：</w:t>
      </w:r>
      <w:r>
        <w:rPr>
          <w:rFonts w:hint="eastAsia" w:ascii="宋体" w:hAnsi="宋体" w:cs="宋体"/>
          <w:color w:val="auto"/>
          <w:sz w:val="24"/>
          <w:szCs w:val="24"/>
          <w:highlight w:val="none"/>
          <w:lang w:val="en-US" w:eastAsia="zh-CN"/>
        </w:rPr>
        <w:t>黄海霞</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电 话：18099850003 </w:t>
      </w:r>
    </w:p>
    <w:p>
      <w:pPr>
        <w:pStyle w:val="4"/>
        <w:keepNext w:val="0"/>
        <w:keepLines w:val="0"/>
        <w:pageBreakBefore w:val="0"/>
        <w:widowControl w:val="0"/>
        <w:kinsoku/>
        <w:wordWrap/>
        <w:overflowPunct/>
        <w:topLinePunct w:val="0"/>
        <w:bidi w:val="0"/>
        <w:snapToGrid/>
        <w:spacing w:line="360" w:lineRule="exact"/>
        <w:jc w:val="right"/>
        <w:textAlignment w:val="auto"/>
        <w:rPr>
          <w:rFonts w:hint="eastAsia" w:ascii="宋体" w:hAnsi="宋体" w:eastAsia="宋体" w:cs="宋体"/>
          <w:kern w:val="2"/>
          <w:sz w:val="24"/>
          <w:szCs w:val="24"/>
          <w:highlight w:val="none"/>
          <w:lang w:eastAsia="zh-CN"/>
        </w:rPr>
      </w:pPr>
    </w:p>
    <w:p>
      <w:pPr>
        <w:pStyle w:val="4"/>
        <w:keepNext w:val="0"/>
        <w:keepLines w:val="0"/>
        <w:pageBreakBefore w:val="0"/>
        <w:widowControl w:val="0"/>
        <w:kinsoku/>
        <w:wordWrap/>
        <w:overflowPunct/>
        <w:topLinePunct w:val="0"/>
        <w:bidi w:val="0"/>
        <w:snapToGrid/>
        <w:spacing w:line="360" w:lineRule="exact"/>
        <w:jc w:val="right"/>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eastAsia="zh-CN"/>
        </w:rPr>
        <w:t>中经国际工程咨询集团有限公司</w:t>
      </w:r>
    </w:p>
    <w:p>
      <w:pPr>
        <w:pStyle w:val="4"/>
        <w:keepNext w:val="0"/>
        <w:keepLines w:val="0"/>
        <w:pageBreakBefore w:val="0"/>
        <w:widowControl w:val="0"/>
        <w:kinsoku/>
        <w:wordWrap/>
        <w:overflowPunct/>
        <w:topLinePunct w:val="0"/>
        <w:bidi w:val="0"/>
        <w:snapToGrid/>
        <w:spacing w:line="360" w:lineRule="exact"/>
        <w:jc w:val="right"/>
        <w:textAlignment w:val="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lang w:val="en-US" w:eastAsia="zh-CN"/>
        </w:rPr>
        <w:t>2023年</w:t>
      </w:r>
      <w:r>
        <w:rPr>
          <w:rFonts w:hint="eastAsia" w:hAnsi="宋体" w:cs="宋体"/>
          <w:color w:val="auto"/>
          <w:sz w:val="24"/>
          <w:szCs w:val="24"/>
          <w:highlight w:val="none"/>
          <w:lang w:val="en-US" w:eastAsia="zh-CN"/>
        </w:rPr>
        <w:t>9</w:t>
      </w:r>
      <w:r>
        <w:rPr>
          <w:rFonts w:hint="eastAsia" w:ascii="宋体" w:hAnsi="宋体" w:eastAsia="宋体" w:cs="宋体"/>
          <w:color w:val="auto"/>
          <w:sz w:val="24"/>
          <w:szCs w:val="24"/>
          <w:highlight w:val="none"/>
          <w:lang w:val="en-US" w:eastAsia="zh-CN"/>
        </w:rPr>
        <w:t>月</w:t>
      </w:r>
      <w:r>
        <w:rPr>
          <w:rFonts w:hint="eastAsia" w:hAnsi="宋体" w:cs="宋体"/>
          <w:color w:val="auto"/>
          <w:sz w:val="24"/>
          <w:szCs w:val="24"/>
          <w:highlight w:val="none"/>
          <w:lang w:val="en-US" w:eastAsia="zh-CN"/>
        </w:rPr>
        <w:t>21</w:t>
      </w:r>
      <w:r>
        <w:rPr>
          <w:rFonts w:hint="eastAsia" w:ascii="宋体" w:hAnsi="宋体" w:eastAsia="宋体" w:cs="宋体"/>
          <w:color w:val="auto"/>
          <w:sz w:val="24"/>
          <w:szCs w:val="24"/>
          <w:highlight w:val="none"/>
          <w:lang w:val="en-US" w:eastAsia="zh-CN"/>
        </w:rPr>
        <w:t>日</w:t>
      </w:r>
    </w:p>
    <w:p/>
    <w:p>
      <w:pPr>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br w:type="page"/>
      </w:r>
    </w:p>
    <w:p>
      <w:pPr>
        <w:pStyle w:val="4"/>
        <w:ind w:firstLine="0"/>
        <w:jc w:val="center"/>
        <w:outlineLvl w:val="0"/>
        <w:rPr>
          <w:rFonts w:hint="eastAsia" w:ascii="宋体" w:hAnsi="宋体" w:eastAsia="宋体" w:cs="宋体"/>
          <w:b/>
          <w:bCs/>
          <w:color w:val="auto"/>
          <w:sz w:val="32"/>
          <w:szCs w:val="32"/>
          <w:highlight w:val="none"/>
        </w:rPr>
      </w:pPr>
      <w:bookmarkStart w:id="1580" w:name="_Toc31939"/>
      <w:r>
        <w:rPr>
          <w:rFonts w:hint="eastAsia" w:ascii="宋体" w:hAnsi="宋体" w:eastAsia="宋体" w:cs="宋体"/>
          <w:b/>
          <w:bCs/>
          <w:color w:val="auto"/>
          <w:sz w:val="32"/>
          <w:szCs w:val="32"/>
          <w:highlight w:val="none"/>
          <w:lang w:val="en-US" w:eastAsia="zh-CN"/>
        </w:rPr>
        <w:t>第4章  供应商须知资料表</w:t>
      </w:r>
      <w:bookmarkEnd w:id="1531"/>
      <w:bookmarkEnd w:id="1532"/>
      <w:bookmarkEnd w:id="1533"/>
      <w:bookmarkEnd w:id="1534"/>
      <w:bookmarkEnd w:id="1535"/>
      <w:bookmarkEnd w:id="1536"/>
      <w:bookmarkEnd w:id="1537"/>
      <w:bookmarkEnd w:id="1538"/>
      <w:bookmarkEnd w:id="1580"/>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本表是本招标项目的具体资料，是对供应商须知的具体补充和修改，如有矛盾，应以本资料表为准。</w:t>
      </w:r>
    </w:p>
    <w:tbl>
      <w:tblPr>
        <w:tblStyle w:val="27"/>
        <w:tblW w:w="5323"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1146"/>
        <w:gridCol w:w="77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6" w:hRule="atLeast"/>
        </w:trPr>
        <w:tc>
          <w:tcPr>
            <w:tcW w:w="643" w:type="pc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条款号</w:t>
            </w:r>
          </w:p>
        </w:tc>
        <w:tc>
          <w:tcPr>
            <w:tcW w:w="4356" w:type="pct"/>
            <w:vAlign w:val="center"/>
          </w:tcPr>
          <w:p>
            <w:pPr>
              <w:keepNext w:val="0"/>
              <w:keepLines w:val="0"/>
              <w:pageBreakBefore w:val="0"/>
              <w:kinsoku/>
              <w:wordWrap/>
              <w:overflowPunct/>
              <w:topLinePunct w:val="0"/>
              <w:autoSpaceDE/>
              <w:autoSpaceDN/>
              <w:bidi w:val="0"/>
              <w:adjustRightInd/>
              <w:snapToGrid/>
              <w:spacing w:line="360" w:lineRule="exact"/>
              <w:ind w:left="1080" w:leftChars="257" w:hanging="540"/>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643" w:type="pc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4356" w:type="pct"/>
            <w:vAlign w:val="center"/>
          </w:tcPr>
          <w:p>
            <w:pPr>
              <w:keepNext w:val="0"/>
              <w:keepLines w:val="0"/>
              <w:pageBreakBefore w:val="0"/>
              <w:shd w:val="clear" w:color="auto" w:fill="auto"/>
              <w:kinsoku/>
              <w:wordWrap/>
              <w:overflowPunct/>
              <w:topLinePunct w:val="0"/>
              <w:autoSpaceDE/>
              <w:autoSpaceDN/>
              <w:bidi w:val="0"/>
              <w:adjustRightInd/>
              <w:spacing w:line="360" w:lineRule="exact"/>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采购人：</w:t>
            </w:r>
            <w:r>
              <w:rPr>
                <w:rFonts w:hint="eastAsia" w:ascii="宋体" w:hAnsi="宋体" w:cs="宋体"/>
                <w:color w:val="auto"/>
                <w:sz w:val="24"/>
                <w:szCs w:val="24"/>
                <w:highlight w:val="none"/>
                <w:u w:val="single"/>
                <w:lang w:val="en-US" w:eastAsia="zh-CN"/>
              </w:rPr>
              <w:t>泽普县教育局</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联系人：</w:t>
            </w:r>
            <w:r>
              <w:rPr>
                <w:rFonts w:hint="eastAsia" w:ascii="宋体" w:hAnsi="宋体" w:cs="宋体"/>
                <w:color w:val="auto"/>
                <w:sz w:val="24"/>
                <w:szCs w:val="24"/>
                <w:highlight w:val="none"/>
                <w:u w:val="single"/>
                <w:lang w:val="en-US" w:eastAsia="zh-CN"/>
              </w:rPr>
              <w:t>张俊华</w:t>
            </w:r>
            <w:r>
              <w:rPr>
                <w:rFonts w:hint="eastAsia" w:ascii="宋体" w:hAnsi="宋体" w:eastAsia="宋体" w:cs="宋体"/>
                <w:color w:val="auto"/>
                <w:sz w:val="24"/>
                <w:szCs w:val="24"/>
                <w:highlight w:val="none"/>
              </w:rPr>
              <w:t xml:space="preserve">       联系电话：</w:t>
            </w:r>
            <w:r>
              <w:rPr>
                <w:rFonts w:hint="eastAsia" w:ascii="宋体" w:hAnsi="宋体" w:cs="宋体"/>
                <w:color w:val="auto"/>
                <w:sz w:val="24"/>
                <w:szCs w:val="24"/>
                <w:highlight w:val="none"/>
                <w:u w:val="single"/>
                <w:lang w:eastAsia="zh-CN"/>
              </w:rPr>
              <w:t>16699115588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34" w:hRule="atLeast"/>
        </w:trPr>
        <w:tc>
          <w:tcPr>
            <w:tcW w:w="643" w:type="pc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p>
        </w:tc>
        <w:tc>
          <w:tcPr>
            <w:tcW w:w="4356" w:type="pct"/>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采购代理机构：</w:t>
            </w:r>
            <w:r>
              <w:rPr>
                <w:rFonts w:hint="eastAsia" w:ascii="宋体" w:hAnsi="宋体" w:eastAsia="宋体" w:cs="宋体"/>
                <w:color w:val="auto"/>
                <w:sz w:val="24"/>
                <w:szCs w:val="24"/>
                <w:highlight w:val="none"/>
                <w:u w:val="single"/>
                <w:lang w:eastAsia="zh-CN"/>
              </w:rPr>
              <w:t>中经国际工程咨询集团有限公司</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rPr>
              <w:t>地址：</w:t>
            </w:r>
            <w:r>
              <w:rPr>
                <w:rFonts w:hint="eastAsia" w:ascii="宋体" w:hAnsi="宋体" w:cs="宋体"/>
                <w:color w:val="auto"/>
                <w:sz w:val="24"/>
                <w:szCs w:val="24"/>
                <w:highlight w:val="none"/>
                <w:u w:val="single"/>
                <w:lang w:eastAsia="zh-CN"/>
              </w:rPr>
              <w:t>喀什地区喀什市深喀大道陕西大厦12楼1202室</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业务联系人：</w:t>
            </w:r>
            <w:r>
              <w:rPr>
                <w:rFonts w:hint="eastAsia" w:ascii="宋体" w:hAnsi="宋体" w:cs="宋体"/>
                <w:color w:val="auto"/>
                <w:sz w:val="24"/>
                <w:szCs w:val="24"/>
                <w:highlight w:val="none"/>
                <w:u w:val="single"/>
                <w:lang w:val="en-US" w:eastAsia="zh-CN"/>
              </w:rPr>
              <w:t>黄海霞</w:t>
            </w:r>
            <w:r>
              <w:rPr>
                <w:rFonts w:hint="eastAsia" w:ascii="宋体" w:hAnsi="宋体" w:eastAsia="宋体" w:cs="宋体"/>
                <w:color w:val="auto"/>
                <w:sz w:val="24"/>
                <w:szCs w:val="24"/>
                <w:highlight w:val="none"/>
              </w:rPr>
              <w:t xml:space="preserve">　   联系电话： </w:t>
            </w:r>
            <w:r>
              <w:rPr>
                <w:rFonts w:hint="eastAsia" w:ascii="宋体" w:hAnsi="宋体" w:eastAsia="宋体" w:cs="宋体"/>
                <w:color w:val="auto"/>
                <w:sz w:val="24"/>
                <w:szCs w:val="24"/>
                <w:highlight w:val="none"/>
                <w:u w:val="single"/>
                <w:lang w:eastAsia="zh-CN"/>
              </w:rPr>
              <w:t xml:space="preserve"> 18099850003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4" w:hRule="atLeast"/>
        </w:trPr>
        <w:tc>
          <w:tcPr>
            <w:tcW w:w="643" w:type="pc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1.3.4</w:t>
            </w:r>
          </w:p>
        </w:tc>
        <w:tc>
          <w:tcPr>
            <w:tcW w:w="4356" w:type="pct"/>
            <w:vAlign w:val="center"/>
          </w:tcPr>
          <w:p>
            <w:pPr>
              <w:keepNext w:val="0"/>
              <w:keepLines w:val="0"/>
              <w:pageBreakBefore w:val="0"/>
              <w:widowControl/>
              <w:shd w:val="clear"/>
              <w:kinsoku/>
              <w:wordWrap/>
              <w:overflowPunct/>
              <w:topLinePunct w:val="0"/>
              <w:autoSpaceDE/>
              <w:autoSpaceDN/>
              <w:bidi w:val="0"/>
              <w:adjustRightInd/>
              <w:snapToGrid w:val="0"/>
              <w:spacing w:line="360" w:lineRule="exact"/>
              <w:jc w:val="left"/>
              <w:textAlignment w:val="baseline"/>
              <w:rPr>
                <w:rFonts w:hint="eastAsia" w:ascii="宋体" w:hAnsi="宋体" w:eastAsia="宋体" w:cs="宋体"/>
                <w:b/>
                <w:bCs/>
                <w:color w:val="auto"/>
                <w:sz w:val="24"/>
                <w:szCs w:val="24"/>
                <w:highlight w:val="none"/>
                <w:lang w:eastAsia="zh-CN"/>
              </w:rPr>
            </w:pPr>
            <w:r>
              <w:rPr>
                <w:rFonts w:hint="eastAsia" w:ascii="宋体" w:hAnsi="宋体" w:eastAsia="宋体" w:cs="宋体"/>
                <w:color w:val="auto"/>
                <w:sz w:val="24"/>
                <w:szCs w:val="24"/>
                <w:highlight w:val="none"/>
              </w:rPr>
              <w:t>合格供应商的其他资格要求：</w:t>
            </w:r>
            <w:r>
              <w:rPr>
                <w:rFonts w:hint="eastAsia" w:ascii="宋体" w:hAnsi="宋体" w:eastAsia="宋体" w:cs="宋体"/>
                <w:b/>
                <w:bCs/>
                <w:color w:val="auto"/>
                <w:sz w:val="24"/>
                <w:szCs w:val="24"/>
                <w:highlight w:val="none"/>
                <w:lang w:val="en-US" w:eastAsia="zh-CN"/>
              </w:rPr>
              <w:t>（须将以下资格证明材料附在投标文件中）</w:t>
            </w:r>
          </w:p>
          <w:p>
            <w:pPr>
              <w:pStyle w:val="21"/>
              <w:keepNext w:val="0"/>
              <w:keepLines w:val="0"/>
              <w:pageBreakBefore w:val="0"/>
              <w:numPr>
                <w:ilvl w:val="0"/>
                <w:numId w:val="5"/>
              </w:numPr>
              <w:kinsoku/>
              <w:wordWrap/>
              <w:overflowPunct/>
              <w:topLinePunct w:val="0"/>
              <w:autoSpaceDE/>
              <w:autoSpaceDN/>
              <w:bidi w:val="0"/>
              <w:adjustRightInd/>
              <w:spacing w:line="360" w:lineRule="exact"/>
              <w:jc w:val="left"/>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cs="宋体"/>
                <w:b/>
                <w:bCs/>
                <w:i w:val="0"/>
                <w:caps w:val="0"/>
                <w:color w:val="auto"/>
                <w:spacing w:val="0"/>
                <w:w w:val="100"/>
                <w:sz w:val="24"/>
                <w:szCs w:val="24"/>
                <w:highlight w:val="none"/>
                <w:lang w:val="en-US" w:eastAsia="zh-CN"/>
              </w:rPr>
              <w:t>合格有效的三证合一的营业执照（三证合一）或电子营业执照（需加盖公章）或同等法律效力的证明文件（发证机关或公证机关出具的证明材料）</w:t>
            </w:r>
            <w:r>
              <w:rPr>
                <w:rFonts w:hint="eastAsia" w:ascii="宋体" w:hAnsi="宋体" w:eastAsia="宋体" w:cs="宋体"/>
                <w:b/>
                <w:bCs/>
                <w:i w:val="0"/>
                <w:caps w:val="0"/>
                <w:color w:val="auto"/>
                <w:spacing w:val="0"/>
                <w:w w:val="100"/>
                <w:sz w:val="24"/>
                <w:szCs w:val="24"/>
                <w:highlight w:val="none"/>
                <w:lang w:val="en-US" w:eastAsia="zh-CN"/>
              </w:rPr>
              <w:t>；</w:t>
            </w:r>
          </w:p>
          <w:p>
            <w:pPr>
              <w:pStyle w:val="21"/>
              <w:keepNext w:val="0"/>
              <w:keepLines w:val="0"/>
              <w:pageBreakBefore w:val="0"/>
              <w:kinsoku/>
              <w:wordWrap/>
              <w:overflowPunct/>
              <w:topLinePunct w:val="0"/>
              <w:autoSpaceDE/>
              <w:autoSpaceDN/>
              <w:bidi w:val="0"/>
              <w:adjustRightInd/>
              <w:spacing w:line="360" w:lineRule="exact"/>
              <w:jc w:val="left"/>
              <w:rPr>
                <w:rFonts w:hint="eastAsia"/>
                <w:lang w:val="en-US" w:eastAsia="zh-CN"/>
              </w:rPr>
            </w:pPr>
            <w:r>
              <w:rPr>
                <w:rFonts w:hint="eastAsia" w:ascii="宋体" w:hAnsi="宋体" w:eastAsia="宋体" w:cs="宋体"/>
                <w:b/>
                <w:bCs/>
                <w:i w:val="0"/>
                <w:caps w:val="0"/>
                <w:color w:val="auto"/>
                <w:spacing w:val="0"/>
                <w:w w:val="100"/>
                <w:sz w:val="24"/>
                <w:szCs w:val="24"/>
                <w:highlight w:val="none"/>
                <w:lang w:val="en-US" w:eastAsia="zh-CN"/>
              </w:rPr>
              <w:t>（</w:t>
            </w:r>
            <w:r>
              <w:rPr>
                <w:rFonts w:hint="eastAsia" w:ascii="宋体" w:hAnsi="宋体" w:cs="宋体"/>
                <w:b/>
                <w:bCs/>
                <w:i w:val="0"/>
                <w:caps w:val="0"/>
                <w:color w:val="auto"/>
                <w:spacing w:val="0"/>
                <w:w w:val="100"/>
                <w:sz w:val="24"/>
                <w:szCs w:val="24"/>
                <w:highlight w:val="none"/>
                <w:lang w:val="en-US" w:eastAsia="zh-CN"/>
              </w:rPr>
              <w:t>2</w:t>
            </w:r>
            <w:r>
              <w:rPr>
                <w:rFonts w:hint="eastAsia" w:ascii="宋体" w:hAnsi="宋体" w:eastAsia="宋体" w:cs="宋体"/>
                <w:b/>
                <w:bCs/>
                <w:i w:val="0"/>
                <w:caps w:val="0"/>
                <w:color w:val="auto"/>
                <w:spacing w:val="0"/>
                <w:w w:val="100"/>
                <w:sz w:val="24"/>
                <w:szCs w:val="24"/>
                <w:highlight w:val="none"/>
                <w:lang w:val="en-US" w:eastAsia="zh-CN"/>
              </w:rPr>
              <w:t>）</w:t>
            </w:r>
            <w:r>
              <w:rPr>
                <w:rFonts w:hint="eastAsia" w:ascii="宋体" w:hAnsi="宋体" w:cs="宋体"/>
                <w:b/>
                <w:bCs/>
                <w:i w:val="0"/>
                <w:caps w:val="0"/>
                <w:color w:val="auto"/>
                <w:spacing w:val="0"/>
                <w:w w:val="100"/>
                <w:sz w:val="24"/>
                <w:szCs w:val="24"/>
                <w:highlight w:val="none"/>
                <w:lang w:val="en-US" w:eastAsia="zh-CN"/>
              </w:rPr>
              <w:t>具备《食品经营许可证》或《食品生产许可证》；</w:t>
            </w:r>
          </w:p>
          <w:p>
            <w:pPr>
              <w:pStyle w:val="21"/>
              <w:keepNext w:val="0"/>
              <w:keepLines w:val="0"/>
              <w:pageBreakBefore w:val="0"/>
              <w:kinsoku/>
              <w:wordWrap/>
              <w:overflowPunct/>
              <w:topLinePunct w:val="0"/>
              <w:autoSpaceDE/>
              <w:autoSpaceDN/>
              <w:bidi w:val="0"/>
              <w:adjustRightInd/>
              <w:spacing w:line="360" w:lineRule="exact"/>
              <w:jc w:val="left"/>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w:t>
            </w:r>
            <w:r>
              <w:rPr>
                <w:rFonts w:hint="eastAsia" w:ascii="宋体" w:hAnsi="宋体" w:cs="宋体"/>
                <w:b/>
                <w:bCs/>
                <w:i w:val="0"/>
                <w:caps w:val="0"/>
                <w:color w:val="auto"/>
                <w:spacing w:val="0"/>
                <w:w w:val="100"/>
                <w:sz w:val="24"/>
                <w:szCs w:val="24"/>
                <w:highlight w:val="none"/>
                <w:lang w:val="en-US" w:eastAsia="zh-CN"/>
              </w:rPr>
              <w:t>3</w:t>
            </w:r>
            <w:r>
              <w:rPr>
                <w:rFonts w:hint="eastAsia" w:ascii="宋体" w:hAnsi="宋体" w:eastAsia="宋体" w:cs="宋体"/>
                <w:b/>
                <w:bCs/>
                <w:i w:val="0"/>
                <w:caps w:val="0"/>
                <w:color w:val="auto"/>
                <w:spacing w:val="0"/>
                <w:w w:val="100"/>
                <w:sz w:val="24"/>
                <w:szCs w:val="24"/>
                <w:highlight w:val="none"/>
                <w:lang w:val="en-US" w:eastAsia="zh-CN"/>
              </w:rPr>
              <w:t>）</w:t>
            </w:r>
            <w:r>
              <w:rPr>
                <w:rFonts w:hint="eastAsia" w:ascii="宋体" w:hAnsi="宋体" w:cs="宋体"/>
                <w:b/>
                <w:bCs/>
                <w:i w:val="0"/>
                <w:caps w:val="0"/>
                <w:color w:val="auto"/>
                <w:spacing w:val="0"/>
                <w:w w:val="100"/>
                <w:sz w:val="24"/>
                <w:szCs w:val="24"/>
                <w:highlight w:val="none"/>
                <w:lang w:val="en-US" w:eastAsia="zh-CN"/>
              </w:rPr>
              <w:t>法定代表人资格证明(需提供法定代表人身份证)；</w:t>
            </w:r>
          </w:p>
          <w:p>
            <w:pPr>
              <w:pStyle w:val="21"/>
              <w:keepNext w:val="0"/>
              <w:keepLines w:val="0"/>
              <w:pageBreakBefore w:val="0"/>
              <w:kinsoku/>
              <w:wordWrap/>
              <w:overflowPunct/>
              <w:topLinePunct w:val="0"/>
              <w:autoSpaceDE/>
              <w:autoSpaceDN/>
              <w:bidi w:val="0"/>
              <w:adjustRightInd/>
              <w:spacing w:line="360" w:lineRule="exact"/>
              <w:jc w:val="left"/>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（4）提供近两年内任意一年的财务审计报告</w:t>
            </w:r>
            <w:r>
              <w:rPr>
                <w:rFonts w:hint="eastAsia" w:ascii="宋体" w:hAnsi="宋体" w:cs="宋体"/>
                <w:b/>
                <w:bCs/>
                <w:i w:val="0"/>
                <w:caps w:val="0"/>
                <w:color w:val="auto"/>
                <w:spacing w:val="0"/>
                <w:w w:val="100"/>
                <w:sz w:val="24"/>
                <w:szCs w:val="24"/>
                <w:highlight w:val="none"/>
                <w:lang w:val="en-US" w:eastAsia="zh-CN"/>
              </w:rPr>
              <w:t>（新成立未满一年的新公司可提供近三个月内任意一个月的银行资信证明）</w:t>
            </w:r>
            <w:r>
              <w:rPr>
                <w:rFonts w:hint="eastAsia" w:ascii="宋体" w:hAnsi="宋体" w:eastAsia="宋体" w:cs="宋体"/>
                <w:b/>
                <w:bCs/>
                <w:i w:val="0"/>
                <w:caps w:val="0"/>
                <w:color w:val="auto"/>
                <w:spacing w:val="0"/>
                <w:w w:val="100"/>
                <w:sz w:val="24"/>
                <w:szCs w:val="24"/>
                <w:highlight w:val="none"/>
                <w:lang w:val="en-US" w:eastAsia="zh-CN"/>
              </w:rPr>
              <w:t>；</w:t>
            </w:r>
          </w:p>
          <w:p>
            <w:pPr>
              <w:pStyle w:val="21"/>
              <w:keepNext w:val="0"/>
              <w:keepLines w:val="0"/>
              <w:pageBreakBefore w:val="0"/>
              <w:kinsoku/>
              <w:wordWrap/>
              <w:overflowPunct/>
              <w:topLinePunct w:val="0"/>
              <w:autoSpaceDE/>
              <w:autoSpaceDN/>
              <w:bidi w:val="0"/>
              <w:adjustRightInd/>
              <w:spacing w:line="360" w:lineRule="exact"/>
              <w:jc w:val="left"/>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（5）</w:t>
            </w:r>
            <w:r>
              <w:rPr>
                <w:rFonts w:hint="eastAsia" w:ascii="宋体" w:hAnsi="宋体" w:cs="宋体"/>
                <w:b/>
                <w:bCs/>
                <w:i w:val="0"/>
                <w:caps w:val="0"/>
                <w:color w:val="auto"/>
                <w:spacing w:val="0"/>
                <w:w w:val="100"/>
                <w:sz w:val="24"/>
                <w:szCs w:val="24"/>
                <w:highlight w:val="none"/>
                <w:lang w:val="en-US" w:eastAsia="zh-CN"/>
              </w:rPr>
              <w:t>提供依法缴纳近六个月内任意一个月社会保险证明</w:t>
            </w:r>
            <w:r>
              <w:rPr>
                <w:rFonts w:hint="eastAsia" w:ascii="宋体" w:hAnsi="宋体" w:eastAsia="宋体" w:cs="宋体"/>
                <w:b/>
                <w:bCs/>
                <w:i w:val="0"/>
                <w:caps w:val="0"/>
                <w:color w:val="auto"/>
                <w:spacing w:val="0"/>
                <w:w w:val="100"/>
                <w:sz w:val="24"/>
                <w:szCs w:val="24"/>
                <w:highlight w:val="none"/>
                <w:lang w:val="en-US" w:eastAsia="zh-CN"/>
              </w:rPr>
              <w:t>；</w:t>
            </w:r>
          </w:p>
          <w:p>
            <w:pPr>
              <w:pStyle w:val="21"/>
              <w:keepNext w:val="0"/>
              <w:keepLines w:val="0"/>
              <w:pageBreakBefore w:val="0"/>
              <w:kinsoku/>
              <w:wordWrap/>
              <w:overflowPunct/>
              <w:topLinePunct w:val="0"/>
              <w:autoSpaceDE/>
              <w:autoSpaceDN/>
              <w:bidi w:val="0"/>
              <w:adjustRightInd/>
              <w:spacing w:line="360" w:lineRule="exact"/>
              <w:jc w:val="left"/>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（6）</w:t>
            </w:r>
            <w:r>
              <w:rPr>
                <w:rFonts w:hint="eastAsia" w:ascii="宋体" w:hAnsi="宋体" w:cs="宋体"/>
                <w:b/>
                <w:bCs/>
                <w:i w:val="0"/>
                <w:caps w:val="0"/>
                <w:color w:val="auto"/>
                <w:spacing w:val="0"/>
                <w:w w:val="100"/>
                <w:sz w:val="24"/>
                <w:szCs w:val="24"/>
                <w:highlight w:val="none"/>
                <w:lang w:val="en-US" w:eastAsia="zh-CN"/>
              </w:rPr>
              <w:t>提供依法缴纳近六个月内任意一个月的税收证明</w:t>
            </w:r>
            <w:r>
              <w:rPr>
                <w:rFonts w:hint="eastAsia" w:ascii="宋体" w:hAnsi="宋体" w:eastAsia="宋体" w:cs="宋体"/>
                <w:b/>
                <w:bCs/>
                <w:i w:val="0"/>
                <w:caps w:val="0"/>
                <w:color w:val="auto"/>
                <w:spacing w:val="0"/>
                <w:w w:val="100"/>
                <w:sz w:val="24"/>
                <w:szCs w:val="24"/>
                <w:highlight w:val="none"/>
                <w:lang w:val="en-US" w:eastAsia="zh-CN"/>
              </w:rPr>
              <w:t>；</w:t>
            </w:r>
          </w:p>
          <w:p>
            <w:pPr>
              <w:pStyle w:val="21"/>
              <w:keepNext w:val="0"/>
              <w:keepLines w:val="0"/>
              <w:pageBreakBefore w:val="0"/>
              <w:widowControl w:val="0"/>
              <w:kinsoku/>
              <w:wordWrap w:val="0"/>
              <w:overflowPunct/>
              <w:topLinePunct w:val="0"/>
              <w:autoSpaceDE/>
              <w:autoSpaceDN/>
              <w:bidi w:val="0"/>
              <w:adjustRightInd/>
              <w:snapToGrid w:val="0"/>
              <w:spacing w:line="360" w:lineRule="exact"/>
              <w:jc w:val="left"/>
              <w:textAlignment w:val="auto"/>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（7）根据《财政部关于在政府采购活动中查询及使用信用记录有关问题的通知》（财库﹝2016﹞125号）的要求，凡拟参加本次招标项目的供应商，如在“信用中国”网站（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重点领域严重失信主体名单查询-搜索栏输入单位全称）、中国政府采购网（http://www.ccgp.gov.cn/search/cr/）严重违法失信行为记录名单的（尚在处罚期内的），将拒绝其参加本次招标活动（以采购代理机构或采购人现场查询为准）；</w:t>
            </w:r>
          </w:p>
          <w:p>
            <w:pPr>
              <w:pStyle w:val="21"/>
              <w:keepNext w:val="0"/>
              <w:keepLines w:val="0"/>
              <w:pageBreakBefore w:val="0"/>
              <w:kinsoku/>
              <w:wordWrap/>
              <w:overflowPunct/>
              <w:topLinePunct w:val="0"/>
              <w:autoSpaceDE/>
              <w:autoSpaceDN/>
              <w:bidi w:val="0"/>
              <w:adjustRightInd/>
              <w:spacing w:line="360" w:lineRule="exact"/>
              <w:jc w:val="left"/>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（8）参与政府采购活动前3年内未被列入失信、重大税收违法案件、财政部门禁止参加政府采购活动的承诺书；</w:t>
            </w:r>
          </w:p>
          <w:p>
            <w:pPr>
              <w:pStyle w:val="21"/>
              <w:keepNext w:val="0"/>
              <w:keepLines w:val="0"/>
              <w:pageBreakBefore w:val="0"/>
              <w:kinsoku/>
              <w:wordWrap/>
              <w:overflowPunct/>
              <w:topLinePunct w:val="0"/>
              <w:autoSpaceDE/>
              <w:autoSpaceDN/>
              <w:bidi w:val="0"/>
              <w:adjustRightInd/>
              <w:spacing w:line="360" w:lineRule="exact"/>
              <w:jc w:val="left"/>
              <w:rPr>
                <w:rFonts w:hint="eastAsia" w:ascii="宋体" w:hAnsi="宋体" w:eastAsia="宋体" w:cs="宋体"/>
                <w:b/>
                <w:bCs/>
                <w:i w:val="0"/>
                <w:caps w:val="0"/>
                <w:color w:val="auto"/>
                <w:spacing w:val="0"/>
                <w:w w:val="100"/>
                <w:kern w:val="2"/>
                <w:sz w:val="24"/>
                <w:szCs w:val="24"/>
                <w:highlight w:val="none"/>
                <w:lang w:val="en-US" w:eastAsia="zh-CN" w:bidi="ar-SA"/>
              </w:rPr>
            </w:pPr>
            <w:r>
              <w:rPr>
                <w:rFonts w:hint="eastAsia" w:ascii="宋体" w:hAnsi="宋体" w:eastAsia="宋体" w:cs="宋体"/>
                <w:b/>
                <w:bCs/>
                <w:i w:val="0"/>
                <w:caps w:val="0"/>
                <w:color w:val="auto"/>
                <w:spacing w:val="0"/>
                <w:w w:val="100"/>
                <w:sz w:val="24"/>
                <w:szCs w:val="24"/>
                <w:highlight w:val="none"/>
                <w:lang w:val="en-US" w:eastAsia="zh-CN"/>
              </w:rPr>
              <w:t>（</w:t>
            </w:r>
            <w:r>
              <w:rPr>
                <w:rFonts w:hint="eastAsia" w:ascii="宋体" w:hAnsi="宋体" w:cs="宋体"/>
                <w:b/>
                <w:bCs/>
                <w:i w:val="0"/>
                <w:caps w:val="0"/>
                <w:color w:val="auto"/>
                <w:spacing w:val="0"/>
                <w:w w:val="100"/>
                <w:sz w:val="24"/>
                <w:szCs w:val="24"/>
                <w:highlight w:val="none"/>
                <w:lang w:val="en-US" w:eastAsia="zh-CN"/>
              </w:rPr>
              <w:t>9</w:t>
            </w:r>
            <w:r>
              <w:rPr>
                <w:rFonts w:hint="eastAsia" w:ascii="宋体" w:hAnsi="宋体" w:eastAsia="宋体" w:cs="宋体"/>
                <w:b/>
                <w:bCs/>
                <w:i w:val="0"/>
                <w:caps w:val="0"/>
                <w:color w:val="auto"/>
                <w:spacing w:val="0"/>
                <w:w w:val="100"/>
                <w:sz w:val="24"/>
                <w:szCs w:val="24"/>
                <w:highlight w:val="none"/>
                <w:lang w:val="en-US" w:eastAsia="zh-CN"/>
              </w:rPr>
              <w:t>）缴纳投标保证金的有效凭证。</w:t>
            </w:r>
          </w:p>
          <w:p>
            <w:pPr>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b/>
                <w:bCs/>
                <w:i w:val="0"/>
                <w:caps w:val="0"/>
                <w:color w:val="auto"/>
                <w:spacing w:val="0"/>
                <w:w w:val="100"/>
                <w:sz w:val="24"/>
                <w:szCs w:val="24"/>
                <w:highlight w:val="none"/>
              </w:rPr>
              <w:t>各供应商应注意以下事项：①本项目要求各投标供应商提供“</w:t>
            </w:r>
            <w:r>
              <w:rPr>
                <w:rFonts w:hint="eastAsia" w:ascii="宋体" w:hAnsi="宋体" w:cs="宋体"/>
                <w:b/>
                <w:bCs/>
                <w:i w:val="0"/>
                <w:caps w:val="0"/>
                <w:color w:val="auto"/>
                <w:spacing w:val="0"/>
                <w:w w:val="100"/>
                <w:sz w:val="24"/>
                <w:szCs w:val="24"/>
                <w:highlight w:val="none"/>
                <w:lang w:val="en-US" w:eastAsia="zh-CN"/>
              </w:rPr>
              <w:t>提供依法缴纳近六个月内任意一个月的税收证明</w:t>
            </w:r>
            <w:r>
              <w:rPr>
                <w:rFonts w:hint="eastAsia" w:ascii="宋体" w:hAnsi="宋体" w:eastAsia="宋体" w:cs="宋体"/>
                <w:b/>
                <w:bCs/>
                <w:i w:val="0"/>
                <w:caps w:val="0"/>
                <w:color w:val="auto"/>
                <w:spacing w:val="0"/>
                <w:w w:val="100"/>
                <w:sz w:val="24"/>
                <w:szCs w:val="24"/>
                <w:highlight w:val="none"/>
              </w:rPr>
              <w:t>”，若供应商某月税收为零申报，须提供加盖税务局公章的无欠税证明或申报成功网页截图（供应商可自主登录“国家税务总局电子税务局”12366.chinatax.gov.cn/bsfw/onlinetaxation/main——税费申报及缴纳——申报结果查询）。②税务局代收的社保缴费证明不可作为本项目的完税证明（“税种”不可为养老保险、医疗保险、失业保险、工伤保险和生育保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trPr>
        <w:tc>
          <w:tcPr>
            <w:tcW w:w="643" w:type="pc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rPr>
              <w:t>1.3.5</w:t>
            </w:r>
          </w:p>
        </w:tc>
        <w:tc>
          <w:tcPr>
            <w:tcW w:w="4356" w:type="pct"/>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是否允许采购进口产品</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u w:val="single"/>
                <w:lang w:val="en-US" w:eastAsia="zh-CN"/>
              </w:rPr>
              <w:t xml:space="preserve">  否  </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9" w:hRule="atLeast"/>
        </w:trPr>
        <w:tc>
          <w:tcPr>
            <w:tcW w:w="643" w:type="pc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1.3.6</w:t>
            </w:r>
          </w:p>
        </w:tc>
        <w:tc>
          <w:tcPr>
            <w:tcW w:w="4356" w:type="pct"/>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highlight w:val="none"/>
                <w:lang w:eastAsia="zh-CN"/>
              </w:rPr>
            </w:pPr>
            <w:r>
              <w:rPr>
                <w:rFonts w:hint="eastAsia" w:ascii="宋体" w:hAnsi="宋体" w:eastAsia="宋体" w:cs="宋体"/>
                <w:b w:val="0"/>
                <w:bCs w:val="0"/>
                <w:color w:val="auto"/>
                <w:sz w:val="24"/>
                <w:szCs w:val="24"/>
                <w:highlight w:val="none"/>
                <w:lang w:eastAsia="zh-CN"/>
              </w:rPr>
              <w:t>是否为专门面向中小企业采购：</w:t>
            </w:r>
            <w:r>
              <w:rPr>
                <w:rFonts w:hint="eastAsia" w:ascii="宋体" w:hAnsi="宋体" w:eastAsia="宋体" w:cs="宋体"/>
                <w:b w:val="0"/>
                <w:bCs w:val="0"/>
                <w:color w:val="auto"/>
                <w:sz w:val="24"/>
                <w:szCs w:val="24"/>
                <w:highlight w:val="none"/>
                <w:u w:val="single"/>
                <w:lang w:val="en-US" w:eastAsia="zh-CN"/>
              </w:rPr>
              <w:t xml:space="preserve">  </w:t>
            </w:r>
            <w:r>
              <w:rPr>
                <w:rFonts w:hint="eastAsia" w:ascii="宋体" w:hAnsi="宋体" w:cs="宋体"/>
                <w:b w:val="0"/>
                <w:bCs w:val="0"/>
                <w:color w:val="auto"/>
                <w:sz w:val="24"/>
                <w:szCs w:val="24"/>
                <w:highlight w:val="none"/>
                <w:u w:val="single"/>
                <w:lang w:val="en-US" w:eastAsia="zh-CN"/>
              </w:rPr>
              <w:t>是</w:t>
            </w:r>
            <w:r>
              <w:rPr>
                <w:rFonts w:hint="eastAsia" w:ascii="宋体" w:hAnsi="宋体" w:eastAsia="宋体" w:cs="宋体"/>
                <w:b w:val="0"/>
                <w:bCs w:val="0"/>
                <w:color w:val="auto"/>
                <w:sz w:val="24"/>
                <w:szCs w:val="24"/>
                <w:highlight w:val="none"/>
                <w:u w:val="single"/>
                <w:lang w:val="en-US" w:eastAsia="zh-CN"/>
              </w:rPr>
              <w:t xml:space="preserve">  </w:t>
            </w:r>
            <w:r>
              <w:rPr>
                <w:rFonts w:hint="eastAsia" w:ascii="宋体" w:hAnsi="宋体" w:eastAsia="宋体" w:cs="宋体"/>
                <w:b w:val="0"/>
                <w:bCs w:val="0"/>
                <w:color w:val="auto"/>
                <w:sz w:val="24"/>
                <w:szCs w:val="24"/>
                <w:highlight w:val="none"/>
                <w:lang w:eastAsia="zh-CN"/>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9" w:hRule="atLeast"/>
        </w:trPr>
        <w:tc>
          <w:tcPr>
            <w:tcW w:w="643" w:type="pc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w:t>
            </w:r>
          </w:p>
        </w:tc>
        <w:tc>
          <w:tcPr>
            <w:tcW w:w="4356" w:type="pct"/>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是否允许联合体投标：</w:t>
            </w:r>
            <w:r>
              <w:rPr>
                <w:rFonts w:hint="eastAsia" w:ascii="宋体" w:hAnsi="宋体" w:eastAsia="宋体" w:cs="宋体"/>
                <w:color w:val="auto"/>
                <w:sz w:val="24"/>
                <w:szCs w:val="24"/>
                <w:highlight w:val="none"/>
                <w:u w:val="single"/>
              </w:rPr>
              <w:t xml:space="preserve">  否  </w:t>
            </w:r>
            <w:r>
              <w:rPr>
                <w:rFonts w:hint="eastAsia" w:ascii="宋体" w:hAnsi="宋体" w:eastAsia="宋体" w:cs="宋体"/>
                <w:b w:val="0"/>
                <w:bCs w:val="0"/>
                <w:color w:val="auto"/>
                <w:sz w:val="24"/>
                <w:szCs w:val="24"/>
                <w:highlight w:val="none"/>
                <w:lang w:eastAsia="zh-CN"/>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0" w:hRule="atLeast"/>
        </w:trPr>
        <w:tc>
          <w:tcPr>
            <w:tcW w:w="643" w:type="pc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1.4.8</w:t>
            </w:r>
          </w:p>
        </w:tc>
        <w:tc>
          <w:tcPr>
            <w:tcW w:w="4356" w:type="pct"/>
            <w:vAlign w:val="center"/>
          </w:tcPr>
          <w:p>
            <w:pPr>
              <w:keepNext w:val="0"/>
              <w:keepLines w:val="0"/>
              <w:pageBreakBefore w:val="0"/>
              <w:kinsoku/>
              <w:wordWrap/>
              <w:overflowPunct/>
              <w:topLinePunct w:val="0"/>
              <w:autoSpaceDE/>
              <w:autoSpaceDN/>
              <w:bidi w:val="0"/>
              <w:adjustRightInd/>
              <w:spacing w:line="360" w:lineRule="exact"/>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联合体的其他资格要求：无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7" w:hRule="atLeast"/>
        </w:trPr>
        <w:tc>
          <w:tcPr>
            <w:tcW w:w="643" w:type="pc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p>
        </w:tc>
        <w:tc>
          <w:tcPr>
            <w:tcW w:w="4356" w:type="pct"/>
            <w:vAlign w:val="center"/>
          </w:tcPr>
          <w:p>
            <w:pPr>
              <w:keepNext w:val="0"/>
              <w:keepLines w:val="0"/>
              <w:pageBreakBefore w:val="0"/>
              <w:kinsoku/>
              <w:wordWrap/>
              <w:overflowPunct/>
              <w:topLinePunct w:val="0"/>
              <w:autoSpaceDE/>
              <w:autoSpaceDN/>
              <w:bidi w:val="0"/>
              <w:adjustRightInd/>
              <w:spacing w:line="360" w:lineRule="exact"/>
              <w:jc w:val="left"/>
              <w:rPr>
                <w:rFonts w:hint="default" w:ascii="宋体" w:hAnsi="宋体" w:eastAsia="宋体" w:cs="宋体"/>
                <w:b w:val="0"/>
                <w:bCs w:val="0"/>
                <w:color w:val="auto"/>
                <w:sz w:val="24"/>
                <w:szCs w:val="24"/>
                <w:highlight w:val="none"/>
                <w:lang w:val="en-US" w:eastAsia="zh-CN"/>
              </w:rPr>
            </w:pPr>
            <w:r>
              <w:rPr>
                <w:rFonts w:hint="eastAsia" w:ascii="宋体" w:hAnsi="宋体" w:cs="宋体"/>
                <w:b/>
                <w:bCs/>
                <w:color w:val="auto"/>
                <w:sz w:val="24"/>
                <w:szCs w:val="24"/>
                <w:highlight w:val="none"/>
                <w:lang w:val="en-US" w:eastAsia="zh-CN"/>
              </w:rPr>
              <w:t>预算金额（元）：67186830；最高限价（元）：20543730，46643100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2" w:hRule="atLeast"/>
        </w:trPr>
        <w:tc>
          <w:tcPr>
            <w:tcW w:w="643" w:type="pc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w:t>
            </w:r>
          </w:p>
        </w:tc>
        <w:tc>
          <w:tcPr>
            <w:tcW w:w="435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投标保证金</w:t>
            </w:r>
            <w:r>
              <w:rPr>
                <w:rFonts w:hint="eastAsia" w:ascii="宋体" w:hAnsi="宋体" w:eastAsia="宋体" w:cs="宋体"/>
                <w:b w:val="0"/>
                <w:bCs w:val="0"/>
                <w:color w:val="auto"/>
                <w:sz w:val="24"/>
                <w:szCs w:val="24"/>
                <w:highlight w:val="none"/>
                <w:lang w:val="en-US" w:eastAsia="zh-CN"/>
              </w:rPr>
              <w:t>形式</w:t>
            </w:r>
            <w:r>
              <w:rPr>
                <w:rFonts w:hint="eastAsia" w:ascii="宋体" w:hAnsi="宋体" w:eastAsia="宋体" w:cs="宋体"/>
                <w:color w:val="auto"/>
                <w:sz w:val="24"/>
                <w:szCs w:val="24"/>
                <w:highlight w:val="none"/>
              </w:rPr>
              <w:t>：</w:t>
            </w:r>
            <w:r>
              <w:rPr>
                <w:rFonts w:hint="eastAsia" w:ascii="宋体" w:hAnsi="宋体" w:eastAsia="宋体" w:cs="宋体"/>
                <w:b/>
                <w:bCs/>
                <w:color w:val="auto"/>
                <w:sz w:val="24"/>
                <w:szCs w:val="24"/>
                <w:highlight w:val="none"/>
              </w:rPr>
              <w:t xml:space="preserve"> ☑保函  ☑电汇   ☑支票  ☑对公转账  </w:t>
            </w:r>
            <w:r>
              <w:rPr>
                <w:rFonts w:hint="eastAsia" w:ascii="宋体" w:hAnsi="宋体" w:eastAsia="宋体" w:cs="宋体"/>
                <w:color w:val="auto"/>
                <w:sz w:val="24"/>
                <w:szCs w:val="24"/>
                <w:highlight w:val="none"/>
              </w:rPr>
              <w:t xml:space="preserve"> </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投标</w:t>
            </w:r>
            <w:r>
              <w:rPr>
                <w:rFonts w:hint="eastAsia" w:ascii="宋体" w:hAnsi="宋体" w:eastAsia="宋体" w:cs="宋体"/>
                <w:b w:val="0"/>
                <w:bCs w:val="0"/>
                <w:color w:val="auto"/>
                <w:sz w:val="24"/>
                <w:szCs w:val="24"/>
                <w:highlight w:val="none"/>
              </w:rPr>
              <w:t>保证金金额：</w:t>
            </w:r>
            <w:r>
              <w:rPr>
                <w:rFonts w:hint="eastAsia" w:ascii="宋体" w:hAnsi="宋体" w:cs="宋体"/>
                <w:b/>
                <w:bCs/>
                <w:color w:val="auto"/>
                <w:sz w:val="24"/>
                <w:szCs w:val="24"/>
                <w:highlight w:val="none"/>
                <w:lang w:val="en-US" w:eastAsia="zh-CN"/>
              </w:rPr>
              <w:t>标项一：</w:t>
            </w:r>
            <w:r>
              <w:rPr>
                <w:rFonts w:hint="eastAsia" w:ascii="宋体" w:hAnsi="宋体" w:eastAsia="宋体" w:cs="宋体"/>
                <w:b/>
                <w:bCs/>
                <w:color w:val="auto"/>
                <w:sz w:val="24"/>
                <w:szCs w:val="24"/>
                <w:highlight w:val="none"/>
              </w:rPr>
              <w:t>¥</w:t>
            </w:r>
            <w:r>
              <w:rPr>
                <w:rFonts w:hint="eastAsia" w:ascii="宋体" w:hAnsi="宋体" w:cs="宋体"/>
                <w:b/>
                <w:bCs/>
                <w:color w:val="auto"/>
                <w:sz w:val="24"/>
                <w:szCs w:val="24"/>
                <w:highlight w:val="none"/>
                <w:lang w:val="en-US" w:eastAsia="zh-CN"/>
              </w:rPr>
              <w:t>400000.00</w:t>
            </w:r>
            <w:r>
              <w:rPr>
                <w:rFonts w:hint="eastAsia" w:ascii="宋体" w:hAnsi="宋体" w:eastAsia="宋体" w:cs="宋体"/>
                <w:b/>
                <w:bCs/>
                <w:color w:val="auto"/>
                <w:sz w:val="24"/>
                <w:szCs w:val="24"/>
                <w:highlight w:val="none"/>
              </w:rPr>
              <w:t>元（人民币</w:t>
            </w:r>
            <w:r>
              <w:rPr>
                <w:rFonts w:hint="eastAsia" w:ascii="宋体" w:hAnsi="宋体" w:cs="宋体"/>
                <w:b/>
                <w:bCs/>
                <w:color w:val="auto"/>
                <w:sz w:val="24"/>
                <w:szCs w:val="24"/>
                <w:highlight w:val="none"/>
                <w:lang w:val="en-US" w:eastAsia="zh-CN"/>
              </w:rPr>
              <w:t>肆拾万</w:t>
            </w:r>
            <w:r>
              <w:rPr>
                <w:rFonts w:hint="eastAsia" w:ascii="宋体" w:hAnsi="宋体" w:eastAsia="宋体" w:cs="宋体"/>
                <w:b/>
                <w:bCs/>
                <w:color w:val="auto"/>
                <w:sz w:val="24"/>
                <w:szCs w:val="24"/>
                <w:highlight w:val="none"/>
                <w:lang w:val="en-US" w:eastAsia="zh-CN"/>
              </w:rPr>
              <w:t>元整）；</w:t>
            </w:r>
          </w:p>
          <w:p>
            <w:pPr>
              <w:pStyle w:val="21"/>
              <w:tabs>
                <w:tab w:val="left" w:pos="1999"/>
              </w:tabs>
              <w:rPr>
                <w:rFonts w:hint="default"/>
                <w:color w:val="auto"/>
                <w:lang w:val="en-US" w:eastAsia="zh-CN"/>
              </w:rPr>
            </w:pPr>
            <w:r>
              <w:rPr>
                <w:rFonts w:hint="eastAsia" w:ascii="宋体" w:hAnsi="宋体" w:cs="宋体"/>
                <w:b/>
                <w:bCs/>
                <w:color w:val="auto"/>
                <w:sz w:val="24"/>
                <w:szCs w:val="24"/>
                <w:highlight w:val="none"/>
                <w:lang w:val="en-US" w:eastAsia="zh-CN"/>
              </w:rPr>
              <w:tab/>
            </w:r>
            <w:r>
              <w:rPr>
                <w:rFonts w:hint="eastAsia" w:ascii="宋体" w:hAnsi="宋体" w:cs="宋体"/>
                <w:b/>
                <w:bCs/>
                <w:color w:val="auto"/>
                <w:sz w:val="24"/>
                <w:szCs w:val="24"/>
                <w:highlight w:val="none"/>
                <w:lang w:val="en-US" w:eastAsia="zh-CN"/>
              </w:rPr>
              <w:t>标项二：</w:t>
            </w:r>
            <w:r>
              <w:rPr>
                <w:rFonts w:hint="eastAsia" w:ascii="宋体" w:hAnsi="宋体" w:eastAsia="宋体" w:cs="宋体"/>
                <w:b/>
                <w:bCs/>
                <w:color w:val="auto"/>
                <w:sz w:val="24"/>
                <w:szCs w:val="24"/>
                <w:highlight w:val="none"/>
              </w:rPr>
              <w:t>¥</w:t>
            </w:r>
            <w:r>
              <w:rPr>
                <w:rFonts w:hint="eastAsia" w:ascii="宋体" w:hAnsi="宋体" w:cs="宋体"/>
                <w:b/>
                <w:bCs/>
                <w:color w:val="auto"/>
                <w:sz w:val="24"/>
                <w:szCs w:val="24"/>
                <w:highlight w:val="none"/>
                <w:lang w:val="en-US" w:eastAsia="zh-CN"/>
              </w:rPr>
              <w:t>800000.00</w:t>
            </w:r>
            <w:r>
              <w:rPr>
                <w:rFonts w:hint="eastAsia" w:ascii="宋体" w:hAnsi="宋体" w:eastAsia="宋体" w:cs="宋体"/>
                <w:b/>
                <w:bCs/>
                <w:color w:val="auto"/>
                <w:sz w:val="24"/>
                <w:szCs w:val="24"/>
                <w:highlight w:val="none"/>
              </w:rPr>
              <w:t>元（人民币</w:t>
            </w:r>
            <w:r>
              <w:rPr>
                <w:rFonts w:hint="eastAsia" w:ascii="宋体" w:hAnsi="宋体" w:cs="宋体"/>
                <w:b/>
                <w:bCs/>
                <w:color w:val="auto"/>
                <w:sz w:val="24"/>
                <w:szCs w:val="24"/>
                <w:highlight w:val="none"/>
                <w:lang w:val="en-US" w:eastAsia="zh-CN"/>
              </w:rPr>
              <w:t>捌拾万</w:t>
            </w:r>
            <w:r>
              <w:rPr>
                <w:rFonts w:hint="eastAsia" w:ascii="宋体" w:hAnsi="宋体" w:eastAsia="宋体" w:cs="宋体"/>
                <w:b/>
                <w:bCs/>
                <w:color w:val="auto"/>
                <w:sz w:val="24"/>
                <w:szCs w:val="24"/>
                <w:highlight w:val="none"/>
                <w:lang w:val="en-US" w:eastAsia="zh-CN"/>
              </w:rPr>
              <w:t>元整）；</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（按照</w:t>
            </w:r>
            <w:r>
              <w:rPr>
                <w:rFonts w:hint="eastAsia" w:ascii="宋体" w:hAnsi="宋体" w:eastAsia="宋体" w:cs="宋体"/>
                <w:color w:val="auto"/>
                <w:sz w:val="24"/>
                <w:szCs w:val="24"/>
                <w:highlight w:val="none"/>
                <w:lang w:val="en-US" w:eastAsia="zh-CN"/>
              </w:rPr>
              <w:t>预算</w:t>
            </w:r>
            <w:r>
              <w:rPr>
                <w:rFonts w:hint="eastAsia" w:ascii="宋体" w:hAnsi="宋体" w:eastAsia="宋体" w:cs="宋体"/>
                <w:color w:val="auto"/>
                <w:sz w:val="24"/>
                <w:szCs w:val="24"/>
                <w:highlight w:val="none"/>
              </w:rPr>
              <w:t>金额2%以内的整数计算）</w:t>
            </w:r>
          </w:p>
          <w:p>
            <w:pPr>
              <w:keepNext w:val="0"/>
              <w:keepLines w:val="0"/>
              <w:pageBreakBefore w:val="0"/>
              <w:kinsoku/>
              <w:wordWrap/>
              <w:overflowPunct/>
              <w:topLinePunct w:val="0"/>
              <w:autoSpaceDE/>
              <w:autoSpaceDN/>
              <w:bidi w:val="0"/>
              <w:adjustRightInd/>
              <w:spacing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保证金收款人：</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单位名称：中经国际工程咨询集团有限公司喀什分公司</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开 户 行：中国银行股份有限公司喀什经济开发区支行</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账  </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z w:val="24"/>
                <w:szCs w:val="24"/>
                <w:highlight w:val="none"/>
                <w14:textFill>
                  <w14:solidFill>
                    <w14:schemeClr w14:val="tx1"/>
                  </w14:solidFill>
                </w14:textFill>
              </w:rPr>
              <w:t>号：107081984591</w:t>
            </w:r>
          </w:p>
          <w:p>
            <w:pPr>
              <w:pStyle w:val="21"/>
              <w:rPr>
                <w:rFonts w:hint="default" w:eastAsia="宋体"/>
                <w:color w:val="000000" w:themeColor="text1"/>
                <w:lang w:val="en-US" w:eastAsia="zh-CN"/>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行    号：104894004179</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 xml:space="preserve"> （电汇时请在汇款备注栏注明项目名称及编号、包号（如有），并注明是</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投标</w:t>
            </w:r>
            <w:r>
              <w:rPr>
                <w:rFonts w:hint="eastAsia" w:ascii="宋体" w:hAnsi="宋体" w:eastAsia="宋体" w:cs="宋体"/>
                <w:b/>
                <w:bCs/>
                <w:color w:val="000000" w:themeColor="text1"/>
                <w:sz w:val="24"/>
                <w:szCs w:val="24"/>
                <w:highlight w:val="none"/>
                <w14:textFill>
                  <w14:solidFill>
                    <w14:schemeClr w14:val="tx1"/>
                  </w14:solidFill>
                </w14:textFill>
              </w:rPr>
              <w:t>保证金）</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财务室联系方式：18099850003  </w:t>
            </w:r>
          </w:p>
          <w:p>
            <w:pPr>
              <w:keepNext w:val="0"/>
              <w:keepLines w:val="0"/>
              <w:pageBreakBefore w:val="0"/>
              <w:numPr>
                <w:ilvl w:val="0"/>
                <w:numId w:val="0"/>
              </w:numPr>
              <w:kinsoku/>
              <w:wordWrap/>
              <w:overflowPunct/>
              <w:topLinePunct w:val="0"/>
              <w:autoSpaceDE/>
              <w:autoSpaceDN/>
              <w:bidi w:val="0"/>
              <w:adjustRightInd/>
              <w:spacing w:line="360" w:lineRule="exact"/>
              <w:jc w:val="left"/>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A:缴纳投标保证金保证金要求：（1）投标保证金必须在开标前提交到</w:t>
            </w:r>
            <w:r>
              <w:rPr>
                <w:rFonts w:hint="eastAsia" w:ascii="宋体" w:hAnsi="宋体" w:eastAsia="宋体" w:cs="宋体"/>
                <w:b/>
                <w:bCs/>
                <w:color w:val="auto"/>
                <w:sz w:val="24"/>
                <w:szCs w:val="24"/>
                <w:highlight w:val="none"/>
              </w:rPr>
              <w:t>中经国际工程咨询集团有限公司喀什分公司</w:t>
            </w:r>
            <w:r>
              <w:rPr>
                <w:rFonts w:hint="eastAsia" w:ascii="宋体" w:hAnsi="宋体" w:eastAsia="宋体" w:cs="宋体"/>
                <w:b/>
                <w:bCs/>
                <w:color w:val="auto"/>
                <w:sz w:val="24"/>
                <w:szCs w:val="24"/>
                <w:highlight w:val="none"/>
                <w:lang w:eastAsia="zh-CN"/>
              </w:rPr>
              <w:t>账户中。不接受现金及任何个人、分公司汇款。供应商向银行办理保证金汇（转）款时，应在用途栏（备注栏）注明项目名称及包号（如有），并注明是投标保证金字样，如填写字数有要求可简写项目名称与包号（如有），由于未按要求注明信息而导致的一切后果由供应商自行承担。</w:t>
            </w:r>
          </w:p>
          <w:p>
            <w:pPr>
              <w:keepNext w:val="0"/>
              <w:keepLines w:val="0"/>
              <w:pageBreakBefore w:val="0"/>
              <w:numPr>
                <w:ilvl w:val="0"/>
                <w:numId w:val="0"/>
              </w:numPr>
              <w:kinsoku/>
              <w:wordWrap/>
              <w:overflowPunct/>
              <w:topLinePunct w:val="0"/>
              <w:autoSpaceDE/>
              <w:autoSpaceDN/>
              <w:bidi w:val="0"/>
              <w:adjustRightInd/>
              <w:spacing w:line="360" w:lineRule="exact"/>
              <w:jc w:val="left"/>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（2）供应商以保函形式提交投标保证金的，须在投标截止时间前到我公司换取保函收据</w:t>
            </w:r>
            <w:r>
              <w:rPr>
                <w:rFonts w:hint="eastAsia" w:ascii="宋体" w:hAnsi="宋体" w:cs="宋体"/>
                <w:b/>
                <w:bCs/>
                <w:color w:val="auto"/>
                <w:sz w:val="24"/>
                <w:szCs w:val="24"/>
                <w:highlight w:val="none"/>
                <w:lang w:eastAsia="zh-CN"/>
              </w:rPr>
              <w:t>。</w:t>
            </w:r>
            <w:r>
              <w:rPr>
                <w:rFonts w:hint="eastAsia" w:ascii="宋体" w:hAnsi="宋体" w:eastAsia="宋体" w:cs="宋体"/>
                <w:b/>
                <w:bCs/>
                <w:color w:val="auto"/>
                <w:sz w:val="24"/>
                <w:szCs w:val="24"/>
                <w:highlight w:val="none"/>
                <w:lang w:eastAsia="zh-CN"/>
              </w:rPr>
              <w:t>注：以支票形式提供投标保证金的须在投标截止时间前到我公司换取支票收据，投标文件内须放支票复印件。</w:t>
            </w:r>
          </w:p>
          <w:p>
            <w:pPr>
              <w:keepNext w:val="0"/>
              <w:keepLines w:val="0"/>
              <w:pageBreakBefore w:val="0"/>
              <w:numPr>
                <w:ilvl w:val="0"/>
                <w:numId w:val="0"/>
              </w:numPr>
              <w:kinsoku/>
              <w:wordWrap/>
              <w:overflowPunct/>
              <w:topLinePunct w:val="0"/>
              <w:autoSpaceDE/>
              <w:autoSpaceDN/>
              <w:bidi w:val="0"/>
              <w:adjustRightInd/>
              <w:spacing w:line="360" w:lineRule="exact"/>
              <w:jc w:val="left"/>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B：退投标保证金：（1）根据《中华人民共和国财政部令第87号--政府采购货物和货物招标投标管理办法》第三十八条供应商在投标截止时间前撤回已提交的投标文件的，采购人或者采购代理机构应当自收到供应商书面撤回通知之日起５个工作日内，退还已收取的投标保证金，但因供应商自身原因导致无法及时退还的除外。采购人或者采购代理机构应当自中标通知书发出之日起5个工作日内退还未中标供应商的投标保证金，自采购合同签订之日起5个工作日内退还中标供应商的投标保证金。</w:t>
            </w:r>
          </w:p>
          <w:p>
            <w:pPr>
              <w:keepNext w:val="0"/>
              <w:keepLines w:val="0"/>
              <w:pageBreakBefore w:val="0"/>
              <w:numPr>
                <w:ilvl w:val="0"/>
                <w:numId w:val="0"/>
              </w:numPr>
              <w:kinsoku/>
              <w:wordWrap/>
              <w:overflowPunct/>
              <w:topLinePunct w:val="0"/>
              <w:autoSpaceDE/>
              <w:autoSpaceDN/>
              <w:bidi w:val="0"/>
              <w:adjustRightInd/>
              <w:spacing w:line="360" w:lineRule="exact"/>
              <w:jc w:val="left"/>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（2）开标结束后3天内打印两套上传的投标文件胶装后加盖鲜公章送到</w:t>
            </w:r>
            <w:r>
              <w:rPr>
                <w:rFonts w:hint="eastAsia" w:ascii="宋体" w:hAnsi="宋体" w:cs="宋体"/>
                <w:b/>
                <w:bCs/>
                <w:color w:val="auto"/>
                <w:sz w:val="24"/>
                <w:szCs w:val="24"/>
                <w:highlight w:val="none"/>
                <w:lang w:eastAsia="zh-CN"/>
              </w:rPr>
              <w:t>喀什地区喀什市深喀大道陕西大厦12楼1202室</w:t>
            </w:r>
            <w:r>
              <w:rPr>
                <w:rFonts w:hint="eastAsia" w:ascii="宋体" w:hAnsi="宋体" w:eastAsia="宋体" w:cs="宋体"/>
                <w:b/>
                <w:bCs/>
                <w:color w:val="auto"/>
                <w:sz w:val="24"/>
                <w:szCs w:val="24"/>
                <w:highlight w:val="none"/>
                <w:lang w:eastAsia="zh-CN"/>
              </w:rPr>
              <w:t>）</w:t>
            </w:r>
          </w:p>
          <w:p>
            <w:pPr>
              <w:keepNext w:val="0"/>
              <w:keepLines w:val="0"/>
              <w:pageBreakBefore w:val="0"/>
              <w:numPr>
                <w:ilvl w:val="0"/>
                <w:numId w:val="0"/>
              </w:numPr>
              <w:kinsoku/>
              <w:wordWrap/>
              <w:overflowPunct/>
              <w:topLinePunct w:val="0"/>
              <w:autoSpaceDE/>
              <w:autoSpaceDN/>
              <w:bidi w:val="0"/>
              <w:adjustRightInd/>
              <w:spacing w:line="360" w:lineRule="exact"/>
              <w:jc w:val="left"/>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fldChar w:fldCharType="begin"/>
            </w:r>
            <w:r>
              <w:rPr>
                <w:rFonts w:hint="eastAsia" w:ascii="宋体" w:hAnsi="宋体" w:eastAsia="宋体" w:cs="宋体"/>
                <w:b/>
                <w:bCs/>
                <w:color w:val="auto"/>
                <w:sz w:val="24"/>
                <w:szCs w:val="24"/>
                <w:highlight w:val="none"/>
                <w:lang w:val="en-US" w:eastAsia="zh-CN"/>
              </w:rPr>
              <w:instrText xml:space="preserve"> HYPERLINK "mailto:中标供应商的投标保证金在与采购单位签订合同后，把合同扫描件发送至邮箱2783389030@qq.com后，当日或次日即原账户退回。" </w:instrText>
            </w:r>
            <w:r>
              <w:rPr>
                <w:rFonts w:hint="eastAsia" w:ascii="宋体" w:hAnsi="宋体" w:eastAsia="宋体" w:cs="宋体"/>
                <w:b/>
                <w:bCs/>
                <w:color w:val="auto"/>
                <w:sz w:val="24"/>
                <w:szCs w:val="24"/>
                <w:highlight w:val="none"/>
                <w:lang w:val="en-US" w:eastAsia="zh-CN"/>
              </w:rPr>
              <w:fldChar w:fldCharType="separate"/>
            </w:r>
            <w:r>
              <w:rPr>
                <w:rFonts w:hint="eastAsia" w:ascii="宋体" w:hAnsi="宋体" w:eastAsia="宋体" w:cs="宋体"/>
                <w:b/>
                <w:bCs/>
                <w:color w:val="auto"/>
                <w:sz w:val="24"/>
                <w:szCs w:val="24"/>
                <w:highlight w:val="none"/>
                <w:lang w:val="en-US" w:eastAsia="zh-CN"/>
              </w:rPr>
              <w:t>中标供应商的投标保证金在与采购单位签订合同后，把合同扫描件发送至邮箱2735998177@qq.com后，当日或次日即原账户退回。</w:t>
            </w:r>
            <w:r>
              <w:rPr>
                <w:rFonts w:hint="eastAsia" w:ascii="宋体" w:hAnsi="宋体" w:eastAsia="宋体" w:cs="宋体"/>
                <w:b/>
                <w:bCs/>
                <w:color w:val="auto"/>
                <w:sz w:val="24"/>
                <w:szCs w:val="24"/>
                <w:highlight w:val="none"/>
                <w:lang w:val="en-US" w:eastAsia="zh-CN"/>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60" w:hRule="atLeast"/>
        </w:trPr>
        <w:tc>
          <w:tcPr>
            <w:tcW w:w="643" w:type="pc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w:t>
            </w:r>
          </w:p>
        </w:tc>
        <w:tc>
          <w:tcPr>
            <w:tcW w:w="4356" w:type="pct"/>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投标有效期：</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90</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auto"/>
                <w:sz w:val="24"/>
                <w:szCs w:val="24"/>
                <w:highlight w:val="none"/>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1" w:hRule="atLeast"/>
        </w:trPr>
        <w:tc>
          <w:tcPr>
            <w:tcW w:w="643" w:type="pc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w:t>
            </w:r>
          </w:p>
        </w:tc>
        <w:tc>
          <w:tcPr>
            <w:tcW w:w="4356" w:type="pct"/>
            <w:vAlign w:val="center"/>
          </w:tcPr>
          <w:p>
            <w:pPr>
              <w:keepNext w:val="0"/>
              <w:keepLines w:val="0"/>
              <w:pageBreakBefore w:val="0"/>
              <w:shd w:val="clear"/>
              <w:kinsoku/>
              <w:wordWrap/>
              <w:overflowPunct/>
              <w:topLinePunct w:val="0"/>
              <w:autoSpaceDE/>
              <w:autoSpaceDN/>
              <w:bidi w:val="0"/>
              <w:adjustRightInd/>
              <w:spacing w:line="360" w:lineRule="exact"/>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本项目为电子招投标，供应商需要使用CA加密设备，凡参加本项目必须可自主通过新疆CA申领渠道“新疆政务通”申请政采云平台可使用的CA设备，如原有兵团或公共资源使用的CA，可与新疆CA联系，申请增加电子证书即可，无需重复申领。如需咨询，请联系新疆CA服务热线0991-2819290（喀什办理地点喀什东城喀什市行政审批局一楼企业服务专区数字证书窗口，联系电话15001465669）</w:t>
            </w:r>
          </w:p>
          <w:p>
            <w:pPr>
              <w:keepNext w:val="0"/>
              <w:keepLines w:val="0"/>
              <w:pageBreakBefore w:val="0"/>
              <w:shd w:val="clear"/>
              <w:kinsoku/>
              <w:wordWrap/>
              <w:overflowPunct/>
              <w:topLinePunct w:val="0"/>
              <w:autoSpaceDE/>
              <w:autoSpaceDN/>
              <w:bidi w:val="0"/>
              <w:adjustRightInd/>
              <w:spacing w:line="360" w:lineRule="exact"/>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（2）本项目实行网上投标，采用电子投标文件(供应商须使用CA加密设备通过政采云电子投标客户端制作投标文件)。若供应商参与投标，自行承担投标一切费用。</w:t>
            </w:r>
          </w:p>
          <w:p>
            <w:pPr>
              <w:keepNext w:val="0"/>
              <w:keepLines w:val="0"/>
              <w:pageBreakBefore w:val="0"/>
              <w:shd w:val="clear"/>
              <w:kinsoku/>
              <w:wordWrap/>
              <w:overflowPunct/>
              <w:topLinePunct w:val="0"/>
              <w:autoSpaceDE/>
              <w:autoSpaceDN/>
              <w:bidi w:val="0"/>
              <w:adjustRightInd/>
              <w:spacing w:line="360" w:lineRule="exact"/>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（3）各供应商应在开标前应确保成为新疆政府采购网正式注册入库供应商，并完成CA数字证书申领。因未注册入库、未办理CA数字证书等原因造成无法投标或投标失败等后果由供应商自行承担。</w:t>
            </w:r>
          </w:p>
          <w:p>
            <w:pPr>
              <w:keepNext w:val="0"/>
              <w:keepLines w:val="0"/>
              <w:pageBreakBefore w:val="0"/>
              <w:shd w:val="clear"/>
              <w:kinsoku/>
              <w:wordWrap/>
              <w:overflowPunct/>
              <w:topLinePunct w:val="0"/>
              <w:autoSpaceDE/>
              <w:autoSpaceDN/>
              <w:bidi w:val="0"/>
              <w:adjustRightInd/>
              <w:spacing w:line="360" w:lineRule="exact"/>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4）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keepNext w:val="0"/>
              <w:keepLines w:val="0"/>
              <w:pageBreakBefore w:val="0"/>
              <w:shd w:val="clear"/>
              <w:kinsoku/>
              <w:wordWrap/>
              <w:overflowPunct/>
              <w:topLinePunct w:val="0"/>
              <w:autoSpaceDE/>
              <w:autoSpaceDN/>
              <w:bidi w:val="0"/>
              <w:adjustRightInd/>
              <w:spacing w:line="360" w:lineRule="exact"/>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（5）供应商在开标时须使用制作加密电子投标文件所使用的CA锁及电脑，电脑须提前配置好浏览器（建议使用360浏览器或谷歌浏览器），以便开标时解锁。</w:t>
            </w:r>
          </w:p>
          <w:p>
            <w:pPr>
              <w:keepNext w:val="0"/>
              <w:keepLines w:val="0"/>
              <w:pageBreakBefore w:val="0"/>
              <w:shd w:val="clear"/>
              <w:kinsoku/>
              <w:wordWrap/>
              <w:overflowPunct/>
              <w:topLinePunct w:val="0"/>
              <w:autoSpaceDE/>
              <w:autoSpaceDN/>
              <w:bidi w:val="0"/>
              <w:adjustRightInd/>
              <w:spacing w:line="360" w:lineRule="exact"/>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（6）投标保证金缴纳及确认时间：凡拟参加本次招标项目的供应商，必须在开标前将投标保证金汇入指定账户。否则，届时其投标将被拒绝。</w:t>
            </w:r>
          </w:p>
          <w:p>
            <w:pPr>
              <w:keepNext w:val="0"/>
              <w:keepLines w:val="0"/>
              <w:pageBreakBefore w:val="0"/>
              <w:shd w:val="clear"/>
              <w:kinsoku/>
              <w:wordWrap/>
              <w:overflowPunct/>
              <w:topLinePunct w:val="0"/>
              <w:autoSpaceDE/>
              <w:autoSpaceDN/>
              <w:bidi w:val="0"/>
              <w:adjustRightInd/>
              <w:spacing w:line="360" w:lineRule="exact"/>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7）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政采云新疆网超供应商服务二十群：35547618（如已加入1-19群，无需重复加入），钉钉工具软件具有回放功能，直播培训结束后可在钉钉群中回放观看学习。</w:t>
            </w:r>
          </w:p>
          <w:p>
            <w:pPr>
              <w:keepNext w:val="0"/>
              <w:keepLines w:val="0"/>
              <w:pageBreakBefore w:val="0"/>
              <w:shd w:val="clear"/>
              <w:kinsoku/>
              <w:wordWrap/>
              <w:overflowPunct/>
              <w:topLinePunct w:val="0"/>
              <w:autoSpaceDE/>
              <w:autoSpaceDN/>
              <w:bidi w:val="0"/>
              <w:adjustRightInd/>
              <w:spacing w:line="360" w:lineRule="exact"/>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8）各供应商须在投标截止时间前完成在系统上递交电子投标文件。投标供应商的电子投标文件是经过CA证书加密后上传提交的，任何单位或个人均无法在投标截止时间(即开标时间)之前查看或篡改，不存在泄密风险。（严格按照政采云电子投标流程制作并上传完整版的电子投标文件，包含第一部分开标一览表及资格证明文件、第二部分商务及技术文件）</w:t>
            </w:r>
          </w:p>
          <w:p>
            <w:pPr>
              <w:keepNext w:val="0"/>
              <w:keepLines w:val="0"/>
              <w:pageBreakBefore w:val="0"/>
              <w:shd w:val="clear"/>
              <w:kinsoku/>
              <w:wordWrap/>
              <w:overflowPunct/>
              <w:topLinePunct w:val="0"/>
              <w:autoSpaceDE/>
              <w:autoSpaceDN/>
              <w:bidi w:val="0"/>
              <w:adjustRightInd/>
              <w:spacing w:line="360" w:lineRule="exact"/>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9</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各供应商应完整地按招标文件提供的投标文件格式及要求编写投标文件，根据平台关联点上传对应佐证资料。投标文件应包括“开标一览表及资格证明文件”和“商务及技术文件”两部分，两部分合并成完整一册，按照招标文件规定的格式填写、签署和盖章，并以PDF格式上传至政采云平台。</w:t>
            </w:r>
          </w:p>
          <w:p>
            <w:pPr>
              <w:keepNext w:val="0"/>
              <w:keepLines w:val="0"/>
              <w:pageBreakBefore w:val="0"/>
              <w:shd w:val="clear"/>
              <w:kinsoku/>
              <w:wordWrap/>
              <w:overflowPunct/>
              <w:topLinePunct w:val="0"/>
              <w:autoSpaceDE/>
              <w:autoSpaceDN/>
              <w:bidi w:val="0"/>
              <w:adjustRightInd/>
              <w:spacing w:line="360" w:lineRule="exact"/>
              <w:jc w:val="left"/>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（10）供应商须提供备份的投标文件。</w:t>
            </w:r>
          </w:p>
          <w:p>
            <w:pPr>
              <w:pStyle w:val="21"/>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（11）解密时长为30分钟。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4" w:hRule="atLeast"/>
        </w:trPr>
        <w:tc>
          <w:tcPr>
            <w:tcW w:w="643" w:type="pc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16.1</w:t>
            </w:r>
          </w:p>
        </w:tc>
        <w:tc>
          <w:tcPr>
            <w:tcW w:w="4356" w:type="pct"/>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投标截止时间：</w:t>
            </w: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2</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023年10月12日16:00</w:t>
            </w: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34" w:hRule="atLeast"/>
        </w:trPr>
        <w:tc>
          <w:tcPr>
            <w:tcW w:w="643" w:type="pc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18.1</w:t>
            </w:r>
          </w:p>
        </w:tc>
        <w:tc>
          <w:tcPr>
            <w:tcW w:w="4356" w:type="pct"/>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开标时间：</w:t>
            </w: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2</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023年10月12日16:00</w:t>
            </w: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（北京时间）</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开标地点</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政采云平台（https://login.zcygov.cn/user-login/#/login）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643" w:type="pc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23.2</w:t>
            </w:r>
          </w:p>
        </w:tc>
        <w:tc>
          <w:tcPr>
            <w:tcW w:w="4356" w:type="pct"/>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i/>
                <w:color w:val="auto"/>
                <w:sz w:val="24"/>
                <w:szCs w:val="24"/>
                <w:highlight w:val="none"/>
              </w:rPr>
            </w:pPr>
            <w:r>
              <w:rPr>
                <w:rFonts w:hint="eastAsia" w:ascii="宋体" w:hAnsi="宋体" w:eastAsia="宋体" w:cs="宋体"/>
                <w:color w:val="auto"/>
                <w:sz w:val="24"/>
                <w:szCs w:val="24"/>
                <w:highlight w:val="none"/>
              </w:rPr>
              <w:t>评标方法：适用</w:t>
            </w:r>
            <w:r>
              <w:rPr>
                <w:rFonts w:hint="eastAsia" w:ascii="宋体" w:hAnsi="宋体" w:eastAsia="宋体" w:cs="宋体"/>
                <w:color w:val="auto"/>
                <w:sz w:val="24"/>
                <w:szCs w:val="24"/>
                <w:highlight w:val="none"/>
                <w:u w:val="single"/>
              </w:rPr>
              <w:t>　</w:t>
            </w:r>
            <w:r>
              <w:rPr>
                <w:rFonts w:hint="eastAsia" w:ascii="宋体" w:hAnsi="宋体" w:cs="宋体"/>
                <w:color w:val="000000" w:themeColor="text1"/>
                <w:sz w:val="24"/>
                <w:szCs w:val="24"/>
                <w:highlight w:val="none"/>
                <w:u w:val="single"/>
                <w:lang w:val="en-US" w:eastAsia="zh-CN"/>
                <w14:textFill>
                  <w14:solidFill>
                    <w14:schemeClr w14:val="tx1"/>
                  </w14:solidFill>
                </w14:textFill>
              </w:rPr>
              <w:t>综合评分法</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643" w:type="pc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w:t>
            </w:r>
          </w:p>
        </w:tc>
        <w:tc>
          <w:tcPr>
            <w:tcW w:w="4356" w:type="pct"/>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推荐中标候选供应商的数量：</w:t>
            </w:r>
            <w:r>
              <w:rPr>
                <w:rFonts w:hint="eastAsia" w:ascii="宋体" w:hAnsi="宋体" w:eastAsia="宋体" w:cs="宋体"/>
                <w:color w:val="auto"/>
                <w:sz w:val="24"/>
                <w:szCs w:val="24"/>
                <w:highlight w:val="none"/>
                <w:u w:val="single"/>
              </w:rPr>
              <w:t>　  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643" w:type="pc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w:t>
            </w:r>
          </w:p>
        </w:tc>
        <w:tc>
          <w:tcPr>
            <w:tcW w:w="4356" w:type="pct"/>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是否委托评标委员会直接确定中标人：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否</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i/>
                <w:color w:val="auto"/>
                <w:sz w:val="24"/>
                <w:szCs w:val="24"/>
                <w:highlight w:val="none"/>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6" w:hRule="atLeast"/>
        </w:trPr>
        <w:tc>
          <w:tcPr>
            <w:tcW w:w="643" w:type="pc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31.1</w:t>
            </w:r>
          </w:p>
        </w:tc>
        <w:tc>
          <w:tcPr>
            <w:tcW w:w="4356" w:type="pct"/>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履约保证金金额：合同总价的</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cs="宋体"/>
                <w:color w:val="000000" w:themeColor="text1"/>
                <w:sz w:val="24"/>
                <w:szCs w:val="24"/>
                <w:highlight w:val="none"/>
                <w:u w:val="single"/>
                <w:shd w:val="clear"/>
                <w:lang w:val="en-US" w:eastAsia="zh-CN"/>
                <w14:textFill>
                  <w14:solidFill>
                    <w14:schemeClr w14:val="tx1"/>
                  </w14:solidFill>
                </w14:textFill>
              </w:rPr>
              <w:t>5</w:t>
            </w:r>
            <w:r>
              <w:rPr>
                <w:rFonts w:hint="eastAsia" w:ascii="宋体" w:hAnsi="宋体" w:eastAsia="宋体" w:cs="宋体"/>
                <w:color w:val="000000" w:themeColor="text1"/>
                <w:sz w:val="24"/>
                <w:szCs w:val="24"/>
                <w:highlight w:val="none"/>
                <w:u w:val="single"/>
                <w:shd w:val="clear"/>
                <w14:textFill>
                  <w14:solidFill>
                    <w14:schemeClr w14:val="tx1"/>
                  </w14:solidFill>
                </w14:textFill>
              </w:rPr>
              <w:t>%</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auto"/>
                <w:sz w:val="24"/>
                <w:szCs w:val="24"/>
                <w:highlight w:val="none"/>
              </w:rPr>
              <w:t>不得超过政府采购合同金额的10%）</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履约保证金形式：</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☑保函</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 xml:space="preserve">电汇  </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 xml:space="preserve">支票   </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 xml:space="preserve">对公转账 </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提交履约保证金的时间：</w:t>
            </w:r>
            <w:r>
              <w:rPr>
                <w:rFonts w:hint="eastAsia" w:ascii="宋体" w:hAnsi="宋体" w:eastAsia="宋体" w:cs="宋体"/>
                <w:color w:val="auto"/>
                <w:sz w:val="24"/>
                <w:szCs w:val="24"/>
                <w:highlight w:val="none"/>
                <w:u w:val="single"/>
              </w:rPr>
              <w:t>签订合同前打入甲方指定账户</w:t>
            </w:r>
            <w:r>
              <w:rPr>
                <w:rFonts w:hint="eastAsia" w:ascii="宋体" w:hAnsi="宋体" w:eastAsia="宋体" w:cs="宋体"/>
                <w:color w:val="auto"/>
                <w:sz w:val="24"/>
                <w:szCs w:val="24"/>
                <w:highlight w:val="none"/>
              </w:rPr>
              <w:t xml:space="preserve"> </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注：</w:t>
            </w:r>
            <w:r>
              <w:rPr>
                <w:rFonts w:hint="eastAsia" w:ascii="宋体" w:hAnsi="宋体" w:eastAsia="宋体" w:cs="宋体"/>
                <w:color w:val="auto"/>
                <w:sz w:val="24"/>
                <w:szCs w:val="24"/>
                <w:highlight w:val="none"/>
                <w:lang w:val="zh-CN"/>
              </w:rPr>
              <w:t>双方可以通过协商另行约定其他退还时间和方式及用途。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6" w:hRule="atLeast"/>
        </w:trPr>
        <w:tc>
          <w:tcPr>
            <w:tcW w:w="643" w:type="pc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w:t>
            </w:r>
          </w:p>
        </w:tc>
        <w:tc>
          <w:tcPr>
            <w:tcW w:w="4356" w:type="pct"/>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招标代理服务费：</w:t>
            </w:r>
            <w:r>
              <w:rPr>
                <w:rFonts w:hint="eastAsia" w:ascii="宋体" w:hAnsi="宋体" w:cs="宋体"/>
                <w:color w:val="auto"/>
                <w:sz w:val="24"/>
                <w:szCs w:val="24"/>
                <w:highlight w:val="none"/>
                <w:lang w:val="en-US" w:eastAsia="zh-CN"/>
              </w:rPr>
              <w:t>标项一：30000.00元</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叁</w:t>
            </w:r>
            <w:r>
              <w:rPr>
                <w:rFonts w:hint="eastAsia" w:ascii="宋体" w:hAnsi="宋体" w:cs="宋体"/>
                <w:color w:val="auto"/>
                <w:sz w:val="24"/>
                <w:szCs w:val="24"/>
                <w:highlight w:val="none"/>
                <w:lang w:val="en-US" w:eastAsia="zh-CN"/>
              </w:rPr>
              <w:t>万元整）标项二：50000.00元</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伍万元整）</w:t>
            </w:r>
            <w:r>
              <w:rPr>
                <w:rFonts w:hint="eastAsia" w:ascii="宋体" w:hAnsi="宋体" w:eastAsia="宋体" w:cs="宋体"/>
                <w:color w:val="auto"/>
                <w:sz w:val="24"/>
                <w:szCs w:val="24"/>
                <w:highlight w:val="none"/>
              </w:rPr>
              <w:t>由中标供应商领取中标通知书时一次性支付</w:t>
            </w:r>
            <w:r>
              <w:rPr>
                <w:rFonts w:hint="eastAsia" w:ascii="宋体" w:hAnsi="宋体" w:cs="宋体"/>
                <w:color w:val="auto"/>
                <w:sz w:val="24"/>
                <w:szCs w:val="24"/>
                <w:highlight w:val="none"/>
                <w:lang w:eastAsia="zh-CN"/>
              </w:rPr>
              <w:t>。</w:t>
            </w:r>
          </w:p>
          <w:p>
            <w:pPr>
              <w:keepNext w:val="0"/>
              <w:keepLines w:val="0"/>
              <w:pageBreakBefore w:val="0"/>
              <w:kinsoku/>
              <w:wordWrap/>
              <w:overflowPunct/>
              <w:topLinePunct w:val="0"/>
              <w:autoSpaceDE/>
              <w:autoSpaceDN/>
              <w:bidi w:val="0"/>
              <w:adjustRightInd/>
              <w:spacing w:line="36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支付形式：</w:t>
            </w:r>
            <w:r>
              <w:rPr>
                <w:rFonts w:hint="eastAsia" w:ascii="宋体" w:hAnsi="宋体" w:eastAsia="宋体" w:cs="宋体"/>
                <w:color w:val="auto"/>
                <w:sz w:val="24"/>
                <w:szCs w:val="24"/>
                <w:highlight w:val="none"/>
                <w:u w:val="single"/>
              </w:rPr>
              <w:t xml:space="preserve">  对公转账</w:t>
            </w:r>
            <w:r>
              <w:rPr>
                <w:rFonts w:hint="eastAsia" w:ascii="宋体" w:hAnsi="宋体" w:eastAsia="宋体" w:cs="宋体"/>
                <w:color w:val="auto"/>
                <w:sz w:val="24"/>
                <w:szCs w:val="24"/>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支付时间：</w:t>
            </w:r>
            <w:r>
              <w:rPr>
                <w:rFonts w:hint="eastAsia" w:ascii="宋体" w:hAnsi="宋体" w:eastAsia="宋体" w:cs="宋体"/>
                <w:color w:val="auto"/>
                <w:sz w:val="24"/>
                <w:szCs w:val="24"/>
                <w:highlight w:val="none"/>
                <w:u w:val="single"/>
              </w:rPr>
              <w:t xml:space="preserve">  领取中标通知书时</w:t>
            </w:r>
            <w:r>
              <w:rPr>
                <w:rFonts w:hint="eastAsia" w:ascii="宋体" w:hAnsi="宋体" w:eastAsia="宋体" w:cs="宋体"/>
                <w:color w:val="auto"/>
                <w:sz w:val="24"/>
                <w:szCs w:val="24"/>
                <w:highlight w:val="none"/>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6" w:hRule="atLeast"/>
        </w:trPr>
        <w:tc>
          <w:tcPr>
            <w:tcW w:w="643" w:type="pc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rPr>
            </w:pPr>
            <w:bookmarkStart w:id="1581" w:name="_Toc512937852"/>
            <w:bookmarkStart w:id="1582" w:name="_Toc27053"/>
            <w:bookmarkStart w:id="1583" w:name="_Toc15092"/>
            <w:r>
              <w:rPr>
                <w:rFonts w:hint="eastAsia" w:ascii="宋体" w:hAnsi="宋体" w:eastAsia="宋体" w:cs="宋体"/>
                <w:color w:val="auto"/>
                <w:sz w:val="24"/>
                <w:szCs w:val="24"/>
                <w:highlight w:val="none"/>
              </w:rPr>
              <w:t>33.1</w:t>
            </w:r>
          </w:p>
        </w:tc>
        <w:tc>
          <w:tcPr>
            <w:tcW w:w="4356" w:type="pct"/>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本项目是否属于信用担保试点范围：</w:t>
            </w:r>
            <w:r>
              <w:rPr>
                <w:rFonts w:hint="eastAsia" w:ascii="宋体" w:hAnsi="宋体" w:eastAsia="宋体" w:cs="宋体"/>
                <w:color w:val="auto"/>
                <w:sz w:val="24"/>
                <w:szCs w:val="24"/>
                <w:highlight w:val="none"/>
                <w:u w:val="single"/>
              </w:rPr>
              <w:t xml:space="preserve">  否   </w:t>
            </w:r>
            <w:r>
              <w:rPr>
                <w:rFonts w:hint="eastAsia" w:ascii="宋体" w:hAnsi="宋体" w:eastAsia="宋体" w:cs="宋体"/>
                <w:color w:val="auto"/>
                <w:sz w:val="24"/>
                <w:szCs w:val="24"/>
                <w:highlight w:val="none"/>
              </w:rPr>
              <w:t>（是、否）</w:t>
            </w:r>
          </w:p>
        </w:tc>
      </w:tr>
    </w:tbl>
    <w:p>
      <w:pPr>
        <w:tabs>
          <w:tab w:val="left" w:pos="0"/>
        </w:tabs>
        <w:spacing w:before="0" w:after="0" w:line="240" w:lineRule="atLeast"/>
        <w:outlineLvl w:val="9"/>
        <w:rPr>
          <w:rFonts w:hint="eastAsia" w:ascii="宋体" w:hAnsi="宋体" w:eastAsia="宋体" w:cs="宋体"/>
          <w:b/>
          <w:bCs/>
          <w:color w:val="auto"/>
          <w:kern w:val="0"/>
          <w:sz w:val="32"/>
          <w:szCs w:val="32"/>
          <w:highlight w:val="none"/>
          <w:lang w:val="en-US" w:eastAsia="zh-CN" w:bidi="ar-SA"/>
        </w:rPr>
      </w:pPr>
    </w:p>
    <w:p>
      <w:pPr>
        <w:tabs>
          <w:tab w:val="left" w:pos="0"/>
        </w:tabs>
        <w:spacing w:before="0" w:after="0" w:line="240" w:lineRule="atLeast"/>
        <w:outlineLvl w:val="9"/>
        <w:rPr>
          <w:rFonts w:hint="eastAsia" w:ascii="宋体" w:hAnsi="宋体" w:eastAsia="宋体" w:cs="宋体"/>
          <w:b/>
          <w:bCs/>
          <w:color w:val="auto"/>
          <w:kern w:val="0"/>
          <w:sz w:val="32"/>
          <w:szCs w:val="32"/>
          <w:highlight w:val="none"/>
          <w:lang w:val="en-US" w:eastAsia="zh-CN" w:bidi="ar-SA"/>
        </w:rPr>
      </w:pPr>
    </w:p>
    <w:p>
      <w:pPr>
        <w:outlineLvl w:val="9"/>
        <w:rPr>
          <w:rFonts w:hint="eastAsia" w:ascii="宋体" w:hAnsi="宋体" w:eastAsia="宋体" w:cs="宋体"/>
          <w:b/>
          <w:bCs/>
          <w:color w:val="auto"/>
          <w:kern w:val="0"/>
          <w:sz w:val="32"/>
          <w:szCs w:val="32"/>
          <w:highlight w:val="none"/>
          <w:lang w:val="en-US" w:eastAsia="zh-CN" w:bidi="ar-SA"/>
        </w:rPr>
      </w:pPr>
    </w:p>
    <w:p>
      <w:pPr>
        <w:rPr>
          <w:rFonts w:hint="eastAsia" w:ascii="宋体" w:hAnsi="宋体" w:eastAsia="宋体" w:cs="宋体"/>
          <w:b w:val="0"/>
          <w:bCs w:val="0"/>
          <w:color w:val="auto"/>
          <w:kern w:val="0"/>
          <w:sz w:val="32"/>
          <w:szCs w:val="32"/>
          <w:highlight w:val="none"/>
          <w:lang w:val="en-US" w:eastAsia="zh-CN" w:bidi="ar-SA"/>
        </w:rPr>
      </w:pPr>
      <w:r>
        <w:rPr>
          <w:rFonts w:hint="eastAsia" w:ascii="宋体" w:hAnsi="宋体" w:eastAsia="宋体" w:cs="宋体"/>
          <w:b w:val="0"/>
          <w:bCs w:val="0"/>
          <w:color w:val="auto"/>
          <w:kern w:val="0"/>
          <w:sz w:val="32"/>
          <w:szCs w:val="32"/>
          <w:highlight w:val="none"/>
          <w:lang w:val="en-US" w:eastAsia="zh-CN" w:bidi="ar-SA"/>
        </w:rPr>
        <w:br w:type="page"/>
      </w:r>
    </w:p>
    <w:p>
      <w:pPr>
        <w:pStyle w:val="21"/>
        <w:rPr>
          <w:rFonts w:hint="eastAsia"/>
          <w:lang w:val="en-US" w:eastAsia="zh-CN"/>
        </w:rPr>
      </w:pPr>
    </w:p>
    <w:p>
      <w:pPr>
        <w:pStyle w:val="6"/>
        <w:numPr>
          <w:ilvl w:val="0"/>
          <w:numId w:val="6"/>
        </w:numPr>
        <w:tabs>
          <w:tab w:val="left" w:pos="0"/>
        </w:tabs>
        <w:spacing w:before="0" w:after="0" w:line="240" w:lineRule="atLeast"/>
        <w:ind w:firstLine="1687" w:firstLineChars="700"/>
        <w:jc w:val="both"/>
        <w:outlineLvl w:val="0"/>
        <w:rPr>
          <w:rFonts w:hint="eastAsia" w:ascii="宋体" w:hAnsi="宋体" w:eastAsia="宋体" w:cs="宋体"/>
          <w:b/>
          <w:bCs/>
          <w:color w:val="auto"/>
          <w:kern w:val="0"/>
          <w:sz w:val="24"/>
          <w:szCs w:val="24"/>
          <w:highlight w:val="none"/>
          <w:lang w:val="en-US" w:eastAsia="zh-CN" w:bidi="ar-SA"/>
        </w:rPr>
      </w:pPr>
      <w:bookmarkStart w:id="1584" w:name="_Toc73"/>
      <w:bookmarkStart w:id="1585" w:name="_Toc12087"/>
      <w:r>
        <w:rPr>
          <w:rFonts w:hint="eastAsia" w:ascii="宋体" w:hAnsi="宋体" w:eastAsia="宋体" w:cs="宋体"/>
          <w:b/>
          <w:bCs/>
          <w:color w:val="auto"/>
          <w:kern w:val="0"/>
          <w:sz w:val="24"/>
          <w:szCs w:val="24"/>
          <w:highlight w:val="none"/>
          <w:lang w:val="en-US" w:eastAsia="zh-CN" w:bidi="ar-SA"/>
        </w:rPr>
        <w:t>货物内容及项目要求</w:t>
      </w:r>
      <w:bookmarkEnd w:id="1584"/>
      <w:bookmarkEnd w:id="1585"/>
    </w:p>
    <w:p>
      <w:pPr>
        <w:outlineLvl w:val="1"/>
        <w:rPr>
          <w:rFonts w:hint="eastAsia" w:ascii="宋体" w:hAnsi="宋体" w:eastAsia="宋体" w:cs="宋体"/>
          <w:b/>
          <w:bCs/>
          <w:color w:val="auto"/>
          <w:kern w:val="0"/>
          <w:sz w:val="24"/>
          <w:szCs w:val="24"/>
          <w:highlight w:val="none"/>
          <w:lang w:val="en-US" w:eastAsia="zh-CN" w:bidi="ar-SA"/>
        </w:rPr>
      </w:pPr>
      <w:bookmarkStart w:id="1586" w:name="_Toc27048"/>
      <w:r>
        <w:rPr>
          <w:rFonts w:hint="eastAsia" w:ascii="宋体" w:hAnsi="宋体" w:eastAsia="宋体" w:cs="宋体"/>
          <w:b/>
          <w:bCs/>
          <w:color w:val="auto"/>
          <w:kern w:val="0"/>
          <w:sz w:val="24"/>
          <w:szCs w:val="24"/>
          <w:highlight w:val="none"/>
          <w:lang w:val="en-US" w:eastAsia="zh-CN" w:bidi="ar-SA"/>
        </w:rPr>
        <w:t>标项一：</w:t>
      </w:r>
      <w:bookmarkEnd w:id="1586"/>
    </w:p>
    <w:p>
      <w:pPr>
        <w:rPr>
          <w:rFonts w:hint="eastAsia" w:ascii="宋体" w:hAnsi="宋体" w:eastAsia="宋体" w:cs="宋体"/>
          <w:sz w:val="24"/>
          <w:szCs w:val="24"/>
          <w:lang w:val="en-US" w:eastAsia="zh-CN"/>
        </w:rPr>
      </w:pPr>
      <w:r>
        <w:rPr>
          <w:rFonts w:hint="eastAsia" w:ascii="宋体" w:hAnsi="宋体" w:eastAsia="宋体" w:cs="宋体"/>
          <w:b/>
          <w:bCs/>
          <w:color w:val="auto"/>
          <w:kern w:val="0"/>
          <w:sz w:val="24"/>
          <w:szCs w:val="24"/>
          <w:highlight w:val="none"/>
          <w:lang w:val="en-US" w:eastAsia="zh-CN" w:bidi="ar-SA"/>
        </w:rPr>
        <w:t>一、货物参数</w:t>
      </w:r>
    </w:p>
    <w:bookmarkEnd w:id="1581"/>
    <w:bookmarkEnd w:id="1582"/>
    <w:bookmarkEnd w:id="1583"/>
    <w:tbl>
      <w:tblPr>
        <w:tblStyle w:val="27"/>
        <w:tblW w:w="100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7"/>
        <w:gridCol w:w="1784"/>
        <w:gridCol w:w="1726"/>
        <w:gridCol w:w="1007"/>
        <w:gridCol w:w="4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252"/>
              </w:tabs>
              <w:jc w:val="left"/>
              <w:textAlignment w:val="center"/>
              <w:rPr>
                <w:rFonts w:hint="eastAsia" w:ascii="宋体" w:hAnsi="宋体" w:eastAsia="宋体" w:cs="宋体"/>
                <w:i w:val="0"/>
                <w:iCs w:val="0"/>
                <w:color w:val="000000"/>
                <w:kern w:val="0"/>
                <w:sz w:val="24"/>
                <w:szCs w:val="24"/>
                <w:u w:val="none"/>
                <w:lang w:val="en-US" w:eastAsia="zh-CN" w:bidi="ar"/>
              </w:rPr>
            </w:pPr>
            <w:bookmarkStart w:id="1587" w:name="_Toc20663"/>
            <w:bookmarkStart w:id="1588" w:name="_Toc12287"/>
            <w:bookmarkStart w:id="1589" w:name="_Toc8281"/>
            <w:bookmarkStart w:id="1590" w:name="_Toc22517"/>
            <w:bookmarkStart w:id="1591" w:name="_Toc11587"/>
            <w:bookmarkStart w:id="1592" w:name="_Toc1429"/>
            <w:bookmarkStart w:id="1593" w:name="_Toc10962"/>
            <w:bookmarkStart w:id="1594" w:name="_Toc15046"/>
            <w:r>
              <w:rPr>
                <w:rFonts w:hint="eastAsia" w:ascii="宋体" w:hAnsi="宋体" w:eastAsia="宋体" w:cs="宋体"/>
                <w:i w:val="0"/>
                <w:iCs w:val="0"/>
                <w:color w:val="000000"/>
                <w:kern w:val="0"/>
                <w:sz w:val="24"/>
                <w:szCs w:val="24"/>
                <w:u w:val="none"/>
                <w:lang w:val="en-US" w:eastAsia="zh-CN" w:bidi="ar"/>
              </w:rPr>
              <w:t>序号</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学生奶</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127400</w:t>
            </w: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箱</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每箱22盒、每盒200毫升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大米</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31300</w:t>
            </w: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袋</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国家标准（一级大米，每袋25公斤）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面粉</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15600</w:t>
            </w: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袋</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国家标准（特一粉，每袋25公斤）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清油</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156600</w:t>
            </w: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升</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菜籽油（一级物理压榨，每瓶5升）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6"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馕</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2520000</w:t>
            </w: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每个150克以上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蛋糕、面包、饼干</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1151200</w:t>
            </w: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50克/块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6"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月饼</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39002</w:t>
            </w: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100克/块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粽子</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39000</w:t>
            </w: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100克/块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大盘鸡调料</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21020</w:t>
            </w: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袋</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180克/袋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辣皮子</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2500</w:t>
            </w: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公斤</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辣子酱</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5705</w:t>
            </w: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920克/瓶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西红柿酱</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25000</w:t>
            </w: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850克/瓶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白砂糖</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11280</w:t>
            </w: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公斤</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14</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香醋</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2500</w:t>
            </w: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桶</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5L/桶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酱油</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1010</w:t>
            </w: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桶</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4.5L/桶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发酵粉</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45000</w:t>
            </w: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袋</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12克/袋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6"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食用盐</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78500</w:t>
            </w: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袋</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500克/袋</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Chars="0" w:right="0" w:rightChars="0"/>
        <w:jc w:val="both"/>
        <w:textAlignment w:val="auto"/>
        <w:outlineLvl w:val="9"/>
        <w:rPr>
          <w:rFonts w:hint="eastAsia" w:ascii="宋体" w:hAnsi="宋体" w:eastAsia="宋体" w:cs="宋体"/>
          <w:b/>
          <w:bCs/>
          <w:i w:val="0"/>
          <w:caps w:val="0"/>
          <w:color w:val="FF0000"/>
          <w:spacing w:val="0"/>
          <w:w w:val="100"/>
          <w:kern w:val="0"/>
          <w:sz w:val="24"/>
          <w:szCs w:val="24"/>
          <w:highlight w:val="none"/>
          <w:lang w:val="en-US" w:eastAsia="zh-CN" w:bidi="ar-SA"/>
        </w:rPr>
      </w:pPr>
    </w:p>
    <w:p>
      <w:pPr>
        <w:keepNext w:val="0"/>
        <w:keepLines w:val="0"/>
        <w:pageBreakBefore w:val="0"/>
        <w:widowControl w:val="0"/>
        <w:numPr>
          <w:ilvl w:val="0"/>
          <w:numId w:val="7"/>
        </w:numPr>
        <w:kinsoku/>
        <w:wordWrap/>
        <w:overflowPunct/>
        <w:topLinePunct w:val="0"/>
        <w:autoSpaceDE/>
        <w:autoSpaceDN/>
        <w:bidi w:val="0"/>
        <w:adjustRightInd/>
        <w:snapToGrid/>
        <w:spacing w:beforeAutospacing="0" w:afterAutospacing="0" w:line="240" w:lineRule="auto"/>
        <w:ind w:leftChars="0" w:right="0" w:rightChars="0"/>
        <w:jc w:val="both"/>
        <w:textAlignment w:val="auto"/>
        <w:outlineLvl w:val="9"/>
        <w:rPr>
          <w:rFonts w:hint="eastAsia" w:ascii="宋体" w:hAnsi="宋体" w:eastAsia="宋体" w:cs="宋体"/>
          <w:b/>
          <w:bCs/>
          <w:i w:val="0"/>
          <w:caps w:val="0"/>
          <w:color w:val="auto"/>
          <w:spacing w:val="0"/>
          <w:w w:val="100"/>
          <w:kern w:val="0"/>
          <w:sz w:val="24"/>
          <w:szCs w:val="24"/>
          <w:highlight w:val="none"/>
          <w:lang w:val="en-US" w:eastAsia="zh-CN" w:bidi="ar-SA"/>
        </w:rPr>
      </w:pPr>
      <w:r>
        <w:rPr>
          <w:rFonts w:hint="eastAsia" w:ascii="宋体" w:hAnsi="宋体" w:eastAsia="宋体" w:cs="宋体"/>
          <w:b/>
          <w:bCs/>
          <w:i w:val="0"/>
          <w:caps w:val="0"/>
          <w:color w:val="auto"/>
          <w:spacing w:val="0"/>
          <w:w w:val="100"/>
          <w:kern w:val="0"/>
          <w:sz w:val="24"/>
          <w:szCs w:val="24"/>
          <w:highlight w:val="none"/>
          <w:lang w:val="en-US" w:eastAsia="zh-CN" w:bidi="ar-SA"/>
        </w:rPr>
        <w:t>项目要求</w:t>
      </w:r>
      <w:bookmarkEnd w:id="1587"/>
    </w:p>
    <w:p>
      <w:pPr>
        <w:pStyle w:val="21"/>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货商必须保证质量和数量按照各学校指定的时间、地点交货。如发现供货商所送货物质量不达标，不按时供货，无检验证，无合格证，无检验报告、无配送单送货，违约一次扣除2000元保证金，第二次发现则永久取消供货资格、纳入黑名单。</w:t>
      </w:r>
    </w:p>
    <w:p>
      <w:pPr>
        <w:pStyle w:val="21"/>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2、供货商按要求将所有食品原料使用合格运输车辆送到各中学、中心小学、村级小学、幼儿园及教学点。</w:t>
      </w:r>
    </w:p>
    <w:p>
      <w:pPr>
        <w:pStyle w:val="21"/>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3、中标供货商必须缴纳食品安全责任保险金，食品安全保险金一年10万元，中标商承担，最低保障额度500万元。</w:t>
      </w:r>
    </w:p>
    <w:p>
      <w:pPr>
        <w:pStyle w:val="21"/>
        <w:numPr>
          <w:ilvl w:val="0"/>
          <w:numId w:val="0"/>
        </w:numPr>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学生奶：</w:t>
      </w:r>
      <w:r>
        <w:rPr>
          <w:rFonts w:hint="eastAsia" w:ascii="宋体" w:hAnsi="宋体" w:eastAsia="宋体" w:cs="宋体"/>
          <w:sz w:val="24"/>
          <w:szCs w:val="24"/>
          <w:lang w:val="en-US" w:eastAsia="zh-CN"/>
        </w:rPr>
        <w:t>产品执行标准：每100ml蛋白质含量≥3.0g，脂肪含量≥3.6g，容量：≥200ml/盒，利乐砖包装，22盒/箱，不得添加国家质量标准规定之外的添加剂、防腐剂。外包装盒上要印刷“中国学生饮用奶”，统一标志注明“不准在市场销售”字样，保质期60天以上(含60天)，符合国家相关食品安全标准，出具近期质检报告。符合国家食品卫生相关规定。否则由此产生的经济损失由乙方承担，并负相关的法律责任。</w:t>
      </w:r>
    </w:p>
    <w:p>
      <w:pPr>
        <w:pStyle w:val="21"/>
        <w:numPr>
          <w:ilvl w:val="0"/>
          <w:numId w:val="0"/>
        </w:numPr>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大米：</w:t>
      </w:r>
      <w:r>
        <w:rPr>
          <w:rFonts w:hint="eastAsia" w:ascii="宋体" w:hAnsi="宋体" w:eastAsia="宋体" w:cs="宋体"/>
          <w:sz w:val="24"/>
          <w:szCs w:val="24"/>
          <w:lang w:val="en-US" w:eastAsia="zh-CN"/>
        </w:rPr>
        <w:t>有品牌、有产地、有保质期、一级大米，每袋25公斤，符合GB1354标准，送货时一并提供该批货品的检验报告单，送达的货物不能过期，并保证该批货品不过期、不变质、不变味、无杂质、无毒无害，符合国家食品卫生相关规定。否则由此产生的经济损失由乙方承担，并负相关的法律责任，其他必须符合国家相关之条款要求。</w:t>
      </w:r>
    </w:p>
    <w:p>
      <w:pPr>
        <w:pStyle w:val="21"/>
        <w:numPr>
          <w:ilvl w:val="0"/>
          <w:numId w:val="0"/>
        </w:numPr>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面粉：</w:t>
      </w:r>
      <w:r>
        <w:rPr>
          <w:rFonts w:hint="eastAsia" w:ascii="宋体" w:hAnsi="宋体" w:eastAsia="宋体" w:cs="宋体"/>
          <w:sz w:val="24"/>
          <w:szCs w:val="24"/>
          <w:lang w:val="en-US" w:eastAsia="zh-CN"/>
        </w:rPr>
        <w:t>特一粉，每袋25公斤，符合国家GB1355标准；送货时一并提供该批货品的检验报告单，送达的货物不能过期，并保证该批货品不过期、不变质、不变味、无杂质、无毒无害，符合国家食品卫生相关规定、否则由此产生的经济损失由乙方承担，并负相关的法律责任，其他必须符合国家相关之条款要求。</w:t>
      </w:r>
    </w:p>
    <w:p>
      <w:pPr>
        <w:pStyle w:val="21"/>
        <w:numPr>
          <w:ilvl w:val="0"/>
          <w:numId w:val="0"/>
        </w:numPr>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食用油：</w:t>
      </w:r>
      <w:r>
        <w:rPr>
          <w:rFonts w:hint="eastAsia" w:ascii="宋体" w:hAnsi="宋体" w:eastAsia="宋体" w:cs="宋体"/>
          <w:sz w:val="24"/>
          <w:szCs w:val="24"/>
          <w:lang w:val="en-US" w:eastAsia="zh-CN"/>
        </w:rPr>
        <w:t>有品牌、有产地、有保质期一级物理压榨非转基因菜籽油，符合GB1536标准，每箱4桶，每桶5升，送货时一并提供该批货品的检验报告单，送达的货物不能过期，符合国家食品卫生相关规定，否则由此产生的经济损失由乙方承担，并负相关的法律责任，其他必须符合国家相关之条款要求。</w:t>
      </w:r>
    </w:p>
    <w:p>
      <w:pPr>
        <w:pStyle w:val="21"/>
        <w:numPr>
          <w:ilvl w:val="0"/>
          <w:numId w:val="0"/>
        </w:num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调料：须符合国家卫生安全食用标准。</w:t>
      </w:r>
    </w:p>
    <w:tbl>
      <w:tblPr>
        <w:tblStyle w:val="27"/>
        <w:tblpPr w:leftFromText="180" w:rightFromText="180" w:vertAnchor="text" w:horzAnchor="page" w:tblpX="1749" w:tblpY="87"/>
        <w:tblOverlap w:val="never"/>
        <w:tblW w:w="0" w:type="auto"/>
        <w:tblInd w:w="0" w:type="dxa"/>
        <w:tblLayout w:type="fixed"/>
        <w:tblCellMar>
          <w:top w:w="0" w:type="dxa"/>
          <w:left w:w="0" w:type="dxa"/>
          <w:bottom w:w="0" w:type="dxa"/>
          <w:right w:w="0" w:type="dxa"/>
        </w:tblCellMar>
      </w:tblPr>
      <w:tblGrid>
        <w:gridCol w:w="8665"/>
      </w:tblGrid>
      <w:tr>
        <w:tblPrEx>
          <w:tblCellMar>
            <w:top w:w="0" w:type="dxa"/>
            <w:left w:w="0" w:type="dxa"/>
            <w:bottom w:w="0" w:type="dxa"/>
            <w:right w:w="0" w:type="dxa"/>
          </w:tblCellMar>
        </w:tblPrEx>
        <w:trPr>
          <w:trHeight w:val="570" w:hRule="atLeast"/>
        </w:trPr>
        <w:tc>
          <w:tcPr>
            <w:tcW w:w="8665" w:type="dxa"/>
            <w:tcBorders>
              <w:top w:val="nil"/>
              <w:left w:val="nil"/>
              <w:bottom w:val="nil"/>
              <w:right w:val="nil"/>
            </w:tcBorders>
            <w:noWrap w:val="0"/>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spacing w:line="64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调料清单</w:t>
            </w:r>
          </w:p>
        </w:tc>
      </w:tr>
    </w:tbl>
    <w:tbl>
      <w:tblPr>
        <w:tblStyle w:val="27"/>
        <w:tblpPr w:leftFromText="180" w:rightFromText="180" w:vertAnchor="text" w:horzAnchor="page" w:tblpX="1812" w:tblpY="712"/>
        <w:tblOverlap w:val="never"/>
        <w:tblW w:w="8058" w:type="dxa"/>
        <w:tblInd w:w="0" w:type="dxa"/>
        <w:tblLayout w:type="fixed"/>
        <w:tblCellMar>
          <w:top w:w="0" w:type="dxa"/>
          <w:left w:w="0" w:type="dxa"/>
          <w:bottom w:w="0" w:type="dxa"/>
          <w:right w:w="0" w:type="dxa"/>
        </w:tblCellMar>
      </w:tblPr>
      <w:tblGrid>
        <w:gridCol w:w="701"/>
        <w:gridCol w:w="3032"/>
        <w:gridCol w:w="2322"/>
        <w:gridCol w:w="2003"/>
      </w:tblGrid>
      <w:tr>
        <w:tblPrEx>
          <w:tblCellMar>
            <w:top w:w="0" w:type="dxa"/>
            <w:left w:w="0" w:type="dxa"/>
            <w:bottom w:w="0" w:type="dxa"/>
            <w:right w:w="0" w:type="dxa"/>
          </w:tblCellMar>
        </w:tblPrEx>
        <w:trPr>
          <w:trHeight w:val="445" w:hRule="exac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序号</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物品名称</w:t>
            </w:r>
          </w:p>
        </w:tc>
        <w:tc>
          <w:tcPr>
            <w:tcW w:w="2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w:t>
            </w:r>
          </w:p>
        </w:tc>
        <w:tc>
          <w:tcPr>
            <w:tcW w:w="2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数量</w:t>
            </w:r>
          </w:p>
        </w:tc>
      </w:tr>
      <w:tr>
        <w:tblPrEx>
          <w:tblCellMar>
            <w:top w:w="0" w:type="dxa"/>
            <w:left w:w="0" w:type="dxa"/>
            <w:bottom w:w="0" w:type="dxa"/>
            <w:right w:w="0" w:type="dxa"/>
          </w:tblCellMar>
        </w:tblPrEx>
        <w:trPr>
          <w:trHeight w:val="581" w:hRule="exac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640" w:lineRule="exact"/>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大盘鸡调料</w:t>
            </w:r>
          </w:p>
        </w:tc>
        <w:tc>
          <w:tcPr>
            <w:tcW w:w="2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64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180克/袋</w:t>
            </w:r>
          </w:p>
        </w:tc>
        <w:tc>
          <w:tcPr>
            <w:tcW w:w="2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21020</w:t>
            </w:r>
          </w:p>
        </w:tc>
      </w:tr>
      <w:tr>
        <w:tblPrEx>
          <w:tblCellMar>
            <w:top w:w="0" w:type="dxa"/>
            <w:left w:w="0" w:type="dxa"/>
            <w:bottom w:w="0" w:type="dxa"/>
            <w:right w:w="0" w:type="dxa"/>
          </w:tblCellMar>
        </w:tblPrEx>
        <w:trPr>
          <w:trHeight w:val="445" w:hRule="exac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6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辣皮子</w:t>
            </w:r>
          </w:p>
        </w:tc>
        <w:tc>
          <w:tcPr>
            <w:tcW w:w="2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64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kg</w:t>
            </w:r>
          </w:p>
        </w:tc>
        <w:tc>
          <w:tcPr>
            <w:tcW w:w="2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2500</w:t>
            </w:r>
          </w:p>
        </w:tc>
      </w:tr>
      <w:tr>
        <w:tblPrEx>
          <w:tblCellMar>
            <w:top w:w="0" w:type="dxa"/>
            <w:left w:w="0" w:type="dxa"/>
            <w:bottom w:w="0" w:type="dxa"/>
            <w:right w:w="0" w:type="dxa"/>
          </w:tblCellMar>
        </w:tblPrEx>
        <w:trPr>
          <w:trHeight w:val="445" w:hRule="exac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6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辣子酱</w:t>
            </w:r>
          </w:p>
        </w:tc>
        <w:tc>
          <w:tcPr>
            <w:tcW w:w="2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64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920克/瓶</w:t>
            </w:r>
          </w:p>
        </w:tc>
        <w:tc>
          <w:tcPr>
            <w:tcW w:w="2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5705</w:t>
            </w:r>
          </w:p>
        </w:tc>
      </w:tr>
      <w:tr>
        <w:tblPrEx>
          <w:tblCellMar>
            <w:top w:w="0" w:type="dxa"/>
            <w:left w:w="0" w:type="dxa"/>
            <w:bottom w:w="0" w:type="dxa"/>
            <w:right w:w="0" w:type="dxa"/>
          </w:tblCellMar>
        </w:tblPrEx>
        <w:trPr>
          <w:trHeight w:val="445" w:hRule="exac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6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西红柿酱</w:t>
            </w:r>
          </w:p>
        </w:tc>
        <w:tc>
          <w:tcPr>
            <w:tcW w:w="2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64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850克/瓶</w:t>
            </w:r>
          </w:p>
        </w:tc>
        <w:tc>
          <w:tcPr>
            <w:tcW w:w="2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25000</w:t>
            </w:r>
          </w:p>
        </w:tc>
      </w:tr>
      <w:tr>
        <w:tblPrEx>
          <w:tblCellMar>
            <w:top w:w="0" w:type="dxa"/>
            <w:left w:w="0" w:type="dxa"/>
            <w:bottom w:w="0" w:type="dxa"/>
            <w:right w:w="0" w:type="dxa"/>
          </w:tblCellMar>
        </w:tblPrEx>
        <w:trPr>
          <w:trHeight w:val="445" w:hRule="exac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6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白砂糖</w:t>
            </w:r>
          </w:p>
        </w:tc>
        <w:tc>
          <w:tcPr>
            <w:tcW w:w="2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64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50㎏/袋</w:t>
            </w:r>
          </w:p>
        </w:tc>
        <w:tc>
          <w:tcPr>
            <w:tcW w:w="2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11280</w:t>
            </w:r>
          </w:p>
        </w:tc>
      </w:tr>
      <w:tr>
        <w:tblPrEx>
          <w:tblCellMar>
            <w:top w:w="0" w:type="dxa"/>
            <w:left w:w="0" w:type="dxa"/>
            <w:bottom w:w="0" w:type="dxa"/>
            <w:right w:w="0" w:type="dxa"/>
          </w:tblCellMar>
        </w:tblPrEx>
        <w:trPr>
          <w:trHeight w:val="445" w:hRule="exac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6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香醋</w:t>
            </w:r>
          </w:p>
        </w:tc>
        <w:tc>
          <w:tcPr>
            <w:tcW w:w="2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64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5L/桶</w:t>
            </w:r>
          </w:p>
        </w:tc>
        <w:tc>
          <w:tcPr>
            <w:tcW w:w="2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2500</w:t>
            </w:r>
          </w:p>
        </w:tc>
      </w:tr>
      <w:tr>
        <w:tblPrEx>
          <w:tblCellMar>
            <w:top w:w="0" w:type="dxa"/>
            <w:left w:w="0" w:type="dxa"/>
            <w:bottom w:w="0" w:type="dxa"/>
            <w:right w:w="0" w:type="dxa"/>
          </w:tblCellMar>
        </w:tblPrEx>
        <w:trPr>
          <w:trHeight w:val="445" w:hRule="exac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6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酱油</w:t>
            </w:r>
          </w:p>
        </w:tc>
        <w:tc>
          <w:tcPr>
            <w:tcW w:w="2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64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4.5L/桶</w:t>
            </w:r>
          </w:p>
        </w:tc>
        <w:tc>
          <w:tcPr>
            <w:tcW w:w="2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1010</w:t>
            </w:r>
          </w:p>
        </w:tc>
      </w:tr>
      <w:tr>
        <w:tblPrEx>
          <w:tblCellMar>
            <w:top w:w="0" w:type="dxa"/>
            <w:left w:w="0" w:type="dxa"/>
            <w:bottom w:w="0" w:type="dxa"/>
            <w:right w:w="0" w:type="dxa"/>
          </w:tblCellMar>
        </w:tblPrEx>
        <w:trPr>
          <w:trHeight w:val="445" w:hRule="exac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6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发酵粉</w:t>
            </w:r>
          </w:p>
        </w:tc>
        <w:tc>
          <w:tcPr>
            <w:tcW w:w="2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64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12克/袋</w:t>
            </w:r>
          </w:p>
        </w:tc>
        <w:tc>
          <w:tcPr>
            <w:tcW w:w="2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45000</w:t>
            </w:r>
          </w:p>
        </w:tc>
      </w:tr>
      <w:tr>
        <w:tblPrEx>
          <w:tblCellMar>
            <w:top w:w="0" w:type="dxa"/>
            <w:left w:w="0" w:type="dxa"/>
            <w:bottom w:w="0" w:type="dxa"/>
            <w:right w:w="0" w:type="dxa"/>
          </w:tblCellMar>
        </w:tblPrEx>
        <w:trPr>
          <w:trHeight w:val="454" w:hRule="exact"/>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6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食用盐</w:t>
            </w:r>
          </w:p>
        </w:tc>
        <w:tc>
          <w:tcPr>
            <w:tcW w:w="2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64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500克/袋</w:t>
            </w:r>
          </w:p>
        </w:tc>
        <w:tc>
          <w:tcPr>
            <w:tcW w:w="2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78500</w:t>
            </w:r>
          </w:p>
        </w:tc>
      </w:tr>
    </w:tbl>
    <w:p>
      <w:pPr>
        <w:pStyle w:val="12"/>
        <w:rPr>
          <w:rFonts w:hint="eastAsia" w:ascii="宋体" w:hAnsi="宋体" w:eastAsia="宋体" w:cs="宋体"/>
          <w:sz w:val="24"/>
          <w:szCs w:val="24"/>
          <w:lang w:val="en-US" w:eastAsia="zh-CN"/>
        </w:rPr>
      </w:pPr>
    </w:p>
    <w:p>
      <w:pPr>
        <w:pStyle w:val="21"/>
        <w:numPr>
          <w:ilvl w:val="0"/>
          <w:numId w:val="0"/>
        </w:numPr>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馕：</w:t>
      </w:r>
      <w:r>
        <w:rPr>
          <w:rFonts w:hint="eastAsia" w:ascii="宋体" w:hAnsi="宋体" w:eastAsia="宋体" w:cs="宋体"/>
          <w:sz w:val="24"/>
          <w:szCs w:val="24"/>
          <w:lang w:val="en-US" w:eastAsia="zh-CN"/>
        </w:rPr>
        <w:t>馕单个重量≥150g,形状为周边扁圆中间凹形，不得夹生、烤焦、生硬、发霉等，不得使用食品添加剂，色素添加、防腐剂等（一袋面粉加上2公斤白砂糖、1公斤牛奶、1.5公斤鸡蛋、0.5公斤菜籽油），合格特一级面粉为原料进行加工。</w:t>
      </w:r>
    </w:p>
    <w:p>
      <w:pPr>
        <w:pStyle w:val="21"/>
        <w:numPr>
          <w:ilvl w:val="0"/>
          <w:numId w:val="0"/>
        </w:numPr>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面包、蛋糕、饼干、月饼、粽子：</w:t>
      </w:r>
      <w:r>
        <w:rPr>
          <w:rFonts w:hint="eastAsia" w:ascii="宋体" w:hAnsi="宋体" w:eastAsia="宋体" w:cs="宋体"/>
          <w:sz w:val="24"/>
          <w:szCs w:val="24"/>
          <w:lang w:val="en-US" w:eastAsia="zh-CN"/>
        </w:rPr>
        <w:t>须符合国家卫生安全食用标准，只可提供以下品种：</w:t>
      </w:r>
    </w:p>
    <w:p>
      <w:pPr>
        <w:pStyle w:val="21"/>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1、面包：单个重量≥50g,主要原料：面粉、黄油、鸡蛋、白砂糖、酵母、改良剂，质保期限&lt;7天。</w:t>
      </w:r>
    </w:p>
    <w:p>
      <w:pPr>
        <w:pStyle w:val="21"/>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2、蛋糕：单个重量≥50g,主要原料：面粉、色拉油、鸡蛋、白砂糖、泡打粉、蜂蜜、葡萄干、花生米、芝麻、水、质保期限&lt;7天。</w:t>
      </w:r>
    </w:p>
    <w:p>
      <w:pPr>
        <w:pStyle w:val="21"/>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3、饼干：单个重量≥50g,主要原料：面粉、白砂糖、蜂蜜、色拉油、水、鸡蛋、食用泡打粉，质保期限&lt;15天，其他必须符合国家相关之条款要求。</w:t>
      </w:r>
    </w:p>
    <w:p>
      <w:pPr>
        <w:pStyle w:val="21"/>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月饼：单个重量≥100g,主要原料：面粉、白砂糖、蜂蜜、色拉油、饮用水、鸡蛋、食用泡打粉，红豆沙，绿豆沙花生碎，白芝麻，核桃仁，南瓜仁，青红丝，冬瓜丁，红枣沙，麦芽糖浆，草莓豆沙，蓝莓豆沙，（山梨糖醇，脱氧乙酸钠）质保期限&lt;90天，其他必须符合国家相关之条款要求。</w:t>
      </w:r>
    </w:p>
    <w:p>
      <w:pPr>
        <w:pStyle w:val="21"/>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粽子：单个重量≥100g,主要原料：糯米、八宝米，密枣，蛋黄，白砂糖、蜂蜜、色拉油、鸡精味精，咸盐，果脯糖浆，花生仁，白莲子饮用水、植物油，红豆粒，箬叶（山梨糖醇，脱氧乙酸钠）质保期限&lt;90天，其他必须符合国家相关之条款要求。</w:t>
      </w:r>
    </w:p>
    <w:p>
      <w:pPr>
        <w:pStyle w:val="21"/>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必须用安全密封车辆送达县级各学校、幼儿园及乡村级小学（教学点）、幼儿园，按照指定的时间、地点交货，配送人员必须随身携带健康证备检。</w:t>
      </w:r>
    </w:p>
    <w:p>
      <w:pPr>
        <w:pStyle w:val="12"/>
        <w:rPr>
          <w:rFonts w:hint="eastAsia" w:ascii="宋体" w:hAnsi="宋体" w:eastAsia="宋体" w:cs="宋体"/>
          <w:sz w:val="24"/>
          <w:szCs w:val="24"/>
          <w:lang w:val="en-US" w:eastAsia="zh-CN"/>
        </w:rPr>
      </w:pPr>
    </w:p>
    <w:p>
      <w:pPr>
        <w:pStyle w:val="12"/>
        <w:outlineLvl w:val="1"/>
        <w:rPr>
          <w:rFonts w:hint="eastAsia" w:ascii="宋体" w:hAnsi="宋体" w:eastAsia="宋体" w:cs="宋体"/>
          <w:sz w:val="24"/>
          <w:szCs w:val="24"/>
          <w:lang w:val="en-US" w:eastAsia="zh-CN"/>
        </w:rPr>
      </w:pPr>
      <w:bookmarkStart w:id="1595" w:name="_Toc1601"/>
      <w:r>
        <w:rPr>
          <w:rFonts w:hint="eastAsia" w:ascii="宋体" w:hAnsi="宋体" w:eastAsia="宋体" w:cs="宋体"/>
          <w:b/>
          <w:bCs/>
          <w:sz w:val="24"/>
          <w:szCs w:val="24"/>
          <w:lang w:val="en-US" w:eastAsia="zh-CN"/>
        </w:rPr>
        <w:t>标项二：</w:t>
      </w:r>
      <w:bookmarkEnd w:id="1595"/>
    </w:p>
    <w:p>
      <w:pPr>
        <w:rPr>
          <w:rFonts w:hint="eastAsia" w:ascii="宋体" w:hAnsi="宋体" w:eastAsia="宋体" w:cs="宋体"/>
          <w:b/>
          <w:bCs/>
          <w:sz w:val="24"/>
          <w:szCs w:val="24"/>
          <w:lang w:val="en-US" w:eastAsia="zh-CN"/>
        </w:rPr>
      </w:pPr>
      <w:r>
        <w:rPr>
          <w:rFonts w:hint="eastAsia" w:ascii="宋体" w:hAnsi="宋体" w:eastAsia="宋体" w:cs="宋体"/>
          <w:b/>
          <w:bCs/>
          <w:color w:val="auto"/>
          <w:kern w:val="0"/>
          <w:sz w:val="24"/>
          <w:szCs w:val="24"/>
          <w:highlight w:val="none"/>
          <w:lang w:val="en-US" w:eastAsia="zh-CN" w:bidi="ar-SA"/>
        </w:rPr>
        <w:t>一、货物参数</w:t>
      </w:r>
    </w:p>
    <w:tbl>
      <w:tblPr>
        <w:tblStyle w:val="27"/>
        <w:tblpPr w:leftFromText="180" w:rightFromText="180" w:vertAnchor="text" w:horzAnchor="page" w:tblpX="1347" w:tblpY="361"/>
        <w:tblOverlap w:val="never"/>
        <w:tblW w:w="99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1400"/>
        <w:gridCol w:w="1600"/>
        <w:gridCol w:w="1640"/>
        <w:gridCol w:w="52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20" w:hRule="atLeast"/>
        </w:trPr>
        <w:tc>
          <w:tcPr>
            <w:tcW w:w="14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货物名称</w:t>
            </w:r>
          </w:p>
        </w:tc>
        <w:tc>
          <w:tcPr>
            <w:tcW w:w="16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16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526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20" w:hRule="atLeast"/>
        </w:trPr>
        <w:tc>
          <w:tcPr>
            <w:tcW w:w="14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牛肉</w:t>
            </w:r>
          </w:p>
        </w:tc>
        <w:tc>
          <w:tcPr>
            <w:tcW w:w="16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305800</w:t>
            </w:r>
          </w:p>
        </w:tc>
        <w:tc>
          <w:tcPr>
            <w:tcW w:w="16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公斤</w:t>
            </w:r>
          </w:p>
        </w:tc>
        <w:tc>
          <w:tcPr>
            <w:tcW w:w="526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新鲜，不带骨，按市场零售价下浮计算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20" w:hRule="atLeast"/>
        </w:trPr>
        <w:tc>
          <w:tcPr>
            <w:tcW w:w="14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羊肉</w:t>
            </w:r>
          </w:p>
        </w:tc>
        <w:tc>
          <w:tcPr>
            <w:tcW w:w="16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101500</w:t>
            </w:r>
          </w:p>
        </w:tc>
        <w:tc>
          <w:tcPr>
            <w:tcW w:w="16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公斤</w:t>
            </w:r>
          </w:p>
        </w:tc>
        <w:tc>
          <w:tcPr>
            <w:tcW w:w="526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新鲜，整体一只羊不超过25公斤、尾巴肥油不超过8%，按市场零售价下浮计算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20" w:hRule="atLeast"/>
        </w:trPr>
        <w:tc>
          <w:tcPr>
            <w:tcW w:w="14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鸡肉</w:t>
            </w:r>
          </w:p>
        </w:tc>
        <w:tc>
          <w:tcPr>
            <w:tcW w:w="16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225000</w:t>
            </w:r>
          </w:p>
        </w:tc>
        <w:tc>
          <w:tcPr>
            <w:tcW w:w="16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公斤</w:t>
            </w:r>
          </w:p>
        </w:tc>
        <w:tc>
          <w:tcPr>
            <w:tcW w:w="526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新鲜整鸡，按市场零售价下浮计算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20" w:hRule="atLeast"/>
        </w:trPr>
        <w:tc>
          <w:tcPr>
            <w:tcW w:w="14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鸡蛋</w:t>
            </w:r>
          </w:p>
        </w:tc>
        <w:tc>
          <w:tcPr>
            <w:tcW w:w="16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471250</w:t>
            </w:r>
          </w:p>
        </w:tc>
        <w:tc>
          <w:tcPr>
            <w:tcW w:w="16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公斤</w:t>
            </w:r>
          </w:p>
        </w:tc>
        <w:tc>
          <w:tcPr>
            <w:tcW w:w="526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新鲜，中号及以上，按市场零售价下浮计算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20" w:hRule="atLeast"/>
        </w:trPr>
        <w:tc>
          <w:tcPr>
            <w:tcW w:w="14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蔬菜类</w:t>
            </w:r>
          </w:p>
        </w:tc>
        <w:tc>
          <w:tcPr>
            <w:tcW w:w="16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2146150</w:t>
            </w:r>
          </w:p>
        </w:tc>
        <w:tc>
          <w:tcPr>
            <w:tcW w:w="16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公斤</w:t>
            </w:r>
          </w:p>
        </w:tc>
        <w:tc>
          <w:tcPr>
            <w:tcW w:w="526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新鲜，按市场零售价下浮计算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20" w:hRule="atLeast"/>
        </w:trPr>
        <w:tc>
          <w:tcPr>
            <w:tcW w:w="14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水果</w:t>
            </w:r>
          </w:p>
        </w:tc>
        <w:tc>
          <w:tcPr>
            <w:tcW w:w="16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105800</w:t>
            </w:r>
          </w:p>
        </w:tc>
        <w:tc>
          <w:tcPr>
            <w:tcW w:w="16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公斤</w:t>
            </w:r>
          </w:p>
        </w:tc>
        <w:tc>
          <w:tcPr>
            <w:tcW w:w="526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新鲜，按市场零售价下浮计算</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宋体" w:hAnsi="宋体" w:eastAsia="宋体" w:cs="宋体"/>
          <w:b/>
          <w:bCs/>
          <w:i w:val="0"/>
          <w:caps w:val="0"/>
          <w:color w:val="auto"/>
          <w:spacing w:val="0"/>
          <w:w w:val="100"/>
          <w:kern w:val="0"/>
          <w:sz w:val="24"/>
          <w:szCs w:val="24"/>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Chars="0" w:right="0" w:rightChars="0"/>
        <w:jc w:val="both"/>
        <w:textAlignment w:val="auto"/>
        <w:outlineLvl w:val="9"/>
        <w:rPr>
          <w:rFonts w:hint="eastAsia" w:ascii="宋体" w:hAnsi="宋体" w:eastAsia="宋体" w:cs="宋体"/>
          <w:b/>
          <w:bCs/>
          <w:i w:val="0"/>
          <w:caps w:val="0"/>
          <w:color w:val="auto"/>
          <w:spacing w:val="0"/>
          <w:w w:val="100"/>
          <w:kern w:val="0"/>
          <w:sz w:val="24"/>
          <w:szCs w:val="24"/>
          <w:highlight w:val="none"/>
          <w:lang w:val="en-US" w:eastAsia="zh-CN" w:bidi="ar-SA"/>
        </w:rPr>
      </w:pPr>
      <w:r>
        <w:rPr>
          <w:rFonts w:hint="eastAsia" w:ascii="宋体" w:hAnsi="宋体" w:eastAsia="宋体" w:cs="宋体"/>
          <w:b/>
          <w:bCs/>
          <w:i w:val="0"/>
          <w:caps w:val="0"/>
          <w:color w:val="auto"/>
          <w:spacing w:val="0"/>
          <w:w w:val="100"/>
          <w:kern w:val="0"/>
          <w:sz w:val="24"/>
          <w:szCs w:val="24"/>
          <w:highlight w:val="none"/>
          <w:lang w:val="en-US" w:eastAsia="zh-CN" w:bidi="ar-SA"/>
        </w:rPr>
        <w:t>二、项目要求</w:t>
      </w:r>
    </w:p>
    <w:p>
      <w:pPr>
        <w:pStyle w:val="21"/>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货商必须保证质量和数量按照各学校指定的时间、地点交货。如发现供货商所送货物质量不达标，不按时供货，无检验证，无合格证，无检验报告、无配送单送货，违约一次扣除2000元保证金，第二次发现则永久取消供货资格、纳入黑名单。</w:t>
      </w:r>
    </w:p>
    <w:p>
      <w:pPr>
        <w:pStyle w:val="21"/>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2、供货商按要求将所有食品原料使用合格运输车辆送到各中学、中心小学、村级小学、幼儿园及教学点。</w:t>
      </w:r>
    </w:p>
    <w:p>
      <w:pPr>
        <w:pStyle w:val="21"/>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3、中标供货商必须缴纳食品安全责任保险金，食品安全保险金一年10万元，中标商承担，最低保障额度500万元。</w:t>
      </w:r>
    </w:p>
    <w:p>
      <w:pPr>
        <w:pStyle w:val="21"/>
        <w:numPr>
          <w:ilvl w:val="0"/>
          <w:numId w:val="0"/>
        </w:numPr>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牛肉：</w:t>
      </w:r>
      <w:r>
        <w:rPr>
          <w:rFonts w:hint="eastAsia" w:ascii="宋体" w:hAnsi="宋体" w:eastAsia="宋体" w:cs="宋体"/>
          <w:sz w:val="24"/>
          <w:szCs w:val="24"/>
          <w:highlight w:val="none"/>
          <w:lang w:val="en-US" w:eastAsia="zh-CN"/>
        </w:rPr>
        <w:t>须符合国家卫生安全食用标准，不得掺加任何内脏，提供动物防疫条件合格证明、畜产品检验检疫证明。必须以厢式制冷车送达县级各学校、幼儿园及乡村级小学（教学点）、幼儿园，按照指定的时间、地点交货，配送人员必须随身携带健康证备检。</w:t>
      </w:r>
    </w:p>
    <w:p>
      <w:pPr>
        <w:pStyle w:val="21"/>
        <w:numPr>
          <w:ilvl w:val="0"/>
          <w:numId w:val="0"/>
        </w:numPr>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羊肉：</w:t>
      </w:r>
      <w:r>
        <w:rPr>
          <w:rFonts w:hint="eastAsia" w:ascii="宋体" w:hAnsi="宋体" w:eastAsia="宋体" w:cs="宋体"/>
          <w:sz w:val="24"/>
          <w:szCs w:val="24"/>
          <w:highlight w:val="none"/>
          <w:lang w:val="en-US" w:eastAsia="zh-CN"/>
        </w:rPr>
        <w:t>须符合国家卫生安全食用标准，不得掺加任何内脏，宰杀后单体羊重量不得超过25㎏，其中尾油重量不得超过本单体羊的8％（尾巴油、体内油不超过2公斤），且提供当日的动物产品检验检疫合格证。必须以厢式制冷车送达县级各学校、幼儿园及乡村级小学（教学点）、幼儿园，按照指定的时间、地点交货，配送人员必须随身携带健康证备检。</w:t>
      </w:r>
    </w:p>
    <w:p>
      <w:pPr>
        <w:pStyle w:val="21"/>
        <w:numPr>
          <w:ilvl w:val="0"/>
          <w:numId w:val="0"/>
        </w:numPr>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蔬菜：</w:t>
      </w:r>
      <w:r>
        <w:rPr>
          <w:rFonts w:hint="eastAsia" w:ascii="宋体" w:hAnsi="宋体" w:eastAsia="宋体" w:cs="宋体"/>
          <w:sz w:val="24"/>
          <w:szCs w:val="24"/>
          <w:highlight w:val="none"/>
          <w:lang w:val="en-US" w:eastAsia="zh-CN"/>
        </w:rPr>
        <w:t>外观新鲜，色泽鲜爽，外表干爽无泥，用手握捏时手感坚实，不腐烂，无空心、无压伤、无冻伤、无虫蛀、无裂缝、无泥土，无花斑、无病虫害。按送达的净菜量计重，不得把外包装计入重量。供货商用确保安全的厢式货车送达县级各学校、幼儿园及乡村级小学（教学点）、幼儿园，按照指定的时间、地点交货，配送人员必须随身携带健康证备检。</w:t>
      </w:r>
    </w:p>
    <w:p>
      <w:pPr>
        <w:pStyle w:val="21"/>
        <w:numPr>
          <w:ilvl w:val="0"/>
          <w:numId w:val="0"/>
        </w:num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辣子：个头大小均匀，表面光滑，蒂部应新鲜不发黑，不萎蔫，无虫咬霉烂，尖椒长度不短于10公分。其中尖椒、圆椒、红椒可适当搭配，开箱后无异味，尾部新鲜、硬朗、硬而不青，圆椒个头不能太小，红椒红而不烂。</w:t>
      </w:r>
    </w:p>
    <w:p>
      <w:pPr>
        <w:pStyle w:val="21"/>
        <w:numPr>
          <w:ilvl w:val="0"/>
          <w:numId w:val="0"/>
        </w:num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西红柿：着色均匀，果肉充实，味道酸甜适口，个重约125-250克，成熟度7成以上，有四分之三变成红色或黄色，果形圆正，不破裂，果蒂新绿，表面光滑洁净，果肉饱满有弹性，无腐烂，无病虫害，允许果肩上部有轻微的环状裂痕或放射性裂痕、少许色班（不超过10%）、少许疤痕或压痕（不超过5%）。</w:t>
      </w:r>
    </w:p>
    <w:p>
      <w:pPr>
        <w:pStyle w:val="21"/>
        <w:numPr>
          <w:ilvl w:val="0"/>
          <w:numId w:val="0"/>
        </w:num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大白菜：叶新鲜光泽，棵株大、外形整齐，大小均匀，完整、包心坚实紧密，根部断面洁白完整，外观新鲜，色泽鲜爽，外表干爽无泥，用手握捏时手感坚实，根削平，心部不腐烂，无空心、压伤、冻伤、虫蛀、裂缝、泥土，无花斑、锈点，无黄叶、枯老叶、烂叶，无机械伤，无病虫害。</w:t>
      </w:r>
    </w:p>
    <w:p>
      <w:pPr>
        <w:pStyle w:val="21"/>
        <w:numPr>
          <w:ilvl w:val="0"/>
          <w:numId w:val="0"/>
        </w:num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4、油白菜：色泽鲜嫩翠绿，叶嫩绿茎、水分充足，无枯黄叶和花斑叶，植株健壮，整齐而不断，捆扎成捆，根上无泥，捆内无杂物，不抽苔，无烂叶、无泥土、黄叶、烂叶、根茎变黄、断裂及腐烂出现。</w:t>
      </w:r>
    </w:p>
    <w:p>
      <w:pPr>
        <w:pStyle w:val="21"/>
        <w:numPr>
          <w:ilvl w:val="0"/>
          <w:numId w:val="0"/>
        </w:num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白萝卜：外观新鲜，色泽鲜嫩，颜色洁白光亮，果型完整，肉质松脆多汁，肉质根粗壮，大小均匀，饱满而无损伤，弹击时有实心感觉，表皮光滑而不开裂，无病虫害，不空心，不黑心，不发糠，无泥沙、断裂、压伤、虫洞、泥土，黄斑、黑斑、无擦伤及腐烂出现。</w:t>
      </w:r>
    </w:p>
    <w:p>
      <w:pPr>
        <w:pStyle w:val="21"/>
        <w:numPr>
          <w:ilvl w:val="0"/>
          <w:numId w:val="0"/>
        </w:num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胡萝卜：外观新鲜、颜色红色或橘色，表面光滑，形体完整，条直匀称、粗壮硬实不软，水分大、分量足，直径4cm以上，不分叉，不开裂，中心柱细小，质脆、味甜，无泥土、无伤口、无病虫害、无擦伤、无腐烂出现。</w:t>
      </w:r>
    </w:p>
    <w:p>
      <w:pPr>
        <w:pStyle w:val="21"/>
        <w:numPr>
          <w:ilvl w:val="0"/>
          <w:numId w:val="0"/>
        </w:num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7、皮牙子：个重约200-250克，鳞径形态良好,色泽正常,表面光滑、脆嫩,心部不腐烂，无机械伤、无病虫害、无鳞芽、且干燥,无软腐及泥土。</w:t>
      </w:r>
    </w:p>
    <w:p>
      <w:pPr>
        <w:pStyle w:val="21"/>
        <w:numPr>
          <w:ilvl w:val="0"/>
          <w:numId w:val="0"/>
        </w:num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洋芋：个重约250-300克，表皮光滑，果体新鲜，允许有轻微裂纹和干蜕皮，表皮为黄色，肉呈白色，脆嫩多汁，外观良好干净。表面牙眼不能超过5个，内部不发黑，外部无发芽，不变绿，表面无干疤和糙皮、无病斑、无虫咬和机械外伤，不萎蔫、不变软，无发酵酒精气味。</w:t>
      </w:r>
    </w:p>
    <w:p>
      <w:pPr>
        <w:pStyle w:val="21"/>
        <w:numPr>
          <w:ilvl w:val="0"/>
          <w:numId w:val="0"/>
        </w:num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9、芹菜：叶嫩绿茎、无空心，根部呈白色，水分充足，有清香味。无泥土、黄叶、烂叶、根茎变黄、断裂及腐烂出现。</w:t>
      </w:r>
    </w:p>
    <w:p>
      <w:pPr>
        <w:pStyle w:val="21"/>
        <w:numPr>
          <w:ilvl w:val="0"/>
          <w:numId w:val="0"/>
        </w:num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葫芦瓜：单果质量大于0.6千克，无柄，基部削平，色泽为浅绿色或白色，直径大于6cm，外观形状完好，果实大小基本整齐，均匀，外观相似，瓜肉较鲜嫩，种子未完全形成，瓜肉中允许出现少量木质脉径和有少量机械损伤，清洁无杂质，鲜嫩无裂口、无腐烂、无变质、无异味，无病虫害、冷冻导致的严重损伤。</w:t>
      </w:r>
    </w:p>
    <w:p>
      <w:pPr>
        <w:pStyle w:val="21"/>
        <w:numPr>
          <w:ilvl w:val="0"/>
          <w:numId w:val="0"/>
        </w:num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11、莲花白：个重约1公斤，叶球为圆形，呈浅绿色，直径15cm-20 cm左右，外叶去除，无黄叶、虫叶，结实无烂心。</w:t>
      </w:r>
    </w:p>
    <w:p>
      <w:pPr>
        <w:pStyle w:val="21"/>
        <w:numPr>
          <w:ilvl w:val="0"/>
          <w:numId w:val="0"/>
        </w:num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12、蒜苗：叶片鲜嫩青绿，假茎长且鲜嫩雪白，株棵完整粗壮，无折断，叶片不干枯，无斑点，蒜苗干净而无泥土。</w:t>
      </w:r>
    </w:p>
    <w:p>
      <w:pPr>
        <w:pStyle w:val="21"/>
        <w:numPr>
          <w:ilvl w:val="0"/>
          <w:numId w:val="0"/>
        </w:num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13、香菜：叶片鲜嫩青绿，无折断，叶片不干枯，无斑点，有清香味。</w:t>
      </w:r>
    </w:p>
    <w:p>
      <w:pPr>
        <w:pStyle w:val="21"/>
        <w:numPr>
          <w:ilvl w:val="0"/>
          <w:numId w:val="0"/>
        </w:num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大葱：叶色青绿，茎柄脆嫩，表面清洁，葱株均匀，完整而不折断，扎成捆，干净无泥，不夹杂异物，葱横径3cm左右，纵径为40cm左右（去顶端叶），葱白不得低于葱体1/2长，不湿水、无枯尖、无黄叶、无发粘、无干枯霉烂的叶鞘和发干现象。</w:t>
      </w:r>
    </w:p>
    <w:p>
      <w:pPr>
        <w:pStyle w:val="21"/>
        <w:numPr>
          <w:ilvl w:val="0"/>
          <w:numId w:val="0"/>
        </w:num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15、生姜：姜块完整、丰满结实，无损伤，辣味强，无姜腐病，不带枯苗和泥土，无焦皮、不皱缩、无黑心、糠心现象，不烂芽。</w:t>
      </w:r>
    </w:p>
    <w:p>
      <w:pPr>
        <w:pStyle w:val="21"/>
        <w:numPr>
          <w:ilvl w:val="0"/>
          <w:numId w:val="0"/>
        </w:num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16、大蒜：个头均匀，无瘪变蒜，蒜瓣丰满，无虫眼，根部干净、无细沙泥土及杂物，个头达到5.5-6.0 cm左右，</w:t>
      </w:r>
      <w:r>
        <w:rPr>
          <w:rFonts w:hint="eastAsia" w:ascii="宋体" w:hAnsi="宋体" w:eastAsia="宋体" w:cs="宋体"/>
          <w:sz w:val="24"/>
          <w:szCs w:val="24"/>
          <w:highlight w:val="none"/>
          <w:lang w:val="en-US" w:eastAsia="zh-CN"/>
        </w:rPr>
        <w:fldChar w:fldCharType="begin"/>
      </w:r>
      <w:r>
        <w:rPr>
          <w:rFonts w:hint="eastAsia" w:ascii="宋体" w:hAnsi="宋体" w:eastAsia="宋体" w:cs="宋体"/>
          <w:sz w:val="24"/>
          <w:szCs w:val="24"/>
          <w:highlight w:val="none"/>
          <w:lang w:val="en-US" w:eastAsia="zh-CN"/>
        </w:rPr>
        <w:instrText xml:space="preserve"> HYPERLINK "http://baike.so.com/doc/1031193-1090552.html" \t "http://baike.so.com/doc/_blank" </w:instrText>
      </w:r>
      <w:r>
        <w:rPr>
          <w:rFonts w:hint="eastAsia" w:ascii="宋体" w:hAnsi="宋体" w:eastAsia="宋体" w:cs="宋体"/>
          <w:sz w:val="24"/>
          <w:szCs w:val="24"/>
          <w:highlight w:val="none"/>
          <w:lang w:val="en-US" w:eastAsia="zh-CN"/>
        </w:rPr>
        <w:fldChar w:fldCharType="separate"/>
      </w:r>
      <w:r>
        <w:rPr>
          <w:rFonts w:hint="eastAsia" w:ascii="宋体" w:hAnsi="宋体" w:eastAsia="宋体" w:cs="宋体"/>
          <w:sz w:val="24"/>
          <w:szCs w:val="24"/>
          <w:highlight w:val="none"/>
          <w:lang w:val="en-US" w:eastAsia="zh-CN"/>
        </w:rPr>
        <w:t>鳞</w:t>
      </w:r>
      <w:r>
        <w:rPr>
          <w:rFonts w:hint="eastAsia" w:ascii="宋体" w:hAnsi="宋体" w:eastAsia="宋体" w:cs="宋体"/>
          <w:sz w:val="24"/>
          <w:szCs w:val="24"/>
          <w:highlight w:val="none"/>
          <w:lang w:val="en-US" w:eastAsia="zh-CN"/>
        </w:rPr>
        <w:fldChar w:fldCharType="end"/>
      </w:r>
      <w:r>
        <w:rPr>
          <w:rFonts w:hint="eastAsia" w:ascii="宋体" w:hAnsi="宋体" w:eastAsia="宋体" w:cs="宋体"/>
          <w:sz w:val="24"/>
          <w:szCs w:val="24"/>
          <w:highlight w:val="none"/>
          <w:lang w:val="en-US" w:eastAsia="zh-CN"/>
        </w:rPr>
        <w:t>茎大形，具6-10瓣，外包灰白色或 淡紫色于膜质鳞被。蒜头大小均匀，蒜皮完整而不开裂，蒜瓣饱满，无干枯与腐烂，蒜身干爽无泥，不带须根，无病虫害，不出芽。</w:t>
      </w:r>
    </w:p>
    <w:p>
      <w:pPr>
        <w:pStyle w:val="21"/>
        <w:numPr>
          <w:ilvl w:val="0"/>
          <w:numId w:val="0"/>
        </w:numPr>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鸡肉（新鲜整鸡）：</w:t>
      </w:r>
      <w:r>
        <w:rPr>
          <w:rFonts w:hint="eastAsia" w:ascii="宋体" w:hAnsi="宋体" w:eastAsia="宋体" w:cs="宋体"/>
          <w:sz w:val="24"/>
          <w:szCs w:val="24"/>
          <w:highlight w:val="none"/>
          <w:lang w:val="en-US" w:eastAsia="zh-CN"/>
        </w:rPr>
        <w:t>卫生符合《食品安全国家标准》，须符合国家卫生安全食用标准，单鸡个体不得小于2公斤，定点屠宰，无鸡毛、鸡头、鸡爪等杂物，屠宰后颜色正常，无异常变色，内脏必须清理干净，当天屠宰且不能是冻肉，且提供当日的动物产品检验检疫合格证，其他必须符合国家相关之条款要求，必须以厢式制冷车送达县级各学校、幼儿园及乡村级小学（教学点）、幼儿园，按照指定的时间、地点交货，配送人员必须随身携带健康证。</w:t>
      </w:r>
    </w:p>
    <w:p>
      <w:pPr>
        <w:pStyle w:val="21"/>
        <w:numPr>
          <w:ilvl w:val="0"/>
          <w:numId w:val="0"/>
        </w:numPr>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鸡蛋：</w:t>
      </w:r>
      <w:r>
        <w:rPr>
          <w:rFonts w:hint="eastAsia" w:ascii="宋体" w:hAnsi="宋体" w:eastAsia="宋体" w:cs="宋体"/>
          <w:sz w:val="24"/>
          <w:szCs w:val="24"/>
          <w:highlight w:val="none"/>
          <w:lang w:val="en-US" w:eastAsia="zh-CN"/>
        </w:rPr>
        <w:t>须符合国家卫生安全食用标准，单个重量≥60g，每板30个，必须按照鸡蛋实际重量计重，不得将鸡蛋托盘计入总重。要求近期新鲜鸡蛋，严禁变质、破损、交叉污染，提供从事相关畜牧养殖的养殖场、动物防疫条件合格证明、年度禽类防疫登记。</w:t>
      </w:r>
    </w:p>
    <w:p>
      <w:pPr>
        <w:pStyle w:val="21"/>
        <w:numPr>
          <w:ilvl w:val="0"/>
          <w:numId w:val="0"/>
        </w:numPr>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水果 ：</w:t>
      </w:r>
      <w:r>
        <w:rPr>
          <w:rFonts w:hint="eastAsia" w:ascii="宋体" w:hAnsi="宋体" w:eastAsia="宋体" w:cs="宋体"/>
          <w:sz w:val="24"/>
          <w:szCs w:val="24"/>
          <w:highlight w:val="none"/>
          <w:lang w:val="en-US" w:eastAsia="zh-CN"/>
        </w:rPr>
        <w:t xml:space="preserve"> 1、苹果：红富士，直径≥7㎝，红色着色面≧60％，集中着色度≧60％，果实完整良好，新鲜、无病虫害，具有本品种的特有风味，色泽纯正，果面光洁，发育充分，无碰压伤、无创伤，严禁提供伤果、腐烂果。按送达的净菜量计重，不得把外包装计入重量。</w:t>
      </w:r>
    </w:p>
    <w:p>
      <w:pPr>
        <w:pStyle w:val="21"/>
        <w:numPr>
          <w:ilvl w:val="0"/>
          <w:numId w:val="0"/>
        </w:numPr>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香蕉：</w:t>
      </w:r>
      <w:r>
        <w:rPr>
          <w:rFonts w:hint="eastAsia" w:ascii="宋体" w:hAnsi="宋体" w:eastAsia="宋体" w:cs="宋体"/>
          <w:sz w:val="24"/>
          <w:szCs w:val="24"/>
          <w:highlight w:val="none"/>
          <w:lang w:val="en-US" w:eastAsia="zh-CN"/>
        </w:rPr>
        <w:t>果实丰满，果形端正，梳柄完整，不缺只口，单果均匀；色泽自然、光亮；皮色青黄，果面光滑。无病黑斑，无虫疤，无霉菌，无创伤，果肉稍硬，果皮可剥或易剥。按送达的净菜量计重，不得把外包装计入重量。</w:t>
      </w:r>
    </w:p>
    <w:p>
      <w:pPr>
        <w:pStyle w:val="21"/>
        <w:numPr>
          <w:ilvl w:val="0"/>
          <w:numId w:val="0"/>
        </w:numPr>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香梨</w:t>
      </w:r>
      <w:r>
        <w:rPr>
          <w:rFonts w:hint="eastAsia" w:ascii="宋体" w:hAnsi="宋体" w:eastAsia="宋体" w:cs="宋体"/>
          <w:sz w:val="24"/>
          <w:szCs w:val="24"/>
          <w:highlight w:val="none"/>
          <w:lang w:val="en-US" w:eastAsia="zh-CN"/>
        </w:rPr>
        <w:t>:香梨，单个果体重80克以上，色泽正常，果体匀称，无碰撞伤，无腐烂果。按送达的净菜量计重，不得把外包装计入重量。</w:t>
      </w:r>
    </w:p>
    <w:p>
      <w:pPr>
        <w:pStyle w:val="21"/>
        <w:numPr>
          <w:ilvl w:val="0"/>
          <w:numId w:val="0"/>
        </w:numPr>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桔子：</w:t>
      </w:r>
      <w:r>
        <w:rPr>
          <w:rFonts w:hint="eastAsia" w:ascii="宋体" w:hAnsi="宋体" w:eastAsia="宋体" w:cs="宋体"/>
          <w:sz w:val="24"/>
          <w:szCs w:val="24"/>
          <w:highlight w:val="none"/>
          <w:lang w:val="en-US" w:eastAsia="zh-CN"/>
        </w:rPr>
        <w:t>砂糖橘，果实圆形，面皮橙红色，着色率85%以上，果面光亮、平整，直径40—45毫米以上，无碰压伤、机械伤，无腐烂，无软果。味甜，糖度≥10%Brix。按送达的净菜量计重，不得把外包装计入重量。</w:t>
      </w:r>
    </w:p>
    <w:p>
      <w:pPr>
        <w:pStyle w:val="21"/>
        <w:numPr>
          <w:ilvl w:val="0"/>
          <w:numId w:val="0"/>
        </w:num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水果必须送达县级幼儿园及乡幼儿园，按照指定的时间、地点交货，配送人员必须随身携带健康证备检。</w:t>
      </w:r>
    </w:p>
    <w:p>
      <w:pPr>
        <w:pStyle w:val="21"/>
        <w:numPr>
          <w:ilvl w:val="0"/>
          <w:numId w:val="0"/>
        </w:numPr>
        <w:rPr>
          <w:rFonts w:hint="eastAsia" w:ascii="宋体" w:hAnsi="宋体" w:eastAsia="宋体" w:cs="宋体"/>
          <w:b/>
          <w:bCs/>
          <w:sz w:val="24"/>
          <w:szCs w:val="24"/>
          <w:lang w:val="en-US" w:eastAsia="zh-CN"/>
        </w:rPr>
      </w:pPr>
    </w:p>
    <w:p>
      <w:pPr>
        <w:pStyle w:val="12"/>
        <w:rPr>
          <w:rFonts w:hint="eastAsia" w:ascii="宋体" w:hAnsi="宋体" w:eastAsia="宋体" w:cs="宋体"/>
          <w:sz w:val="24"/>
          <w:szCs w:val="24"/>
          <w:lang w:val="en-US" w:eastAsia="zh-CN"/>
        </w:rPr>
      </w:pPr>
    </w:p>
    <w:p>
      <w:pPr>
        <w:pStyle w:val="13"/>
        <w:outlineLvl w:val="1"/>
        <w:rPr>
          <w:rFonts w:hint="eastAsia" w:ascii="宋体" w:hAnsi="宋体" w:eastAsia="宋体" w:cs="宋体"/>
          <w:b/>
          <w:bCs/>
          <w:sz w:val="24"/>
          <w:szCs w:val="24"/>
          <w:lang w:val="en-US" w:eastAsia="zh-CN"/>
        </w:rPr>
      </w:pPr>
      <w:bookmarkStart w:id="1596" w:name="_Toc14988"/>
      <w:r>
        <w:rPr>
          <w:rFonts w:hint="eastAsia" w:ascii="宋体" w:hAnsi="宋体" w:eastAsia="宋体" w:cs="宋体"/>
          <w:b/>
          <w:bCs/>
          <w:sz w:val="24"/>
          <w:szCs w:val="24"/>
          <w:lang w:val="en-US" w:eastAsia="zh-CN"/>
        </w:rPr>
        <w:t>三、其他要求</w:t>
      </w:r>
      <w:bookmarkEnd w:id="1596"/>
    </w:p>
    <w:bookmarkEnd w:id="0"/>
    <w:bookmarkEnd w:id="1"/>
    <w:bookmarkEnd w:id="2"/>
    <w:bookmarkEnd w:id="3"/>
    <w:bookmarkEnd w:id="4"/>
    <w:bookmarkEnd w:id="5"/>
    <w:bookmarkEnd w:id="6"/>
    <w:bookmarkEnd w:id="7"/>
    <w:bookmarkEnd w:id="8"/>
    <w:bookmarkEnd w:id="9"/>
    <w:bookmarkEnd w:id="10"/>
    <w:bookmarkEnd w:id="11"/>
    <w:bookmarkEnd w:id="12"/>
    <w:bookmarkEnd w:id="13"/>
    <w:bookmarkEnd w:id="1588"/>
    <w:bookmarkEnd w:id="1589"/>
    <w:bookmarkEnd w:id="1590"/>
    <w:bookmarkEnd w:id="1591"/>
    <w:bookmarkEnd w:id="1592"/>
    <w:bookmarkEnd w:id="1593"/>
    <w:bookmarkEnd w:id="1594"/>
    <w:p>
      <w:pPr>
        <w:keepNext w:val="0"/>
        <w:keepLines w:val="0"/>
        <w:pageBreakBefore w:val="0"/>
        <w:widowControl w:val="0"/>
        <w:numPr>
          <w:ilvl w:val="0"/>
          <w:numId w:val="8"/>
        </w:numPr>
        <w:kinsoku/>
        <w:wordWrap/>
        <w:overflowPunct/>
        <w:topLinePunct w:val="0"/>
        <w:autoSpaceDE/>
        <w:autoSpaceDN/>
        <w:bidi w:val="0"/>
        <w:adjustRightInd/>
        <w:snapToGrid/>
        <w:spacing w:line="400" w:lineRule="exact"/>
        <w:ind w:left="-62" w:leftChars="0" w:firstLine="482" w:firstLineChars="0"/>
        <w:jc w:val="left"/>
        <w:textAlignment w:val="auto"/>
        <w:outlineLvl w:val="9"/>
        <w:rPr>
          <w:rFonts w:hint="eastAsia" w:ascii="宋体" w:hAnsi="宋体" w:eastAsia="宋体" w:cs="宋体"/>
          <w:color w:val="auto"/>
          <w:kern w:val="2"/>
          <w:sz w:val="24"/>
          <w:szCs w:val="24"/>
          <w:highlight w:val="none"/>
          <w:lang w:val="en-US" w:eastAsia="zh-CN" w:bidi="ar-SA"/>
        </w:rPr>
      </w:pPr>
      <w:bookmarkStart w:id="1597" w:name="_Toc24115"/>
      <w:bookmarkStart w:id="1598" w:name="_Toc19812"/>
      <w:bookmarkStart w:id="1599" w:name="_Toc21944"/>
      <w:bookmarkStart w:id="1600" w:name="_Toc15225"/>
      <w:bookmarkStart w:id="1601" w:name="_Toc32073"/>
      <w:bookmarkStart w:id="1602" w:name="_Toc11259"/>
      <w:bookmarkStart w:id="1603" w:name="_Toc31651"/>
      <w:r>
        <w:rPr>
          <w:rFonts w:hint="eastAsia" w:ascii="宋体" w:hAnsi="宋体" w:eastAsia="宋体" w:cs="宋体"/>
          <w:b/>
          <w:bCs/>
          <w:color w:val="auto"/>
          <w:kern w:val="2"/>
          <w:sz w:val="24"/>
          <w:szCs w:val="24"/>
          <w:highlight w:val="none"/>
          <w:lang w:val="en-US" w:eastAsia="zh-CN" w:bidi="ar-SA"/>
        </w:rPr>
        <w:t>配送地点：</w:t>
      </w:r>
      <w:r>
        <w:rPr>
          <w:rFonts w:hint="eastAsia" w:ascii="宋体" w:hAnsi="宋体" w:eastAsia="宋体" w:cs="宋体"/>
          <w:color w:val="auto"/>
          <w:kern w:val="2"/>
          <w:sz w:val="24"/>
          <w:szCs w:val="24"/>
          <w:highlight w:val="none"/>
          <w:lang w:val="en-US" w:eastAsia="zh-CN" w:bidi="ar-SA"/>
        </w:rPr>
        <w:t>采购人指定地点。</w:t>
      </w:r>
      <w:bookmarkEnd w:id="1597"/>
      <w:bookmarkEnd w:id="1598"/>
      <w:bookmarkEnd w:id="1599"/>
      <w:bookmarkEnd w:id="1600"/>
      <w:bookmarkEnd w:id="1601"/>
    </w:p>
    <w:p>
      <w:pPr>
        <w:pStyle w:val="21"/>
        <w:numPr>
          <w:ilvl w:val="0"/>
          <w:numId w:val="8"/>
        </w:numPr>
        <w:ind w:left="-62" w:leftChars="0" w:firstLine="482" w:firstLineChars="0"/>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交货期：</w:t>
      </w:r>
      <w:bookmarkStart w:id="1604" w:name="_Toc17280"/>
      <w:bookmarkStart w:id="1605" w:name="_Toc20335"/>
      <w:bookmarkStart w:id="1606" w:name="_Toc22211"/>
      <w:bookmarkStart w:id="1607" w:name="_Toc27488"/>
      <w:bookmarkStart w:id="1608" w:name="_Toc27249"/>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按采购单位要求时间，分批供货。</w:t>
      </w:r>
    </w:p>
    <w:p>
      <w:pPr>
        <w:pStyle w:val="21"/>
        <w:numPr>
          <w:ilvl w:val="0"/>
          <w:numId w:val="0"/>
        </w:numPr>
        <w:ind w:left="420" w:leftChars="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3、付款方式</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w:t>
      </w:r>
      <w:bookmarkEnd w:id="1604"/>
      <w:bookmarkEnd w:id="1605"/>
      <w:bookmarkEnd w:id="1606"/>
      <w:bookmarkEnd w:id="1607"/>
      <w:bookmarkEnd w:id="1608"/>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供应商每月3号以前按要求提供上月经双方签字确认的送货单并汇总，与甲方核对无误后双方进行签字确认，由供应商提供有效发票向甲方申请付款，甲方在5个工作日内向供应商支付采购费。</w:t>
      </w:r>
    </w:p>
    <w:p>
      <w:pPr>
        <w:pStyle w:val="4"/>
        <w:keepNext w:val="0"/>
        <w:keepLines w:val="0"/>
        <w:pageBreakBefore w:val="0"/>
        <w:widowControl w:val="0"/>
        <w:numPr>
          <w:ilvl w:val="0"/>
          <w:numId w:val="0"/>
        </w:numPr>
        <w:kinsoku/>
        <w:wordWrap/>
        <w:overflowPunct/>
        <w:topLinePunct w:val="0"/>
        <w:bidi w:val="0"/>
        <w:snapToGrid/>
        <w:spacing w:line="400" w:lineRule="exact"/>
        <w:ind w:firstLine="482" w:firstLineChars="200"/>
        <w:textAlignment w:val="auto"/>
        <w:outlineLvl w:val="9"/>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4、履约保证金</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：中标通知书发出之日起 7 个工作日内缴纳履约保证金，否则视为该中标商自动弃标。供货期间以次充好每次或不及时供货扣除履约保证金 20%，三次扣除所有履约保证金并解除合同:按照约定供货时间超过 8小时不供货扣除履约保证金 50%，三次扣除所有履约保证金并解除合同 (不可抗力除外)。</w:t>
      </w:r>
    </w:p>
    <w:p>
      <w:pPr>
        <w:keepNext w:val="0"/>
        <w:keepLines w:val="0"/>
        <w:pageBreakBefore w:val="0"/>
        <w:widowControl w:val="0"/>
        <w:kinsoku/>
        <w:wordWrap/>
        <w:overflowPunct/>
        <w:topLinePunct w:val="0"/>
        <w:bidi w:val="0"/>
        <w:snapToGrid/>
        <w:spacing w:line="400" w:lineRule="exact"/>
        <w:ind w:firstLine="482" w:firstLineChars="200"/>
        <w:textAlignment w:val="auto"/>
        <w:outlineLvl w:val="9"/>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5、交货期限：</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甲方提前一周向供应商下达订单，供应商备货并在规定时间内送达到指定地点。供应商必须按甲方报的计划，每天准时无误的将食材配送到规定收货地址。在配送过程中如有破损或其它质量等问题，须无条件更换。每次配送的数量根据甲方需求确定，配送、搬运、存放过程中产生的费用由供应商负责。</w:t>
      </w:r>
    </w:p>
    <w:p>
      <w:pPr>
        <w:keepNext w:val="0"/>
        <w:keepLines w:val="0"/>
        <w:pageBreakBefore w:val="0"/>
        <w:widowControl w:val="0"/>
        <w:kinsoku/>
        <w:wordWrap/>
        <w:overflowPunct/>
        <w:topLinePunct w:val="0"/>
        <w:bidi w:val="0"/>
        <w:snapToGrid/>
        <w:spacing w:line="400" w:lineRule="exact"/>
        <w:ind w:firstLine="482" w:firstLineChars="200"/>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6、签订合同：</w:t>
      </w:r>
      <w:r>
        <w:rPr>
          <w:rFonts w:hint="eastAsia" w:ascii="宋体" w:hAnsi="宋体" w:eastAsia="宋体" w:cs="宋体"/>
          <w:kern w:val="2"/>
          <w:sz w:val="24"/>
          <w:szCs w:val="24"/>
          <w:highlight w:val="none"/>
          <w:lang w:val="en-US" w:eastAsia="zh-CN" w:bidi="ar-SA"/>
        </w:rPr>
        <w:t>:中标供应商须在中标后30 天内与采购人签订采购合同，若第一中标人拒绝签订政府采购合同。须在接到中析通知书 7 个工作日内发出弃标函，否则该中标商应当承担相应的法律责任及采购人的经济损失。收到弃标函之日可以确定下-候选人为中标人。也可以重新开展政府采购活动。</w:t>
      </w:r>
    </w:p>
    <w:p>
      <w:pPr>
        <w:pStyle w:val="21"/>
        <w:rPr>
          <w:rFonts w:hint="eastAsia" w:ascii="宋体" w:hAnsi="宋体" w:eastAsia="宋体" w:cs="宋体"/>
          <w:sz w:val="24"/>
          <w:szCs w:val="24"/>
          <w:lang w:val="en-US" w:eastAsia="zh-CN"/>
        </w:rPr>
      </w:pPr>
      <w:r>
        <w:rPr>
          <w:rFonts w:hint="eastAsia" w:ascii="宋体" w:hAnsi="宋体" w:eastAsia="宋体" w:cs="宋体"/>
          <w:b/>
          <w:bCs/>
          <w:kern w:val="2"/>
          <w:sz w:val="24"/>
          <w:szCs w:val="24"/>
          <w:highlight w:val="none"/>
          <w:lang w:val="en-US" w:eastAsia="zh-CN" w:bidi="ar-SA"/>
        </w:rPr>
        <w:t>（标项二）7、报价要求:合同期限内，每月第1周第1个工作日由采购单位选派代表成立询价小组进行询价后定价（有效期为当月有效），采用统一下浮率的方式，结算价格=市场价格*（1-下浮率）（例如：市场价格=100元，报价下浮率：10%，则合同结算单价为：100*（1-10%）=90 元）。货物市场价的确定以泽普县主要市场（ 不少于三个农贸市场或大型超市）相同产品的平均价（零售价）为最高限价（最高限价随市场变化而变化）。</w:t>
      </w:r>
    </w:p>
    <w:p>
      <w:pPr>
        <w:keepNext w:val="0"/>
        <w:keepLines w:val="0"/>
        <w:pageBreakBefore w:val="0"/>
        <w:widowControl w:val="0"/>
        <w:kinsoku/>
        <w:wordWrap/>
        <w:overflowPunct/>
        <w:topLinePunct w:val="0"/>
        <w:bidi w:val="0"/>
        <w:snapToGrid/>
        <w:spacing w:line="400" w:lineRule="exact"/>
        <w:ind w:firstLine="482" w:firstLineChars="200"/>
        <w:textAlignment w:val="auto"/>
        <w:outlineLvl w:val="9"/>
        <w:rPr>
          <w:rFonts w:hint="eastAsia" w:ascii="宋体" w:hAnsi="宋体" w:eastAsia="宋体" w:cs="宋体"/>
          <w:color w:val="FF0000"/>
          <w:kern w:val="2"/>
          <w:sz w:val="24"/>
          <w:szCs w:val="24"/>
          <w:highlight w:val="none"/>
          <w:lang w:val="en-US" w:eastAsia="zh-CN" w:bidi="ar-SA"/>
        </w:rPr>
      </w:pP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8、配送要求</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：针对本项目负责管理须委派3名专门负责人，负责本项目配送货物的运输等，不得委托第三方捎带送货。</w:t>
      </w:r>
    </w:p>
    <w:p>
      <w:pPr>
        <w:pStyle w:val="4"/>
        <w:keepNext w:val="0"/>
        <w:keepLines w:val="0"/>
        <w:pageBreakBefore w:val="0"/>
        <w:widowControl w:val="0"/>
        <w:numPr>
          <w:ilvl w:val="0"/>
          <w:numId w:val="0"/>
        </w:numPr>
        <w:kinsoku/>
        <w:wordWrap/>
        <w:overflowPunct/>
        <w:topLinePunct w:val="0"/>
        <w:bidi w:val="0"/>
        <w:snapToGrid/>
        <w:spacing w:line="400" w:lineRule="exact"/>
        <w:ind w:firstLine="482" w:firstLineChars="200"/>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 xml:space="preserve">9、货物验收要求 </w:t>
      </w:r>
      <w:r>
        <w:rPr>
          <w:rFonts w:hint="eastAsia" w:ascii="宋体" w:hAnsi="宋体" w:eastAsia="宋体" w:cs="宋体"/>
          <w:kern w:val="2"/>
          <w:sz w:val="24"/>
          <w:szCs w:val="24"/>
          <w:highlight w:val="none"/>
          <w:lang w:val="en-US" w:eastAsia="zh-CN" w:bidi="ar-SA"/>
        </w:rPr>
        <w:t xml:space="preserve"> </w:t>
      </w:r>
    </w:p>
    <w:p>
      <w:pPr>
        <w:pStyle w:val="4"/>
        <w:keepNext w:val="0"/>
        <w:keepLines w:val="0"/>
        <w:pageBreakBefore w:val="0"/>
        <w:widowControl w:val="0"/>
        <w:numPr>
          <w:ilvl w:val="0"/>
          <w:numId w:val="0"/>
        </w:numPr>
        <w:kinsoku/>
        <w:wordWrap/>
        <w:overflowPunct/>
        <w:topLinePunct w:val="0"/>
        <w:bidi w:val="0"/>
        <w:snapToGrid/>
        <w:spacing w:line="400" w:lineRule="exact"/>
        <w:ind w:firstLine="480" w:firstLineChars="200"/>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检验流程：①采购人按合同对货物进行认真验收，对不符合规格要求的货物，供应商必须无条件退货；供应商未能履行招标文件和合同所定事项，或供应不合格的、假冒伪劣、以次充好的货物，采购人退货后将记录在案，并对供应商予以处罚，除要承担因此产生的一切损失和费用外，情节严重的可取消其中标资格。②要作好卸货前的检查。验收人员卸货前应对场地和验收做好准备，并对货物的外观质量进行初步了解。③应采取当场验收的方式，验收人必须认真检验食品的质量要求，按索证→过磅→入库的程序完成验收，供应商可提供原件的留原件，原件只有一份而无法提供给采购人的查验原件后索取复印件留存。④送货数量与订单不符时：多送部分有权拒收。</w:t>
      </w:r>
    </w:p>
    <w:p>
      <w:pPr>
        <w:pStyle w:val="4"/>
        <w:keepNext w:val="0"/>
        <w:keepLines w:val="0"/>
        <w:pageBreakBefore w:val="0"/>
        <w:widowControl w:val="0"/>
        <w:numPr>
          <w:ilvl w:val="0"/>
          <w:numId w:val="0"/>
        </w:numPr>
        <w:kinsoku/>
        <w:wordWrap/>
        <w:overflowPunct/>
        <w:topLinePunct w:val="0"/>
        <w:bidi w:val="0"/>
        <w:snapToGrid/>
        <w:spacing w:line="400" w:lineRule="exact"/>
        <w:ind w:firstLine="480" w:firstLineChars="200"/>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 退（补）货流程：对不符合质量要求的货物由采购人验收人员提出清退，对数量不足或部分退货的，供应商必须按甲方规定时间，要求的数量、质量、规格重新送货。</w:t>
      </w:r>
    </w:p>
    <w:p>
      <w:pPr>
        <w:pStyle w:val="4"/>
        <w:keepNext w:val="0"/>
        <w:keepLines w:val="0"/>
        <w:pageBreakBefore w:val="0"/>
        <w:widowControl w:val="0"/>
        <w:kinsoku/>
        <w:wordWrap/>
        <w:overflowPunct/>
        <w:topLinePunct w:val="0"/>
        <w:autoSpaceDE w:val="0"/>
        <w:autoSpaceDN w:val="0"/>
        <w:bidi w:val="0"/>
        <w:adjustRightInd w:val="0"/>
        <w:snapToGrid/>
        <w:spacing w:line="400" w:lineRule="exact"/>
        <w:ind w:left="0" w:leftChars="0" w:firstLine="482" w:firstLineChars="200"/>
        <w:textAlignment w:val="auto"/>
        <w:outlineLvl w:val="9"/>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10、验收标准</w:t>
      </w:r>
    </w:p>
    <w:p>
      <w:pPr>
        <w:pStyle w:val="4"/>
        <w:keepNext w:val="0"/>
        <w:keepLines w:val="0"/>
        <w:pageBreakBefore w:val="0"/>
        <w:widowControl w:val="0"/>
        <w:kinsoku/>
        <w:wordWrap/>
        <w:overflowPunct/>
        <w:topLinePunct w:val="0"/>
        <w:autoSpaceDE w:val="0"/>
        <w:autoSpaceDN w:val="0"/>
        <w:bidi w:val="0"/>
        <w:adjustRightInd w:val="0"/>
        <w:snapToGrid/>
        <w:spacing w:line="400" w:lineRule="exact"/>
        <w:ind w:left="0" w:leftChars="0" w:firstLine="480" w:firstLineChars="200"/>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乙方按照甲方提供的食材与商品清单配送需求计划，所有货物外包装必须安全、卫生、无毒、无害，有较好的感官性状，符合卫生防疫、检疫部门，质量检验、监督等部门的相关质量要求，产品必须通过国家强制要求的各类认证。将符合质量标准的货物及时保质保量配送到甲方指定地点后，由使用单位组织三人及以上验收领导小组成员负责对其进行质量和数量验收，若出现实际配送货物与配送计划数量和品种（品牌）及质量不一致的，供应商无条件重新更换配送货物，更换后仍然不符合标准的采购人有权对供应商处以一定金额的罚款。</w:t>
      </w:r>
    </w:p>
    <w:p>
      <w:pPr>
        <w:pStyle w:val="4"/>
        <w:keepNext w:val="0"/>
        <w:keepLines w:val="0"/>
        <w:pageBreakBefore w:val="0"/>
        <w:widowControl w:val="0"/>
        <w:kinsoku/>
        <w:wordWrap/>
        <w:overflowPunct/>
        <w:topLinePunct w:val="0"/>
        <w:autoSpaceDE w:val="0"/>
        <w:autoSpaceDN w:val="0"/>
        <w:bidi w:val="0"/>
        <w:adjustRightInd w:val="0"/>
        <w:snapToGrid/>
        <w:spacing w:line="400" w:lineRule="exact"/>
        <w:ind w:left="0" w:leftChars="0" w:firstLine="480" w:firstLineChars="200"/>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2）若供应商所提供物资的质量因不符合相关质量标准，导致采购人被卫生防疫、检疫部门处罚，所产生的罚款费用由供应商全额承担，并按合同违约条款进行赔偿。</w:t>
      </w:r>
    </w:p>
    <w:p>
      <w:pPr>
        <w:pStyle w:val="4"/>
        <w:keepNext w:val="0"/>
        <w:keepLines w:val="0"/>
        <w:pageBreakBefore w:val="0"/>
        <w:widowControl w:val="0"/>
        <w:kinsoku/>
        <w:wordWrap/>
        <w:overflowPunct/>
        <w:topLinePunct w:val="0"/>
        <w:autoSpaceDE w:val="0"/>
        <w:autoSpaceDN w:val="0"/>
        <w:bidi w:val="0"/>
        <w:adjustRightInd w:val="0"/>
        <w:snapToGrid/>
        <w:spacing w:line="400" w:lineRule="exact"/>
        <w:ind w:left="0" w:leftChars="0" w:firstLine="480" w:firstLineChars="200"/>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3）任何因食材质量问题导致的食品安全或食物中毒责任，在确认导致问题的原材料品种后，由该供应商承担全部法律责任与经济损失，除对采购人进行赔付外，采购人有权单方终止合同。</w:t>
      </w:r>
    </w:p>
    <w:p>
      <w:pPr>
        <w:pStyle w:val="4"/>
        <w:keepNext w:val="0"/>
        <w:keepLines w:val="0"/>
        <w:pageBreakBefore w:val="0"/>
        <w:widowControl w:val="0"/>
        <w:kinsoku/>
        <w:wordWrap/>
        <w:overflowPunct/>
        <w:topLinePunct w:val="0"/>
        <w:autoSpaceDE w:val="0"/>
        <w:autoSpaceDN w:val="0"/>
        <w:bidi w:val="0"/>
        <w:adjustRightInd w:val="0"/>
        <w:snapToGrid/>
        <w:spacing w:line="400" w:lineRule="exact"/>
        <w:ind w:left="0" w:leftChars="0" w:firstLine="480" w:firstLineChars="200"/>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4）质量要求：所有食材质量必须达到《中华人民共和国食品安全法》及相关法律法规的要求；</w:t>
      </w:r>
    </w:p>
    <w:p>
      <w:pPr>
        <w:pStyle w:val="4"/>
        <w:keepNext w:val="0"/>
        <w:keepLines w:val="0"/>
        <w:pageBreakBefore w:val="0"/>
        <w:widowControl w:val="0"/>
        <w:kinsoku/>
        <w:wordWrap/>
        <w:overflowPunct/>
        <w:topLinePunct w:val="0"/>
        <w:autoSpaceDE w:val="0"/>
        <w:autoSpaceDN w:val="0"/>
        <w:bidi w:val="0"/>
        <w:adjustRightInd w:val="0"/>
        <w:snapToGrid/>
        <w:spacing w:line="400" w:lineRule="exact"/>
        <w:ind w:left="0" w:leftChars="0" w:firstLine="480" w:firstLineChars="200"/>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5）采购人明确禁止使用含有兴奋剂的食品和添加剂，供应商应完全尊重采购人的行业惯例和要求，确保所供应食材中不出现违禁添加剂；</w:t>
      </w:r>
    </w:p>
    <w:p>
      <w:pPr>
        <w:pStyle w:val="4"/>
        <w:keepNext w:val="0"/>
        <w:keepLines w:val="0"/>
        <w:pageBreakBefore w:val="0"/>
        <w:widowControl w:val="0"/>
        <w:kinsoku/>
        <w:wordWrap/>
        <w:overflowPunct/>
        <w:topLinePunct w:val="0"/>
        <w:autoSpaceDE w:val="0"/>
        <w:autoSpaceDN w:val="0"/>
        <w:bidi w:val="0"/>
        <w:adjustRightInd w:val="0"/>
        <w:snapToGrid/>
        <w:spacing w:line="400" w:lineRule="exact"/>
        <w:ind w:left="0" w:leftChars="0" w:firstLine="480" w:firstLineChars="200"/>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6）中标人按照卫生防疫要求定期提供相应的食品出厂合格证，检疫证等相关证件；</w:t>
      </w:r>
    </w:p>
    <w:p>
      <w:pPr>
        <w:pStyle w:val="4"/>
        <w:keepNext w:val="0"/>
        <w:keepLines w:val="0"/>
        <w:pageBreakBefore w:val="0"/>
        <w:widowControl w:val="0"/>
        <w:numPr>
          <w:ilvl w:val="0"/>
          <w:numId w:val="0"/>
        </w:numPr>
        <w:kinsoku/>
        <w:wordWrap/>
        <w:overflowPunct/>
        <w:topLinePunct w:val="0"/>
        <w:bidi w:val="0"/>
        <w:snapToGrid/>
        <w:spacing w:line="400" w:lineRule="exact"/>
        <w:ind w:firstLine="480" w:firstLineChars="200"/>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7）因中标人供货质量原因，引起甲方食品安全事故，应按照《食品法》及相关规定，除赔偿当期的原材料损失外，还应对由此引起的其他延续损失给予全额经济赔偿(包括医疗、声誉)，并承担其他相应法律责任。 </w:t>
      </w:r>
    </w:p>
    <w:p>
      <w:pPr>
        <w:pStyle w:val="4"/>
        <w:keepNext w:val="0"/>
        <w:keepLines w:val="0"/>
        <w:pageBreakBefore w:val="0"/>
        <w:widowControl w:val="0"/>
        <w:numPr>
          <w:ilvl w:val="0"/>
          <w:numId w:val="0"/>
        </w:numPr>
        <w:kinsoku/>
        <w:wordWrap/>
        <w:overflowPunct/>
        <w:topLinePunct w:val="0"/>
        <w:bidi w:val="0"/>
        <w:snapToGrid/>
        <w:spacing w:line="400" w:lineRule="exact"/>
        <w:ind w:firstLine="482" w:firstLineChars="200"/>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kern w:val="2"/>
          <w:sz w:val="24"/>
          <w:szCs w:val="24"/>
          <w:highlight w:val="none"/>
          <w:lang w:val="en-US" w:eastAsia="zh-CN" w:bidi="ar-SA"/>
        </w:rPr>
        <w:t>11、提供有利于本项目其它证明资料，详见本项目综合评分表。</w:t>
      </w:r>
    </w:p>
    <w:p>
      <w:pPr>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br w:type="page"/>
      </w:r>
    </w:p>
    <w:p>
      <w:pPr>
        <w:pStyle w:val="4"/>
        <w:ind w:firstLine="0"/>
        <w:jc w:val="center"/>
        <w:outlineLvl w:val="0"/>
        <w:rPr>
          <w:rFonts w:hint="eastAsia" w:ascii="宋体" w:hAnsi="宋体" w:eastAsia="宋体" w:cs="宋体"/>
          <w:b/>
          <w:bCs/>
          <w:color w:val="auto"/>
          <w:sz w:val="32"/>
          <w:szCs w:val="32"/>
          <w:highlight w:val="none"/>
          <w:lang w:val="en-US" w:eastAsia="zh-CN"/>
        </w:rPr>
      </w:pPr>
      <w:bookmarkStart w:id="1609" w:name="_Toc8137"/>
      <w:r>
        <w:rPr>
          <w:rFonts w:hint="eastAsia" w:ascii="宋体" w:hAnsi="宋体" w:eastAsia="宋体" w:cs="宋体"/>
          <w:b/>
          <w:bCs/>
          <w:color w:val="auto"/>
          <w:sz w:val="32"/>
          <w:szCs w:val="32"/>
          <w:highlight w:val="none"/>
          <w:lang w:val="en-US" w:eastAsia="zh-CN"/>
        </w:rPr>
        <w:t>第6章  评标方法和标准</w:t>
      </w:r>
      <w:bookmarkEnd w:id="14"/>
      <w:bookmarkEnd w:id="15"/>
      <w:bookmarkEnd w:id="16"/>
      <w:bookmarkEnd w:id="17"/>
      <w:bookmarkEnd w:id="18"/>
      <w:bookmarkEnd w:id="19"/>
      <w:bookmarkEnd w:id="20"/>
      <w:bookmarkEnd w:id="1602"/>
      <w:bookmarkEnd w:id="1603"/>
      <w:bookmarkEnd w:id="1609"/>
    </w:p>
    <w:p>
      <w:pPr>
        <w:pStyle w:val="12"/>
        <w:keepNext w:val="0"/>
        <w:keepLines w:val="0"/>
        <w:pageBreakBefore w:val="0"/>
        <w:tabs>
          <w:tab w:val="clear" w:pos="567"/>
        </w:tabs>
        <w:kinsoku/>
        <w:wordWrap/>
        <w:overflowPunct/>
        <w:topLinePunct w:val="0"/>
        <w:autoSpaceDE/>
        <w:autoSpaceDN/>
        <w:bidi w:val="0"/>
        <w:adjustRightInd/>
        <w:spacing w:before="0" w:line="360" w:lineRule="exact"/>
        <w:ind w:firstLine="540" w:firstLineChars="225"/>
        <w:rPr>
          <w:rFonts w:hint="eastAsia" w:ascii="宋体" w:hAnsi="宋体" w:eastAsia="宋体" w:cs="宋体"/>
          <w:color w:val="auto"/>
          <w:highlight w:val="none"/>
        </w:rPr>
      </w:pPr>
      <w:r>
        <w:rPr>
          <w:rFonts w:hint="eastAsia" w:ascii="宋体" w:hAnsi="宋体" w:eastAsia="宋体" w:cs="宋体"/>
          <w:color w:val="auto"/>
          <w:highlight w:val="none"/>
        </w:rPr>
        <w:t>本项目将按照招标文件第一章供应商须知中“五 开标及评标”、“六 确定中标”及本章的规定评标。</w:t>
      </w:r>
    </w:p>
    <w:p>
      <w:pPr>
        <w:keepNext w:val="0"/>
        <w:keepLines w:val="0"/>
        <w:pageBreakBefore w:val="0"/>
        <w:widowControl/>
        <w:kinsoku/>
        <w:wordWrap/>
        <w:overflowPunct/>
        <w:topLinePunct w:val="0"/>
        <w:autoSpaceDE/>
        <w:autoSpaceDN/>
        <w:bidi w:val="0"/>
        <w:adjustRightInd/>
        <w:spacing w:line="380" w:lineRule="exact"/>
        <w:rPr>
          <w:rFonts w:hint="eastAsia" w:ascii="宋体" w:hAnsi="宋体" w:eastAsia="宋体" w:cs="宋体"/>
          <w:b/>
          <w:bCs/>
          <w:color w:val="auto"/>
          <w:sz w:val="24"/>
          <w:highlight w:val="none"/>
        </w:rPr>
      </w:pPr>
      <w:bookmarkStart w:id="1610" w:name="_Toc7467"/>
      <w:bookmarkStart w:id="1611" w:name="_Toc5578"/>
      <w:bookmarkStart w:id="1612" w:name="_Toc6128"/>
      <w:bookmarkStart w:id="1613" w:name="_Toc10419"/>
      <w:bookmarkStart w:id="1614" w:name="_Toc9835"/>
      <w:bookmarkStart w:id="1615" w:name="_Toc5478"/>
      <w:bookmarkStart w:id="1616" w:name="_Toc9116"/>
      <w:bookmarkStart w:id="1617" w:name="_Toc28782"/>
      <w:bookmarkStart w:id="1618" w:name="_Toc29085"/>
      <w:bookmarkStart w:id="1619" w:name="_Toc23103"/>
      <w:bookmarkStart w:id="1620" w:name="_Toc21578"/>
      <w:bookmarkStart w:id="1621" w:name="_Toc5776"/>
      <w:bookmarkStart w:id="1622" w:name="_Toc1327"/>
      <w:bookmarkStart w:id="1623" w:name="_Toc5986"/>
      <w:bookmarkStart w:id="1624" w:name="_Toc21866"/>
      <w:bookmarkStart w:id="1625" w:name="_Toc25901"/>
      <w:bookmarkStart w:id="1626" w:name="_Toc19412"/>
      <w:r>
        <w:rPr>
          <w:rFonts w:hint="eastAsia" w:ascii="宋体" w:hAnsi="宋体" w:eastAsia="宋体" w:cs="宋体"/>
          <w:b/>
          <w:bCs/>
          <w:color w:val="auto"/>
          <w:sz w:val="24"/>
          <w:highlight w:val="none"/>
        </w:rPr>
        <w:t>1.投标无效的情形：</w:t>
      </w:r>
    </w:p>
    <w:p>
      <w:pPr>
        <w:keepNext w:val="0"/>
        <w:keepLines w:val="0"/>
        <w:pageBreakBefore w:val="0"/>
        <w:widowControl/>
        <w:kinsoku/>
        <w:wordWrap/>
        <w:overflowPunct/>
        <w:topLinePunct w:val="0"/>
        <w:autoSpaceDE/>
        <w:autoSpaceDN/>
        <w:bidi w:val="0"/>
        <w:adjustRightInd/>
        <w:spacing w:line="3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（1）单位负责人为同一人或者存在直接控股、管理关系的不同供应商，其相关投标将被认定为投标无效。</w:t>
      </w:r>
    </w:p>
    <w:p>
      <w:pPr>
        <w:keepNext w:val="0"/>
        <w:keepLines w:val="0"/>
        <w:pageBreakBefore w:val="0"/>
        <w:widowControl/>
        <w:kinsoku/>
        <w:wordWrap/>
        <w:overflowPunct/>
        <w:topLinePunct w:val="0"/>
        <w:autoSpaceDE/>
        <w:autoSpaceDN/>
        <w:bidi w:val="0"/>
        <w:adjustRightInd/>
        <w:spacing w:line="3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（2）供应商报价超过招标文件规定的预算金额或者分项、分包最高限价的，其投标将被认定为投标无效。</w:t>
      </w:r>
    </w:p>
    <w:p>
      <w:pPr>
        <w:keepNext w:val="0"/>
        <w:keepLines w:val="0"/>
        <w:pageBreakBefore w:val="0"/>
        <w:widowControl/>
        <w:kinsoku/>
        <w:wordWrap/>
        <w:overflowPunct/>
        <w:topLinePunct w:val="0"/>
        <w:autoSpaceDE/>
        <w:autoSpaceDN/>
        <w:bidi w:val="0"/>
        <w:adjustRightInd/>
        <w:spacing w:line="3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供应商应认真阅读招标文件所有的事项、格式、条款和技术规范等。如供应商没有按照招标文件要求提交全部资料，或者投标文件没有对投标文件在各方面都做出实质性响应，可能导致其投标将被认定为投标无效。</w:t>
      </w:r>
    </w:p>
    <w:p>
      <w:pPr>
        <w:keepNext w:val="0"/>
        <w:keepLines w:val="0"/>
        <w:pageBreakBefore w:val="0"/>
        <w:widowControl/>
        <w:kinsoku/>
        <w:wordWrap/>
        <w:overflowPunct/>
        <w:topLinePunct w:val="0"/>
        <w:autoSpaceDE/>
        <w:autoSpaceDN/>
        <w:bidi w:val="0"/>
        <w:adjustRightInd/>
        <w:spacing w:line="3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）供应商应当对所投分包投标文件中“</w:t>
      </w:r>
      <w:r>
        <w:rPr>
          <w:rFonts w:hint="eastAsia" w:ascii="宋体" w:hAnsi="宋体" w:eastAsia="宋体" w:cs="宋体"/>
          <w:color w:val="auto"/>
          <w:sz w:val="24"/>
          <w:highlight w:val="none"/>
          <w:lang w:val="en-US" w:eastAsia="zh-CN"/>
        </w:rPr>
        <w:t>服务</w:t>
      </w:r>
      <w:r>
        <w:rPr>
          <w:rFonts w:hint="eastAsia" w:ascii="宋体" w:hAnsi="宋体" w:eastAsia="宋体" w:cs="宋体"/>
          <w:color w:val="auto"/>
          <w:sz w:val="24"/>
          <w:highlight w:val="none"/>
        </w:rPr>
        <w:t>内容”所列的所有内容进行投标，如仅响应某一包中的部分内容，其该包投标将被认定为投标无效。</w:t>
      </w:r>
    </w:p>
    <w:p>
      <w:pPr>
        <w:keepNext w:val="0"/>
        <w:keepLines w:val="0"/>
        <w:pageBreakBefore w:val="0"/>
        <w:widowControl/>
        <w:kinsoku/>
        <w:wordWrap/>
        <w:overflowPunct/>
        <w:topLinePunct w:val="0"/>
        <w:autoSpaceDE/>
        <w:autoSpaceDN/>
        <w:bidi w:val="0"/>
        <w:adjustRightInd/>
        <w:spacing w:line="3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）供应商未按本须知第12.1和12.3条规定提交投标保证金的，其投标资格将被认定为投标无效。</w:t>
      </w:r>
    </w:p>
    <w:p>
      <w:pPr>
        <w:keepNext w:val="0"/>
        <w:keepLines w:val="0"/>
        <w:pageBreakBefore w:val="0"/>
        <w:widowControl/>
        <w:kinsoku/>
        <w:wordWrap/>
        <w:overflowPunct/>
        <w:topLinePunct w:val="0"/>
        <w:autoSpaceDE/>
        <w:autoSpaceDN/>
        <w:bidi w:val="0"/>
        <w:adjustRightInd/>
        <w:spacing w:line="3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）所有投标均以人民币报价。供应商的投标报价应遵守《中华人民共和国价格法》。同时，根据《中华人民共和国政府采购法》第二条的规定，为保证公平竞争，如有</w:t>
      </w:r>
      <w:r>
        <w:rPr>
          <w:rFonts w:hint="eastAsia" w:ascii="宋体" w:hAnsi="宋体" w:eastAsia="宋体" w:cs="宋体"/>
          <w:color w:val="auto"/>
          <w:sz w:val="24"/>
          <w:highlight w:val="none"/>
          <w:lang w:val="en-US" w:eastAsia="zh-CN"/>
        </w:rPr>
        <w:t>服务</w:t>
      </w:r>
      <w:r>
        <w:rPr>
          <w:rFonts w:hint="eastAsia" w:ascii="宋体" w:hAnsi="宋体" w:eastAsia="宋体" w:cs="宋体"/>
          <w:color w:val="auto"/>
          <w:sz w:val="24"/>
          <w:highlight w:val="none"/>
        </w:rPr>
        <w:t>主体部分的赠与行为，其投标将被认定为投标无效。</w:t>
      </w:r>
    </w:p>
    <w:p>
      <w:pPr>
        <w:keepNext w:val="0"/>
        <w:keepLines w:val="0"/>
        <w:pageBreakBefore w:val="0"/>
        <w:widowControl/>
        <w:kinsoku/>
        <w:wordWrap/>
        <w:overflowPunct/>
        <w:topLinePunct w:val="0"/>
        <w:autoSpaceDE/>
        <w:autoSpaceDN/>
        <w:bidi w:val="0"/>
        <w:adjustRightInd/>
        <w:spacing w:line="3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）供应商所报的各分项投标单价在合同履行过程中是固定不变的，不得以任何理由予以变更。任何包含价格调整要求的投标，其投标将被认定为投标无效。</w:t>
      </w:r>
    </w:p>
    <w:p>
      <w:pPr>
        <w:keepNext w:val="0"/>
        <w:keepLines w:val="0"/>
        <w:pageBreakBefore w:val="0"/>
        <w:widowControl/>
        <w:kinsoku/>
        <w:wordWrap/>
        <w:overflowPunct/>
        <w:topLinePunct w:val="0"/>
        <w:autoSpaceDE/>
        <w:autoSpaceDN/>
        <w:bidi w:val="0"/>
        <w:adjustRightInd/>
        <w:spacing w:line="3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）投标应在供应商须知资料表中规定时间内保持有效。投标有效期不满足要求的投标，其投标将被认定为投标无效。</w:t>
      </w:r>
    </w:p>
    <w:p>
      <w:pPr>
        <w:keepNext w:val="0"/>
        <w:keepLines w:val="0"/>
        <w:pageBreakBefore w:val="0"/>
        <w:widowControl/>
        <w:kinsoku/>
        <w:wordWrap/>
        <w:overflowPunct/>
        <w:topLinePunct w:val="0"/>
        <w:autoSpaceDE/>
        <w:autoSpaceDN/>
        <w:bidi w:val="0"/>
        <w:adjustRightInd/>
        <w:spacing w:line="3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）所有投标文件采用不可拆装的胶订方式装订，否则其投标将被认定为投标无效。</w:t>
      </w:r>
    </w:p>
    <w:p>
      <w:pPr>
        <w:keepNext w:val="0"/>
        <w:keepLines w:val="0"/>
        <w:pageBreakBefore w:val="0"/>
        <w:widowControl/>
        <w:kinsoku/>
        <w:wordWrap/>
        <w:overflowPunct/>
        <w:topLinePunct w:val="0"/>
        <w:autoSpaceDE/>
        <w:autoSpaceDN/>
        <w:bidi w:val="0"/>
        <w:adjustRightInd/>
        <w:spacing w:line="3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10</w:t>
      </w:r>
      <w:r>
        <w:rPr>
          <w:rFonts w:hint="eastAsia" w:ascii="宋体" w:hAnsi="宋体" w:eastAsia="宋体" w:cs="宋体"/>
          <w:color w:val="auto"/>
          <w:sz w:val="24"/>
          <w:highlight w:val="none"/>
        </w:rPr>
        <w:t>）采购人或采购代理机构将在开标前1个工作日至投标截止后1小时的期间内查询供应商的信用记录。供应商存在不良信用记录的，其投标将被认定为投标无效。</w:t>
      </w:r>
    </w:p>
    <w:p>
      <w:pPr>
        <w:keepNext w:val="0"/>
        <w:keepLines w:val="0"/>
        <w:pageBreakBefore w:val="0"/>
        <w:widowControl/>
        <w:kinsoku/>
        <w:wordWrap/>
        <w:overflowPunct/>
        <w:topLinePunct w:val="0"/>
        <w:autoSpaceDE/>
        <w:autoSpaceDN/>
        <w:bidi w:val="0"/>
        <w:adjustRightInd/>
        <w:spacing w:line="3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11</w:t>
      </w:r>
      <w:r>
        <w:rPr>
          <w:rFonts w:hint="eastAsia" w:ascii="宋体" w:hAnsi="宋体" w:eastAsia="宋体" w:cs="宋体"/>
          <w:color w:val="auto"/>
          <w:sz w:val="24"/>
          <w:highlight w:val="none"/>
        </w:rPr>
        <w:t>）总价金额与按单价汇总金额不一致的，以单价金额计算结果为准。同时出现两种以上不一致的，按照前款规定的顺序修正。修正后的报价按照第20.2条的规定经供应商确认后产生约束力，供应商不确认的，其投标将被认定为投标无效。</w:t>
      </w:r>
    </w:p>
    <w:p>
      <w:pPr>
        <w:keepNext w:val="0"/>
        <w:keepLines w:val="0"/>
        <w:pageBreakBefore w:val="0"/>
        <w:widowControl/>
        <w:kinsoku/>
        <w:wordWrap/>
        <w:overflowPunct/>
        <w:topLinePunct w:val="0"/>
        <w:autoSpaceDE/>
        <w:autoSpaceDN/>
        <w:bidi w:val="0"/>
        <w:adjustRightInd/>
        <w:spacing w:line="3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12</w:t>
      </w:r>
      <w:r>
        <w:rPr>
          <w:rFonts w:hint="eastAsia" w:ascii="宋体" w:hAnsi="宋体" w:eastAsia="宋体" w:cs="宋体"/>
          <w:color w:val="auto"/>
          <w:sz w:val="24"/>
          <w:highlight w:val="none"/>
        </w:rPr>
        <w:t>）在比较与评价之前，根据本须知的规定，评标委员会要审查每份投标文件是否实质上响应了投标文件的要求。实质上响应的投标应该是与投标文件要求的全部条款、条件和规格相符，没有重大偏离的投标。对关键条款的偏离，将被认定为投标无效。</w:t>
      </w:r>
    </w:p>
    <w:p>
      <w:pPr>
        <w:keepNext w:val="0"/>
        <w:keepLines w:val="0"/>
        <w:pageBreakBefore w:val="0"/>
        <w:widowControl/>
        <w:kinsoku/>
        <w:wordWrap/>
        <w:overflowPunct/>
        <w:topLinePunct w:val="0"/>
        <w:autoSpaceDE/>
        <w:autoSpaceDN/>
        <w:bidi w:val="0"/>
        <w:adjustRightInd/>
        <w:spacing w:line="3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13</w:t>
      </w:r>
      <w:r>
        <w:rPr>
          <w:rFonts w:hint="eastAsia" w:ascii="宋体" w:hAnsi="宋体" w:eastAsia="宋体" w:cs="宋体"/>
          <w:color w:val="auto"/>
          <w:sz w:val="24"/>
          <w:highlight w:val="none"/>
        </w:rPr>
        <w:t>）如发现下列情况之一的，其投标将被认定为投标无效：未按招标文件规定的形式和金额提交投标保证金的；未按照招标文件规定要求签署、盖章的；未满足招标文件中技术条款的实质性要求；与其他供应商串通投标，或者与</w:t>
      </w:r>
      <w:r>
        <w:rPr>
          <w:rFonts w:hint="eastAsia" w:ascii="宋体" w:hAnsi="宋体" w:eastAsia="宋体" w:cs="宋体"/>
          <w:color w:val="auto"/>
          <w:sz w:val="24"/>
          <w:highlight w:val="none"/>
          <w:lang w:eastAsia="zh-CN"/>
        </w:rPr>
        <w:t>采购人</w:t>
      </w:r>
      <w:r>
        <w:rPr>
          <w:rFonts w:hint="eastAsia" w:ascii="宋体" w:hAnsi="宋体" w:eastAsia="宋体" w:cs="宋体"/>
          <w:color w:val="auto"/>
          <w:sz w:val="24"/>
          <w:highlight w:val="none"/>
        </w:rPr>
        <w:t>串通投标；属于招标文件规定的其他投标无效情形；评标委员会认为供应商的报价明显低于其他通过符合性检查供应商的报价，有可能影响履约的，且供应商未按照规定证明其报价合理性的；招标文件含有采购人不能接受的附加条件的；不符合法规和招标文件中规定的其他实质性要求的。</w:t>
      </w:r>
    </w:p>
    <w:p>
      <w:pPr>
        <w:keepNext w:val="0"/>
        <w:keepLines w:val="0"/>
        <w:pageBreakBefore w:val="0"/>
        <w:widowControl/>
        <w:kinsoku/>
        <w:wordWrap/>
        <w:overflowPunct/>
        <w:topLinePunct w:val="0"/>
        <w:autoSpaceDE/>
        <w:autoSpaceDN/>
        <w:bidi w:val="0"/>
        <w:adjustRightInd/>
        <w:spacing w:line="380" w:lineRule="exact"/>
        <w:jc w:val="left"/>
        <w:rPr>
          <w:rFonts w:hint="eastAsia" w:ascii="宋体" w:hAnsi="宋体" w:cs="宋体"/>
          <w:b/>
          <w:bCs/>
          <w:color w:val="auto"/>
          <w:sz w:val="24"/>
          <w:highlight w:val="none"/>
          <w:lang w:val="en-US" w:eastAsia="zh-CN"/>
        </w:rPr>
      </w:pPr>
      <w:r>
        <w:rPr>
          <w:rFonts w:hint="eastAsia" w:ascii="宋体" w:hAnsi="宋体" w:eastAsia="宋体" w:cs="宋体"/>
          <w:b/>
          <w:bCs/>
          <w:color w:val="auto"/>
          <w:sz w:val="24"/>
          <w:highlight w:val="none"/>
        </w:rPr>
        <w:t>2</w:t>
      </w:r>
      <w:r>
        <w:rPr>
          <w:rFonts w:hint="eastAsia" w:ascii="宋体" w:hAnsi="宋体" w:eastAsia="宋体" w:cs="宋体"/>
          <w:b/>
          <w:bCs/>
          <w:color w:val="auto"/>
          <w:sz w:val="24"/>
          <w:highlight w:val="none"/>
          <w:lang w:val="en-US" w:eastAsia="zh-CN"/>
        </w:rPr>
        <w:t>.</w:t>
      </w:r>
      <w:r>
        <w:rPr>
          <w:rFonts w:hint="eastAsia" w:ascii="宋体" w:hAnsi="宋体" w:eastAsia="宋体" w:cs="宋体"/>
          <w:b/>
          <w:bCs/>
          <w:color w:val="auto"/>
          <w:sz w:val="24"/>
          <w:highlight w:val="none"/>
          <w:lang w:eastAsia="zh-CN"/>
        </w:rPr>
        <w:t>本项目</w:t>
      </w:r>
      <w:r>
        <w:rPr>
          <w:rFonts w:hint="eastAsia" w:ascii="宋体" w:hAnsi="宋体" w:cs="宋体"/>
          <w:b/>
          <w:bCs/>
          <w:color w:val="auto"/>
          <w:sz w:val="24"/>
          <w:highlight w:val="none"/>
          <w:lang w:eastAsia="zh-CN"/>
        </w:rPr>
        <w:t>专门</w:t>
      </w:r>
      <w:r>
        <w:rPr>
          <w:rFonts w:hint="eastAsia" w:ascii="宋体" w:hAnsi="宋体" w:eastAsia="宋体" w:cs="宋体"/>
          <w:b/>
          <w:bCs/>
          <w:color w:val="auto"/>
          <w:sz w:val="24"/>
          <w:highlight w:val="none"/>
          <w:lang w:eastAsia="zh-CN"/>
        </w:rPr>
        <w:t>面向中小企业采购。根据《政府采购促进中小企业发展管理办法》（财库[2020]46号）、《财政部司法部关于政府采购支持监狱企业发展有关问 题 的通知》（财库〔2014〕68号）、《三部门联合发布关于促进残疾人就业政府采购政策的通知》（财库〔2017〕141号）和《财政部关于进一步加大政府采购支持中小企业力度的通知》财库〔2022〕19号的规定，其中小型、微型及小微企业在投标文件中提交了《中小企业声明函》、《残疾人福利性单位声明函》或省级以上监狱管理局、戒毒管理局（含新疆生产建设兵团）出具的属于监狱企业的证明文件的供应商，其报价</w:t>
      </w:r>
      <w:r>
        <w:rPr>
          <w:rFonts w:hint="eastAsia" w:ascii="宋体" w:hAnsi="宋体" w:cs="宋体"/>
          <w:b/>
          <w:bCs/>
          <w:color w:val="auto"/>
          <w:sz w:val="24"/>
          <w:highlight w:val="none"/>
          <w:lang w:eastAsia="zh-CN"/>
        </w:rPr>
        <w:t>不进行</w:t>
      </w:r>
      <w:r>
        <w:rPr>
          <w:rFonts w:hint="eastAsia" w:ascii="宋体" w:hAnsi="宋体" w:eastAsia="宋体" w:cs="宋体"/>
          <w:b/>
          <w:bCs/>
          <w:color w:val="auto"/>
          <w:sz w:val="24"/>
          <w:highlight w:val="none"/>
          <w:lang w:eastAsia="zh-CN"/>
        </w:rPr>
        <w:t>扣除。</w:t>
      </w:r>
      <w:r>
        <w:rPr>
          <w:rFonts w:hint="eastAsia" w:ascii="宋体" w:hAnsi="宋体" w:cs="宋体"/>
          <w:b/>
          <w:bCs/>
          <w:color w:val="auto"/>
          <w:sz w:val="24"/>
          <w:highlight w:val="none"/>
          <w:lang w:eastAsia="zh-CN"/>
        </w:rPr>
        <w:t>具体办法详见招标文件第</w:t>
      </w:r>
      <w:r>
        <w:rPr>
          <w:rFonts w:hint="eastAsia" w:ascii="宋体" w:hAnsi="宋体" w:cs="宋体"/>
          <w:b/>
          <w:bCs/>
          <w:color w:val="auto"/>
          <w:sz w:val="24"/>
          <w:highlight w:val="none"/>
          <w:lang w:val="en-US" w:eastAsia="zh-CN"/>
        </w:rPr>
        <w:t>6章。</w:t>
      </w:r>
    </w:p>
    <w:p>
      <w:pPr>
        <w:keepNext w:val="0"/>
        <w:keepLines w:val="0"/>
        <w:pageBreakBefore w:val="0"/>
        <w:widowControl/>
        <w:kinsoku/>
        <w:wordWrap/>
        <w:overflowPunct/>
        <w:topLinePunct w:val="0"/>
        <w:autoSpaceDE/>
        <w:autoSpaceDN/>
        <w:bidi w:val="0"/>
        <w:adjustRightInd/>
        <w:spacing w:line="380" w:lineRule="exact"/>
        <w:jc w:val="left"/>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3.联合协议中约定</w:t>
      </w:r>
      <w:r>
        <w:rPr>
          <w:rFonts w:hint="eastAsia" w:ascii="宋体" w:hAnsi="宋体" w:eastAsia="宋体" w:cs="宋体"/>
          <w:color w:val="auto"/>
          <w:sz w:val="24"/>
          <w:highlight w:val="none"/>
        </w:rPr>
        <w:t>，小型、微型企业和监狱企业的协议合同金额占到联合体协议合同总金额30%以上的，可给予联合体</w:t>
      </w:r>
      <w:r>
        <w:rPr>
          <w:rFonts w:hint="eastAsia" w:ascii="宋体" w:hAnsi="宋体" w:eastAsia="宋体" w:cs="宋体"/>
          <w:color w:val="auto"/>
          <w:sz w:val="24"/>
          <w:highlight w:val="none"/>
          <w:u w:val="single"/>
        </w:rPr>
        <w:t xml:space="preserve"> 2%-3%</w:t>
      </w:r>
      <w:r>
        <w:rPr>
          <w:rFonts w:hint="eastAsia" w:ascii="宋体" w:hAnsi="宋体" w:eastAsia="宋体" w:cs="宋体"/>
          <w:color w:val="auto"/>
          <w:sz w:val="24"/>
          <w:highlight w:val="none"/>
        </w:rPr>
        <w:t>的价格扣除。</w:t>
      </w:r>
      <w:r>
        <w:rPr>
          <w:rFonts w:hint="eastAsia" w:ascii="宋体" w:hAnsi="宋体" w:eastAsia="宋体" w:cs="宋体"/>
          <w:b/>
          <w:bCs/>
          <w:color w:val="auto"/>
          <w:sz w:val="24"/>
          <w:highlight w:val="none"/>
        </w:rPr>
        <w:t>（本项目不适用）</w:t>
      </w:r>
    </w:p>
    <w:p>
      <w:pPr>
        <w:keepNext w:val="0"/>
        <w:keepLines w:val="0"/>
        <w:pageBreakBefore w:val="0"/>
        <w:widowControl/>
        <w:kinsoku/>
        <w:wordWrap/>
        <w:overflowPunct/>
        <w:topLinePunct w:val="0"/>
        <w:autoSpaceDE/>
        <w:autoSpaceDN/>
        <w:bidi w:val="0"/>
        <w:adjustRightInd/>
        <w:spacing w:line="38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联合体各方均为小型、微型企业和监狱企业的，联合体视同为小型、微型企业和监狱企业。</w:t>
      </w:r>
    </w:p>
    <w:p>
      <w:pPr>
        <w:pStyle w:val="12"/>
        <w:keepNext w:val="0"/>
        <w:keepLines w:val="0"/>
        <w:pageBreakBefore w:val="0"/>
        <w:tabs>
          <w:tab w:val="clear" w:pos="567"/>
        </w:tabs>
        <w:kinsoku/>
        <w:wordWrap/>
        <w:overflowPunct/>
        <w:topLinePunct w:val="0"/>
        <w:autoSpaceDE/>
        <w:autoSpaceDN/>
        <w:bidi w:val="0"/>
        <w:adjustRightInd/>
        <w:spacing w:before="0" w:line="380" w:lineRule="exact"/>
        <w:rPr>
          <w:rFonts w:hint="eastAsia" w:ascii="宋体" w:hAnsi="宋体" w:eastAsia="宋体" w:cs="宋体"/>
          <w:color w:val="auto"/>
          <w:highlight w:val="none"/>
        </w:rPr>
      </w:pPr>
      <w:r>
        <w:rPr>
          <w:rFonts w:hint="eastAsia" w:ascii="宋体" w:hAnsi="宋体" w:eastAsia="宋体" w:cs="宋体"/>
          <w:b/>
          <w:bCs/>
          <w:color w:val="auto"/>
          <w:highlight w:val="none"/>
        </w:rPr>
        <w:t>4.供应商</w:t>
      </w:r>
      <w:r>
        <w:rPr>
          <w:rFonts w:hint="eastAsia" w:ascii="宋体" w:hAnsi="宋体" w:eastAsia="宋体" w:cs="宋体"/>
          <w:color w:val="auto"/>
          <w:highlight w:val="none"/>
        </w:rPr>
        <w:t>为提供服务需求在投标中伴随投标的产品如被列入财政部与国家主管部门颁发的节能产品目录或环境标志产品目录或无线局域网产品目录，应提供相关证明，在评标时予以优先采购，具体优惠措施为：</w:t>
      </w:r>
      <w:r>
        <w:rPr>
          <w:rFonts w:hint="eastAsia" w:ascii="宋体" w:hAnsi="宋体" w:eastAsia="宋体" w:cs="宋体"/>
          <w:color w:val="auto"/>
          <w:highlight w:val="none"/>
          <w:u w:val="single"/>
        </w:rPr>
        <w:t>投标商所投产品应优先选择《财政部 国家发展改革委关于调整公布第二十四期节能产品政府采购清单的通知》（财库〔2018〕73号）、《财政部 环境保护部关于调整公布第二十二期环境标志产品政府采购清单的通知》（财库〔2018〕70号）目录内的产品（须提供节能、环保认证证书复印件加盖公章）</w:t>
      </w:r>
      <w:r>
        <w:rPr>
          <w:rFonts w:hint="eastAsia" w:ascii="宋体" w:hAnsi="宋体" w:eastAsia="宋体" w:cs="宋体"/>
          <w:color w:val="auto"/>
          <w:highlight w:val="none"/>
        </w:rPr>
        <w:t>。</w:t>
      </w:r>
    </w:p>
    <w:p>
      <w:pPr>
        <w:pStyle w:val="12"/>
        <w:keepNext w:val="0"/>
        <w:keepLines w:val="0"/>
        <w:pageBreakBefore w:val="0"/>
        <w:tabs>
          <w:tab w:val="clear" w:pos="567"/>
        </w:tabs>
        <w:kinsoku/>
        <w:wordWrap/>
        <w:overflowPunct/>
        <w:topLinePunct w:val="0"/>
        <w:autoSpaceDE/>
        <w:autoSpaceDN/>
        <w:bidi w:val="0"/>
        <w:adjustRightInd/>
        <w:spacing w:before="0" w:line="380" w:lineRule="exact"/>
        <w:rPr>
          <w:rFonts w:hint="eastAsia" w:ascii="宋体" w:hAnsi="宋体" w:eastAsia="宋体" w:cs="宋体"/>
          <w:color w:val="auto"/>
          <w:highlight w:val="none"/>
          <w:u w:val="single"/>
        </w:rPr>
      </w:pPr>
      <w:r>
        <w:rPr>
          <w:rFonts w:hint="eastAsia" w:ascii="宋体" w:hAnsi="宋体" w:eastAsia="宋体" w:cs="宋体"/>
          <w:b/>
          <w:bCs/>
          <w:color w:val="auto"/>
          <w:highlight w:val="none"/>
        </w:rPr>
        <w:t>5.对创新产</w:t>
      </w:r>
      <w:r>
        <w:rPr>
          <w:rFonts w:hint="eastAsia" w:ascii="宋体" w:hAnsi="宋体" w:eastAsia="宋体" w:cs="宋体"/>
          <w:color w:val="auto"/>
          <w:highlight w:val="none"/>
        </w:rPr>
        <w:t>品或创新性企业的优惠措施为：</w:t>
      </w:r>
      <w:r>
        <w:rPr>
          <w:rFonts w:hint="eastAsia" w:ascii="宋体" w:hAnsi="宋体" w:eastAsia="宋体" w:cs="宋体"/>
          <w:color w:val="auto"/>
          <w:highlight w:val="none"/>
          <w:u w:val="single"/>
        </w:rPr>
        <w:t xml:space="preserve">     /      </w:t>
      </w:r>
    </w:p>
    <w:p>
      <w:pPr>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80" w:lineRule="exact"/>
        <w:jc w:val="both"/>
        <w:textAlignment w:val="baseline"/>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6.开标：</w:t>
      </w:r>
    </w:p>
    <w:p>
      <w:pPr>
        <w:pStyle w:val="21"/>
        <w:keepNext w:val="0"/>
        <w:keepLines w:val="0"/>
        <w:pageBreakBefore w:val="0"/>
        <w:kinsoku/>
        <w:wordWrap/>
        <w:overflowPunct/>
        <w:topLinePunct w:val="0"/>
        <w:autoSpaceDE/>
        <w:autoSpaceDN/>
        <w:bidi w:val="0"/>
        <w:adjustRightInd/>
        <w:spacing w:line="380" w:lineRule="exac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（1）采购人和采购代理机构将按供应商须知资料表中规定的开标时间和地点组织公开开标并邀请所有供应商代表参加。</w:t>
      </w:r>
    </w:p>
    <w:p>
      <w:pPr>
        <w:pStyle w:val="21"/>
        <w:keepNext w:val="0"/>
        <w:keepLines w:val="0"/>
        <w:pageBreakBefore w:val="0"/>
        <w:kinsoku/>
        <w:wordWrap/>
        <w:overflowPunct/>
        <w:topLinePunct w:val="0"/>
        <w:autoSpaceDE/>
        <w:autoSpaceDN/>
        <w:bidi w:val="0"/>
        <w:adjustRightInd/>
        <w:spacing w:line="380" w:lineRule="exac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开标时，由供应商或其推选的代表检查自己或所代表的投标文件的密封情况，经记录后，由采购人或采购代理机构当众拆封投标文件第一部分，宣读供应商名称、投标价格及招标文件规定的内容。对于供应商在投标截止期前递交的投标声明，在开标时当众宣读，评标时有效。</w:t>
      </w:r>
    </w:p>
    <w:p>
      <w:pPr>
        <w:pStyle w:val="21"/>
        <w:keepNext w:val="0"/>
        <w:keepLines w:val="0"/>
        <w:pageBreakBefore w:val="0"/>
        <w:kinsoku/>
        <w:wordWrap/>
        <w:overflowPunct/>
        <w:topLinePunct w:val="0"/>
        <w:autoSpaceDE/>
        <w:autoSpaceDN/>
        <w:bidi w:val="0"/>
        <w:adjustRightInd/>
        <w:spacing w:line="380" w:lineRule="exac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（3）未宣读投标价格、价格折扣等实质内容，评标时不予承认。</w:t>
      </w:r>
    </w:p>
    <w:p>
      <w:pPr>
        <w:pStyle w:val="21"/>
        <w:keepNext w:val="0"/>
        <w:keepLines w:val="0"/>
        <w:pageBreakBefore w:val="0"/>
        <w:kinsoku/>
        <w:wordWrap/>
        <w:overflowPunct/>
        <w:topLinePunct w:val="0"/>
        <w:autoSpaceDE/>
        <w:autoSpaceDN/>
        <w:bidi w:val="0"/>
        <w:adjustRightInd/>
        <w:spacing w:line="380" w:lineRule="exac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（4）采购人或采购代理机构将对开标过程进行记录，由参加开标的各供应商代表和相关工作人员签字确认，并存档备查。</w:t>
      </w:r>
    </w:p>
    <w:p>
      <w:pPr>
        <w:pStyle w:val="21"/>
        <w:keepNext w:val="0"/>
        <w:keepLines w:val="0"/>
        <w:pageBreakBefore w:val="0"/>
        <w:kinsoku/>
        <w:wordWrap/>
        <w:overflowPunct/>
        <w:topLinePunct w:val="0"/>
        <w:autoSpaceDE/>
        <w:autoSpaceDN/>
        <w:bidi w:val="0"/>
        <w:adjustRightInd/>
        <w:spacing w:line="380" w:lineRule="exac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（5）供应商代表对开标过程和开标记录有疑义，以及认为采购人、采购代理机构相关工作人员有需要回避的情形的，应当场提出询问或者回避申请。</w:t>
      </w:r>
    </w:p>
    <w:p>
      <w:pPr>
        <w:pStyle w:val="21"/>
        <w:keepNext w:val="0"/>
        <w:keepLines w:val="0"/>
        <w:pageBreakBefore w:val="0"/>
        <w:kinsoku/>
        <w:wordWrap/>
        <w:overflowPunct/>
        <w:topLinePunct w:val="0"/>
        <w:autoSpaceDE/>
        <w:autoSpaceDN/>
        <w:bidi w:val="0"/>
        <w:adjustRightInd/>
        <w:spacing w:line="380" w:lineRule="exact"/>
        <w:rPr>
          <w:rFonts w:hint="eastAsia" w:ascii="宋体" w:hAnsi="宋体" w:eastAsia="宋体" w:cs="宋体"/>
          <w:b/>
          <w:bCs/>
          <w:i w:val="0"/>
          <w:caps w:val="0"/>
          <w:color w:val="auto"/>
          <w:spacing w:val="0"/>
          <w:w w:val="100"/>
          <w:sz w:val="24"/>
          <w:highlight w:val="none"/>
          <w:lang w:val="en-US" w:eastAsia="zh-CN"/>
        </w:rPr>
      </w:pPr>
      <w:r>
        <w:rPr>
          <w:rFonts w:hint="eastAsia" w:ascii="宋体" w:hAnsi="宋体" w:eastAsia="宋体" w:cs="宋体"/>
          <w:b/>
          <w:bCs/>
          <w:i w:val="0"/>
          <w:caps w:val="0"/>
          <w:color w:val="auto"/>
          <w:spacing w:val="0"/>
          <w:w w:val="100"/>
          <w:sz w:val="24"/>
          <w:highlight w:val="none"/>
          <w:lang w:val="en-US" w:eastAsia="zh-CN"/>
        </w:rPr>
        <w:t>7.评标：</w:t>
      </w:r>
    </w:p>
    <w:p>
      <w:pPr>
        <w:pStyle w:val="21"/>
        <w:keepNext w:val="0"/>
        <w:keepLines w:val="0"/>
        <w:pageBreakBefore w:val="0"/>
        <w:numPr>
          <w:ilvl w:val="0"/>
          <w:numId w:val="0"/>
        </w:numPr>
        <w:kinsoku/>
        <w:wordWrap/>
        <w:overflowPunct/>
        <w:topLinePunct w:val="0"/>
        <w:autoSpaceDE/>
        <w:autoSpaceDN/>
        <w:bidi w:val="0"/>
        <w:adjustRightInd/>
        <w:spacing w:line="380" w:lineRule="exact"/>
        <w:ind w:leftChars="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（1）</w:t>
      </w:r>
      <w:r>
        <w:rPr>
          <w:rFonts w:hint="eastAsia" w:ascii="宋体" w:hAnsi="宋体" w:eastAsia="宋体" w:cs="宋体"/>
          <w:b w:val="0"/>
          <w:bCs w:val="0"/>
          <w:color w:val="auto"/>
          <w:sz w:val="24"/>
          <w:highlight w:val="none"/>
          <w:lang w:eastAsia="zh-CN"/>
        </w:rPr>
        <w:t>随机抽取</w:t>
      </w:r>
      <w:r>
        <w:rPr>
          <w:rFonts w:hint="eastAsia" w:ascii="宋体" w:hAnsi="宋体" w:cs="宋体"/>
          <w:b w:val="0"/>
          <w:bCs w:val="0"/>
          <w:color w:val="auto"/>
          <w:sz w:val="24"/>
          <w:highlight w:val="none"/>
          <w:lang w:val="en-US" w:eastAsia="zh-CN"/>
        </w:rPr>
        <w:t>7</w:t>
      </w:r>
      <w:r>
        <w:rPr>
          <w:rFonts w:hint="eastAsia" w:ascii="宋体" w:hAnsi="宋体" w:eastAsia="宋体" w:cs="宋体"/>
          <w:b w:val="0"/>
          <w:bCs w:val="0"/>
          <w:color w:val="auto"/>
          <w:sz w:val="24"/>
          <w:highlight w:val="none"/>
        </w:rPr>
        <w:t>名</w:t>
      </w:r>
      <w:r>
        <w:rPr>
          <w:rFonts w:hint="eastAsia" w:ascii="宋体" w:hAnsi="宋体" w:eastAsia="宋体" w:cs="宋体"/>
          <w:b w:val="0"/>
          <w:bCs w:val="0"/>
          <w:color w:val="auto"/>
          <w:sz w:val="24"/>
          <w:highlight w:val="none"/>
          <w:lang w:eastAsia="zh-CN"/>
        </w:rPr>
        <w:t>专家</w:t>
      </w:r>
      <w:r>
        <w:rPr>
          <w:rFonts w:hint="eastAsia" w:ascii="宋体" w:hAnsi="宋体" w:eastAsia="宋体" w:cs="宋体"/>
          <w:b w:val="0"/>
          <w:bCs w:val="0"/>
          <w:color w:val="auto"/>
          <w:sz w:val="24"/>
          <w:highlight w:val="none"/>
        </w:rPr>
        <w:t>负责评标工作。</w:t>
      </w:r>
    </w:p>
    <w:p>
      <w:pPr>
        <w:pStyle w:val="21"/>
        <w:keepNext w:val="0"/>
        <w:keepLines w:val="0"/>
        <w:pageBreakBefore w:val="0"/>
        <w:numPr>
          <w:ilvl w:val="0"/>
          <w:numId w:val="0"/>
        </w:numPr>
        <w:kinsoku/>
        <w:wordWrap/>
        <w:overflowPunct/>
        <w:topLinePunct w:val="0"/>
        <w:autoSpaceDE/>
        <w:autoSpaceDN/>
        <w:bidi w:val="0"/>
        <w:adjustRightInd/>
        <w:spacing w:line="380" w:lineRule="exact"/>
        <w:ind w:leftChars="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（2）评标前，工作人员收取所有参会人员的手机，主持人宣读评标纪律。</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Chars="0"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对采购单位的纪律要求：采购单位不得泄露招投标活动中应当保密的情况和资料，不得与供应商串通损害国家利益、社会公共利益或者他人合法权益</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Chars="0"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对与开标大会活动有关的工作人员的纪律要求：与开标大会活动有关的工作人员不得收受他人的财物或者其他好处，不得向他人透露对中标候选人的推荐情况以及评标有关的其他情况。</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Chars="0"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对评标专家的评标纪律及注意事项：</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Chars="0"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①与本次评标工作无关的人员不得进入评标现场；</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Chars="0"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②在评标过程中评标委员会以外人员不得干预或影响正常评标工作，不得明示或暗示其倾向性、引导性言论；</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Chars="0"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③评标委员会成员要严格遵守政府采购法、政府采购法实施条例、政府采购货物和服务招标投标管理办法及评标专家管理办法，要求公正、公平的参与评标工作；</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Chars="0"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④评标委员会成员要依法独立评标，并对评标意见承担个人责任。评标委员会成员对需要共同认定的事项存在争议的，按照少数服从多数的原则做出结论。持不同意见的评标委员会成员应当在评标报告上签署不同意见并说明理由，否则视为同意。</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Chars="0"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⑤评标委员会成员要认真阅读招标文件和所有供应商的投标文件，对所有投标文件逐一进行资格性、符合性检查，按招标文件规定的评标方法和标准，进行比较和评价；对需要借助专业知识评判的主观评分项，应当严格按照评分细则公正评分。</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Chars="0"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⑥评标委员会成员不得明示或者暗示其倾向性、引导性意见，不得修改或细化投标文件确定的评标程序、评标方法、评标因素和评标标准，不得接受供应商主动提出的澄清和解释，不得征询采购单位代表的倾向性意见，不得协商评分，不得记录、复制或带走任何评标资料。</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Chars="0"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⑦评标专家与供应商有下列利害关系之一的人员，应当回避</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Chars="0"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参加采购活动前3年内与供应商存在劳动关系；</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Chars="0"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参加采购活动前3年内担任供应商的董事、监事；</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Chars="0"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参加采购活动前3年内是供应商的控股股东或者实际控制人；</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Chars="0"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与供应商的法定代表人或者负责人有夫妻、直系血亲、三代以内旁系血亲或者近姻亲关系。</w:t>
      </w:r>
    </w:p>
    <w:p>
      <w:pPr>
        <w:pStyle w:val="21"/>
        <w:keepNext w:val="0"/>
        <w:keepLines w:val="0"/>
        <w:pageBreakBefore w:val="0"/>
        <w:numPr>
          <w:ilvl w:val="0"/>
          <w:numId w:val="0"/>
        </w:numPr>
        <w:kinsoku/>
        <w:wordWrap/>
        <w:overflowPunct/>
        <w:topLinePunct w:val="0"/>
        <w:autoSpaceDE/>
        <w:autoSpaceDN/>
        <w:bidi w:val="0"/>
        <w:adjustRightInd/>
        <w:spacing w:line="380" w:lineRule="exact"/>
        <w:ind w:leftChars="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eastAsia="zh-CN"/>
        </w:rPr>
        <w:t>（3）评标委员会应当按照招标文件中规定的评标方法和标准，对所有投标文件进行资格性审查，再对符合资格要求的供应商的投标文件进行符合性审查，以确定其是否满足招标文件的实质性要求。</w:t>
      </w:r>
    </w:p>
    <w:p>
      <w:pPr>
        <w:pStyle w:val="21"/>
        <w:keepNext w:val="0"/>
        <w:keepLines w:val="0"/>
        <w:pageBreakBefore w:val="0"/>
        <w:numPr>
          <w:ilvl w:val="0"/>
          <w:numId w:val="0"/>
        </w:numPr>
        <w:kinsoku/>
        <w:wordWrap/>
        <w:overflowPunct/>
        <w:topLinePunct w:val="0"/>
        <w:autoSpaceDE/>
        <w:autoSpaceDN/>
        <w:bidi w:val="0"/>
        <w:adjustRightInd/>
        <w:spacing w:line="380" w:lineRule="exact"/>
        <w:ind w:leftChars="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4）若对于投标文件中含义不明确、同类问题表述不一致或者有明显文字和计算错误的内容，评标委员会应当以书面形式要求供应商作出必要的澄清、说明或者补正。供应商的澄清、说明或者补正应当采用书面形式，并加盖公章，或者由法定代表人或其授权的代表签字。供应商的澄清、说明或者补正不得超出投标文件的范围或者改变投标文件的实质性内容。</w:t>
      </w:r>
    </w:p>
    <w:p>
      <w:pPr>
        <w:pStyle w:val="21"/>
        <w:keepNext w:val="0"/>
        <w:keepLines w:val="0"/>
        <w:pageBreakBefore w:val="0"/>
        <w:numPr>
          <w:ilvl w:val="0"/>
          <w:numId w:val="0"/>
        </w:numPr>
        <w:kinsoku/>
        <w:wordWrap/>
        <w:overflowPunct/>
        <w:topLinePunct w:val="0"/>
        <w:autoSpaceDE/>
        <w:autoSpaceDN/>
        <w:bidi w:val="0"/>
        <w:adjustRightInd/>
        <w:spacing w:line="380" w:lineRule="exact"/>
        <w:ind w:leftChars="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5）评标委员会应当按照招标文件中规定的评标方法和标准，对符合性审查合格的投标文件进行商务和技术评估，综合比较与评价。综合评分法，是指投标文件满足招标文件全部实质性要求，且按照评审因素的量化指标评审得分最高的供应商为中标候选人的评标方法。</w:t>
      </w:r>
    </w:p>
    <w:p>
      <w:pPr>
        <w:pStyle w:val="21"/>
        <w:keepNext w:val="0"/>
        <w:keepLines w:val="0"/>
        <w:pageBreakBefore w:val="0"/>
        <w:numPr>
          <w:ilvl w:val="0"/>
          <w:numId w:val="0"/>
        </w:numPr>
        <w:kinsoku/>
        <w:wordWrap/>
        <w:overflowPunct/>
        <w:topLinePunct w:val="0"/>
        <w:autoSpaceDE/>
        <w:autoSpaceDN/>
        <w:bidi w:val="0"/>
        <w:adjustRightInd/>
        <w:spacing w:line="380" w:lineRule="exact"/>
        <w:ind w:leftChars="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（6）评标委员会成员对需要共同认定的事项存在争议的，应当按照少数服从多数的原则作出结论。持不同意见的评标委员会成员应当在评标报告上签署不同意见及理由，否则视为同意评标报告。</w:t>
      </w:r>
    </w:p>
    <w:p>
      <w:pPr>
        <w:pStyle w:val="21"/>
        <w:keepNext w:val="0"/>
        <w:keepLines w:val="0"/>
        <w:pageBreakBefore w:val="0"/>
        <w:numPr>
          <w:ilvl w:val="0"/>
          <w:numId w:val="0"/>
        </w:numPr>
        <w:kinsoku/>
        <w:wordWrap/>
        <w:overflowPunct/>
        <w:topLinePunct w:val="0"/>
        <w:autoSpaceDE/>
        <w:autoSpaceDN/>
        <w:bidi w:val="0"/>
        <w:adjustRightInd/>
        <w:spacing w:line="380" w:lineRule="exact"/>
        <w:ind w:leftChars="0"/>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注：现场所有参会人员均要对开标内容进行保密。</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80" w:lineRule="exact"/>
        <w:jc w:val="both"/>
        <w:textAlignment w:val="baseline"/>
        <w:rPr>
          <w:rFonts w:hint="eastAsia" w:ascii="宋体" w:hAnsi="宋体" w:eastAsia="宋体" w:cs="宋体"/>
          <w:b/>
          <w:bCs/>
          <w:i w:val="0"/>
          <w:caps w:val="0"/>
          <w:color w:val="auto"/>
          <w:spacing w:val="0"/>
          <w:w w:val="100"/>
          <w:sz w:val="24"/>
          <w:highlight w:val="none"/>
          <w:lang w:val="en-US" w:eastAsia="zh-CN"/>
        </w:rPr>
      </w:pPr>
      <w:r>
        <w:rPr>
          <w:rFonts w:hint="eastAsia" w:ascii="宋体" w:hAnsi="宋体" w:eastAsia="宋体" w:cs="宋体"/>
          <w:b/>
          <w:bCs/>
          <w:i w:val="0"/>
          <w:caps w:val="0"/>
          <w:color w:val="auto"/>
          <w:spacing w:val="0"/>
          <w:w w:val="100"/>
          <w:sz w:val="24"/>
          <w:highlight w:val="none"/>
          <w:lang w:val="en-US" w:eastAsia="zh-CN"/>
        </w:rPr>
        <w:t>8.答疑澄清：</w:t>
      </w:r>
    </w:p>
    <w:p>
      <w:pPr>
        <w:pStyle w:val="21"/>
        <w:keepNext w:val="0"/>
        <w:keepLines w:val="0"/>
        <w:pageBreakBefore w:val="0"/>
        <w:numPr>
          <w:ilvl w:val="0"/>
          <w:numId w:val="0"/>
        </w:numPr>
        <w:kinsoku/>
        <w:wordWrap/>
        <w:overflowPunct/>
        <w:topLinePunct w:val="0"/>
        <w:autoSpaceDE/>
        <w:autoSpaceDN/>
        <w:bidi w:val="0"/>
        <w:adjustRightInd/>
        <w:spacing w:line="380" w:lineRule="exact"/>
        <w:ind w:leftChars="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（1）评标委员会对于投标文件中含义不明确、同类问题表述不一致或者有明显文字和计算错误的内容，要求供应商以书面形式现场作出必要的澄清、说明或者补正。</w:t>
      </w:r>
    </w:p>
    <w:p>
      <w:pPr>
        <w:pStyle w:val="21"/>
        <w:keepNext w:val="0"/>
        <w:keepLines w:val="0"/>
        <w:pageBreakBefore w:val="0"/>
        <w:numPr>
          <w:ilvl w:val="0"/>
          <w:numId w:val="0"/>
        </w:numPr>
        <w:kinsoku/>
        <w:wordWrap/>
        <w:overflowPunct/>
        <w:topLinePunct w:val="0"/>
        <w:autoSpaceDE/>
        <w:autoSpaceDN/>
        <w:bidi w:val="0"/>
        <w:adjustRightInd/>
        <w:spacing w:line="380" w:lineRule="exact"/>
        <w:ind w:leftChars="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（2）供应商的澄清、说明或者补正应当采用书面形式，并加盖公章，或者由法定代表人或其授权的代表签字。供应商的澄清、说明或者补正不得超出投标文件的范围或者改变投标文件的实质性内容。</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80" w:lineRule="exact"/>
        <w:jc w:val="both"/>
        <w:textAlignment w:val="baseline"/>
        <w:rPr>
          <w:rFonts w:hint="eastAsia" w:ascii="宋体" w:hAnsi="宋体" w:eastAsia="宋体" w:cs="宋体"/>
          <w:b/>
          <w:bCs/>
          <w:i w:val="0"/>
          <w:caps w:val="0"/>
          <w:color w:val="auto"/>
          <w:spacing w:val="0"/>
          <w:w w:val="100"/>
          <w:sz w:val="24"/>
          <w:highlight w:val="none"/>
          <w:lang w:val="en-US" w:eastAsia="zh-CN"/>
        </w:rPr>
      </w:pPr>
      <w:r>
        <w:rPr>
          <w:rFonts w:hint="eastAsia" w:ascii="宋体" w:hAnsi="宋体" w:eastAsia="宋体" w:cs="宋体"/>
          <w:b/>
          <w:bCs/>
          <w:i w:val="0"/>
          <w:caps w:val="0"/>
          <w:color w:val="auto"/>
          <w:spacing w:val="0"/>
          <w:w w:val="100"/>
          <w:sz w:val="24"/>
          <w:highlight w:val="none"/>
          <w:lang w:val="en-US" w:eastAsia="zh-CN"/>
        </w:rPr>
        <w:t>9.定标：</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80" w:lineRule="exact"/>
        <w:jc w:val="both"/>
        <w:textAlignment w:val="baseline"/>
        <w:rPr>
          <w:rFonts w:hint="eastAsia" w:ascii="宋体" w:hAnsi="宋体" w:eastAsia="宋体" w:cs="宋体"/>
          <w:b w:val="0"/>
          <w:i w:val="0"/>
          <w:caps w:val="0"/>
          <w:color w:val="auto"/>
          <w:spacing w:val="0"/>
          <w:w w:val="100"/>
          <w:sz w:val="24"/>
          <w:highlight w:val="none"/>
          <w:lang w:val="en-US" w:eastAsia="zh-CN"/>
        </w:rPr>
      </w:pPr>
      <w:r>
        <w:rPr>
          <w:rFonts w:hint="eastAsia" w:ascii="宋体" w:hAnsi="宋体" w:eastAsia="宋体" w:cs="宋体"/>
          <w:b w:val="0"/>
          <w:i w:val="0"/>
          <w:caps w:val="0"/>
          <w:color w:val="auto"/>
          <w:spacing w:val="0"/>
          <w:w w:val="100"/>
          <w:sz w:val="24"/>
          <w:highlight w:val="none"/>
          <w:lang w:val="en-US" w:eastAsia="zh-CN"/>
        </w:rPr>
        <w:t>（1）采购代理机构应当在评标结束后2个工作日内将评标报告送采购人。</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80" w:lineRule="exact"/>
        <w:jc w:val="both"/>
        <w:textAlignment w:val="baseline"/>
        <w:rPr>
          <w:rFonts w:hint="eastAsia" w:ascii="宋体" w:hAnsi="宋体" w:eastAsia="宋体" w:cs="宋体"/>
          <w:b w:val="0"/>
          <w:i w:val="0"/>
          <w:caps w:val="0"/>
          <w:color w:val="auto"/>
          <w:spacing w:val="0"/>
          <w:w w:val="100"/>
          <w:sz w:val="24"/>
          <w:highlight w:val="none"/>
          <w:lang w:val="en-US" w:eastAsia="zh-CN"/>
        </w:rPr>
      </w:pPr>
      <w:r>
        <w:rPr>
          <w:rFonts w:hint="eastAsia" w:ascii="宋体" w:hAnsi="宋体" w:eastAsia="宋体" w:cs="宋体"/>
          <w:b w:val="0"/>
          <w:i w:val="0"/>
          <w:caps w:val="0"/>
          <w:color w:val="auto"/>
          <w:spacing w:val="0"/>
          <w:w w:val="100"/>
          <w:sz w:val="24"/>
          <w:highlight w:val="none"/>
          <w:lang w:val="en-US" w:eastAsia="zh-CN"/>
        </w:rPr>
        <w:t>（2）采购人应当自收到评标报告之日起５个工作日内，在评标报告确定的中标候选人名单中按顺序确定中标人。中标候选人并列的，由采购人按照招标文件规定的方式确定中标人。</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80" w:lineRule="exact"/>
        <w:jc w:val="both"/>
        <w:textAlignment w:val="baseline"/>
        <w:rPr>
          <w:rFonts w:hint="eastAsia" w:ascii="宋体" w:hAnsi="宋体" w:eastAsia="宋体" w:cs="宋体"/>
          <w:b w:val="0"/>
          <w:i w:val="0"/>
          <w:caps w:val="0"/>
          <w:color w:val="auto"/>
          <w:spacing w:val="0"/>
          <w:w w:val="100"/>
          <w:sz w:val="24"/>
          <w:highlight w:val="none"/>
          <w:lang w:val="en-US" w:eastAsia="zh-CN"/>
        </w:rPr>
      </w:pPr>
      <w:r>
        <w:rPr>
          <w:rFonts w:hint="eastAsia" w:ascii="宋体" w:hAnsi="宋体" w:eastAsia="宋体" w:cs="宋体"/>
          <w:b w:val="0"/>
          <w:i w:val="0"/>
          <w:caps w:val="0"/>
          <w:color w:val="auto"/>
          <w:spacing w:val="0"/>
          <w:w w:val="100"/>
          <w:sz w:val="24"/>
          <w:highlight w:val="none"/>
          <w:lang w:val="en-US" w:eastAsia="zh-CN"/>
        </w:rPr>
        <w:t>（3）采购人在收到评标报告5个工作日内未按评标报告推荐的中标候选人顺序确定中标人，又不能说明合法理由的，视同按评标报告推荐的顺序确定排名第一的中标候选人为中标人。</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80" w:lineRule="exact"/>
        <w:jc w:val="both"/>
        <w:textAlignment w:val="baseline"/>
        <w:rPr>
          <w:rFonts w:hint="eastAsia" w:ascii="宋体" w:hAnsi="宋体" w:eastAsia="宋体" w:cs="宋体"/>
          <w:b w:val="0"/>
          <w:i w:val="0"/>
          <w:caps w:val="0"/>
          <w:color w:val="auto"/>
          <w:spacing w:val="0"/>
          <w:w w:val="100"/>
          <w:sz w:val="24"/>
          <w:highlight w:val="none"/>
          <w:lang w:val="en-US" w:eastAsia="zh-CN"/>
        </w:rPr>
      </w:pPr>
      <w:r>
        <w:rPr>
          <w:rFonts w:hint="eastAsia" w:ascii="宋体" w:hAnsi="宋体" w:eastAsia="宋体" w:cs="宋体"/>
          <w:b w:val="0"/>
          <w:i w:val="0"/>
          <w:caps w:val="0"/>
          <w:color w:val="auto"/>
          <w:spacing w:val="0"/>
          <w:w w:val="100"/>
          <w:sz w:val="24"/>
          <w:highlight w:val="none"/>
          <w:lang w:val="en-US" w:eastAsia="zh-CN"/>
        </w:rPr>
        <w:t>（4）同品牌处理办法：采用综合评标法，则：提供相同品牌产品且通过资格审查、符合性审查的不同供应商参加同一合同项下投标的，按一家供应商计算，评审后得分最高的同品牌供应商获得中标人推荐资格;评审得分相同的，由采购人或者采购人委托评标委员会按照招标文件规定的方式确定一个供应商获得中标人推荐资格，招标文件未规定的采取随机抽取方式确定，其他同品牌供应商不作为中标候选人。</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80" w:lineRule="exact"/>
        <w:jc w:val="both"/>
        <w:textAlignment w:val="baseline"/>
        <w:rPr>
          <w:rFonts w:hint="eastAsia" w:ascii="宋体" w:hAnsi="宋体" w:eastAsia="宋体" w:cs="宋体"/>
          <w:b w:val="0"/>
          <w:i w:val="0"/>
          <w:caps w:val="0"/>
          <w:color w:val="auto"/>
          <w:spacing w:val="0"/>
          <w:w w:val="100"/>
          <w:sz w:val="24"/>
          <w:highlight w:val="none"/>
          <w:lang w:val="en-US" w:eastAsia="zh-CN"/>
        </w:rPr>
      </w:pPr>
      <w:r>
        <w:rPr>
          <w:rFonts w:hint="eastAsia" w:ascii="宋体" w:hAnsi="宋体" w:eastAsia="宋体" w:cs="宋体"/>
          <w:b w:val="0"/>
          <w:i w:val="0"/>
          <w:caps w:val="0"/>
          <w:color w:val="auto"/>
          <w:spacing w:val="0"/>
          <w:w w:val="100"/>
          <w:sz w:val="24"/>
          <w:highlight w:val="none"/>
          <w:lang w:val="en-US" w:eastAsia="zh-CN"/>
        </w:rPr>
        <w:t>（5）中标候选人并列式时的处理方式：采用综合评标法，则：评标结果按评审后得分由高到低顺序排列。得分相同的，按投标报价由低到高顺序排列。得分且投标报价相同的并列。投标文件满足投标文件全部实质性要求，且按照评审因素的量化指标评审得分最高的供应商为排名第一的中标候选人。</w:t>
      </w: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7"/>
        <w:pageBreakBefore w:val="0"/>
        <w:kinsoku/>
        <w:wordWrap/>
        <w:overflowPunct/>
        <w:topLinePunct w:val="0"/>
        <w:bidi w:val="0"/>
        <w:spacing w:before="0" w:line="360" w:lineRule="exact"/>
        <w:ind w:left="1080" w:leftChars="257" w:hanging="540"/>
        <w:rPr>
          <w:rFonts w:hint="eastAsia" w:ascii="宋体" w:hAnsi="宋体" w:eastAsia="宋体" w:cs="宋体"/>
          <w:color w:val="auto"/>
          <w:sz w:val="28"/>
          <w:szCs w:val="28"/>
          <w:highlight w:val="none"/>
        </w:rPr>
      </w:pPr>
      <w:bookmarkStart w:id="1627" w:name="_Toc12968"/>
      <w:r>
        <w:rPr>
          <w:rFonts w:hint="eastAsia" w:ascii="宋体" w:hAnsi="宋体" w:eastAsia="宋体" w:cs="宋体"/>
          <w:color w:val="auto"/>
          <w:sz w:val="28"/>
          <w:szCs w:val="28"/>
          <w:highlight w:val="none"/>
        </w:rPr>
        <w:t>初步评审—资格性审查表</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tbl>
      <w:tblPr>
        <w:tblStyle w:val="27"/>
        <w:tblW w:w="595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6984"/>
        <w:gridCol w:w="709"/>
        <w:gridCol w:w="790"/>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432" w:type="pct"/>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3440" w:type="pct"/>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评审内容</w:t>
            </w:r>
          </w:p>
        </w:tc>
        <w:tc>
          <w:tcPr>
            <w:tcW w:w="1127" w:type="pct"/>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432" w:type="pct"/>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4"/>
                <w:szCs w:val="24"/>
                <w:highlight w:val="none"/>
              </w:rPr>
            </w:pPr>
          </w:p>
        </w:tc>
        <w:tc>
          <w:tcPr>
            <w:tcW w:w="3440" w:type="pct"/>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4"/>
                <w:szCs w:val="24"/>
                <w:highlight w:val="none"/>
              </w:rPr>
            </w:pPr>
          </w:p>
        </w:tc>
        <w:tc>
          <w:tcPr>
            <w:tcW w:w="349"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是否合格</w:t>
            </w:r>
          </w:p>
        </w:tc>
        <w:tc>
          <w:tcPr>
            <w:tcW w:w="389"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是否合格</w:t>
            </w:r>
          </w:p>
        </w:tc>
        <w:tc>
          <w:tcPr>
            <w:tcW w:w="389"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43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1</w:t>
            </w:r>
          </w:p>
        </w:tc>
        <w:tc>
          <w:tcPr>
            <w:tcW w:w="3440"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sz w:val="24"/>
                <w:szCs w:val="24"/>
                <w:highlight w:val="none"/>
              </w:rPr>
            </w:pPr>
            <w:r>
              <w:rPr>
                <w:rFonts w:hint="eastAsia" w:ascii="宋体" w:hAnsi="宋体" w:cs="宋体"/>
                <w:color w:val="auto"/>
                <w:spacing w:val="-2"/>
                <w:sz w:val="24"/>
                <w:szCs w:val="24"/>
                <w:highlight w:val="none"/>
                <w:lang w:eastAsia="zh-CN"/>
              </w:rPr>
              <w:t>合格有效的三证合一的营业执照（三证合一）或电子营业执照（需加盖公章）或同等法律效力的证明文件（发证机关或公证机关出具的证明材料）</w:t>
            </w:r>
            <w:r>
              <w:rPr>
                <w:rFonts w:hint="eastAsia" w:ascii="宋体" w:hAnsi="宋体" w:eastAsia="宋体" w:cs="宋体"/>
                <w:color w:val="auto"/>
                <w:spacing w:val="-2"/>
                <w:sz w:val="24"/>
                <w:szCs w:val="24"/>
                <w:highlight w:val="none"/>
              </w:rPr>
              <w:t>；</w:t>
            </w:r>
          </w:p>
        </w:tc>
        <w:tc>
          <w:tcPr>
            <w:tcW w:w="349"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89"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89"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3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rPr>
              <w:t>2</w:t>
            </w:r>
          </w:p>
        </w:tc>
        <w:tc>
          <w:tcPr>
            <w:tcW w:w="3440"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sz w:val="24"/>
                <w:szCs w:val="24"/>
                <w:highlight w:val="none"/>
                <w:lang w:eastAsia="zh-CN"/>
              </w:rPr>
            </w:pPr>
            <w:r>
              <w:rPr>
                <w:rFonts w:hint="eastAsia" w:ascii="宋体" w:hAnsi="宋体" w:eastAsia="宋体" w:cs="宋体"/>
                <w:color w:val="auto"/>
                <w:spacing w:val="-2"/>
                <w:sz w:val="24"/>
                <w:szCs w:val="24"/>
                <w:highlight w:val="none"/>
                <w:lang w:val="en-US" w:eastAsia="zh-CN"/>
              </w:rPr>
              <w:t>具备《食品经营许可证》或《食品生产许可证》</w:t>
            </w:r>
            <w:r>
              <w:rPr>
                <w:rFonts w:hint="eastAsia" w:ascii="宋体" w:hAnsi="宋体" w:eastAsia="宋体" w:cs="宋体"/>
                <w:color w:val="auto"/>
                <w:spacing w:val="-2"/>
                <w:sz w:val="24"/>
                <w:szCs w:val="24"/>
                <w:highlight w:val="none"/>
                <w:lang w:eastAsia="zh-CN"/>
              </w:rPr>
              <w:t>；</w:t>
            </w:r>
          </w:p>
        </w:tc>
        <w:tc>
          <w:tcPr>
            <w:tcW w:w="349"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89"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89"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3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lang w:val="en-US" w:eastAsia="zh-CN"/>
              </w:rPr>
              <w:t>3</w:t>
            </w:r>
          </w:p>
        </w:tc>
        <w:tc>
          <w:tcPr>
            <w:tcW w:w="3440"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sz w:val="24"/>
                <w:szCs w:val="24"/>
                <w:highlight w:val="none"/>
                <w:lang w:val="en-US" w:eastAsia="zh-CN"/>
              </w:rPr>
            </w:pPr>
            <w:r>
              <w:rPr>
                <w:rFonts w:hint="eastAsia" w:ascii="宋体" w:hAnsi="宋体" w:cs="宋体"/>
                <w:color w:val="auto"/>
                <w:spacing w:val="-2"/>
                <w:sz w:val="24"/>
                <w:szCs w:val="24"/>
                <w:highlight w:val="none"/>
                <w:lang w:eastAsia="zh-CN"/>
              </w:rPr>
              <w:t>法定代表人资格证明(需提供法定代表人身份证)；</w:t>
            </w:r>
          </w:p>
        </w:tc>
        <w:tc>
          <w:tcPr>
            <w:tcW w:w="349"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89"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89"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43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lang w:val="en-US" w:eastAsia="zh-CN"/>
              </w:rPr>
              <w:t>4</w:t>
            </w:r>
          </w:p>
        </w:tc>
        <w:tc>
          <w:tcPr>
            <w:tcW w:w="3440"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sz w:val="24"/>
                <w:szCs w:val="24"/>
                <w:highlight w:val="none"/>
                <w:lang w:val="en-US" w:eastAsia="zh-CN"/>
              </w:rPr>
            </w:pPr>
            <w:r>
              <w:rPr>
                <w:rFonts w:hint="eastAsia" w:ascii="宋体" w:hAnsi="宋体" w:eastAsia="宋体" w:cs="宋体"/>
                <w:color w:val="auto"/>
                <w:spacing w:val="-2"/>
                <w:sz w:val="24"/>
                <w:szCs w:val="24"/>
                <w:highlight w:val="none"/>
                <w:lang w:eastAsia="zh-CN"/>
              </w:rPr>
              <w:t>提供近两年内任意一年的财务审计报告</w:t>
            </w:r>
            <w:r>
              <w:rPr>
                <w:rFonts w:hint="eastAsia" w:ascii="宋体" w:hAnsi="宋体" w:cs="宋体"/>
                <w:color w:val="auto"/>
                <w:spacing w:val="-2"/>
                <w:sz w:val="24"/>
                <w:szCs w:val="24"/>
                <w:highlight w:val="none"/>
                <w:lang w:eastAsia="zh-CN"/>
              </w:rPr>
              <w:t>（新成立未满一年的新公司可提供近三个月内任意一个月的银行资信证明）</w:t>
            </w:r>
            <w:r>
              <w:rPr>
                <w:rFonts w:hint="eastAsia" w:ascii="宋体" w:hAnsi="宋体" w:eastAsia="宋体" w:cs="宋体"/>
                <w:color w:val="auto"/>
                <w:spacing w:val="-2"/>
                <w:sz w:val="24"/>
                <w:szCs w:val="24"/>
                <w:highlight w:val="none"/>
                <w:lang w:eastAsia="zh-CN"/>
              </w:rPr>
              <w:t>；</w:t>
            </w:r>
          </w:p>
        </w:tc>
        <w:tc>
          <w:tcPr>
            <w:tcW w:w="349"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89"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89"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43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lang w:val="en-US" w:eastAsia="zh-CN"/>
              </w:rPr>
              <w:t>5</w:t>
            </w:r>
          </w:p>
        </w:tc>
        <w:tc>
          <w:tcPr>
            <w:tcW w:w="3440"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sz w:val="24"/>
                <w:szCs w:val="24"/>
                <w:highlight w:val="none"/>
                <w:lang w:val="en-US" w:eastAsia="zh-CN"/>
              </w:rPr>
            </w:pPr>
            <w:r>
              <w:rPr>
                <w:rFonts w:hint="eastAsia" w:ascii="宋体" w:hAnsi="宋体" w:cs="宋体"/>
                <w:color w:val="auto"/>
                <w:spacing w:val="-2"/>
                <w:sz w:val="24"/>
                <w:szCs w:val="24"/>
                <w:highlight w:val="none"/>
                <w:lang w:eastAsia="zh-CN"/>
              </w:rPr>
              <w:t>提供依法缴纳近</w:t>
            </w:r>
            <w:r>
              <w:rPr>
                <w:rFonts w:hint="eastAsia" w:ascii="宋体" w:hAnsi="宋体" w:cs="宋体"/>
                <w:color w:val="auto"/>
                <w:spacing w:val="-2"/>
                <w:sz w:val="24"/>
                <w:szCs w:val="24"/>
                <w:highlight w:val="none"/>
                <w:lang w:val="en-US" w:eastAsia="zh-CN"/>
              </w:rPr>
              <w:t>6</w:t>
            </w:r>
            <w:r>
              <w:rPr>
                <w:rFonts w:hint="eastAsia" w:ascii="宋体" w:hAnsi="宋体" w:cs="宋体"/>
                <w:color w:val="auto"/>
                <w:spacing w:val="-2"/>
                <w:sz w:val="24"/>
                <w:szCs w:val="24"/>
                <w:highlight w:val="none"/>
                <w:lang w:eastAsia="zh-CN"/>
              </w:rPr>
              <w:t>个月内任意</w:t>
            </w:r>
            <w:r>
              <w:rPr>
                <w:rFonts w:hint="eastAsia" w:ascii="宋体" w:hAnsi="宋体" w:cs="宋体"/>
                <w:color w:val="auto"/>
                <w:spacing w:val="-2"/>
                <w:sz w:val="24"/>
                <w:szCs w:val="24"/>
                <w:highlight w:val="none"/>
                <w:lang w:val="en-US" w:eastAsia="zh-CN"/>
              </w:rPr>
              <w:t>1</w:t>
            </w:r>
            <w:r>
              <w:rPr>
                <w:rFonts w:hint="eastAsia" w:ascii="宋体" w:hAnsi="宋体" w:cs="宋体"/>
                <w:color w:val="auto"/>
                <w:spacing w:val="-2"/>
                <w:sz w:val="24"/>
                <w:szCs w:val="24"/>
                <w:highlight w:val="none"/>
                <w:lang w:eastAsia="zh-CN"/>
              </w:rPr>
              <w:t>个月社会保险证明</w:t>
            </w:r>
            <w:r>
              <w:rPr>
                <w:rFonts w:hint="eastAsia" w:ascii="宋体" w:hAnsi="宋体" w:eastAsia="宋体" w:cs="宋体"/>
                <w:color w:val="auto"/>
                <w:spacing w:val="-2"/>
                <w:sz w:val="24"/>
                <w:szCs w:val="24"/>
                <w:highlight w:val="none"/>
                <w:lang w:eastAsia="zh-CN"/>
              </w:rPr>
              <w:t>；</w:t>
            </w:r>
          </w:p>
        </w:tc>
        <w:tc>
          <w:tcPr>
            <w:tcW w:w="349"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89"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89"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43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lang w:val="en-US" w:eastAsia="zh-CN"/>
              </w:rPr>
              <w:t>6</w:t>
            </w:r>
          </w:p>
        </w:tc>
        <w:tc>
          <w:tcPr>
            <w:tcW w:w="3440"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sz w:val="24"/>
                <w:szCs w:val="24"/>
                <w:highlight w:val="none"/>
                <w:lang w:val="en-US" w:eastAsia="zh-CN"/>
              </w:rPr>
            </w:pPr>
            <w:r>
              <w:rPr>
                <w:rFonts w:hint="eastAsia" w:ascii="宋体" w:hAnsi="宋体" w:cs="宋体"/>
                <w:color w:val="auto"/>
                <w:spacing w:val="-2"/>
                <w:sz w:val="24"/>
                <w:szCs w:val="24"/>
                <w:highlight w:val="none"/>
                <w:lang w:eastAsia="zh-CN"/>
              </w:rPr>
              <w:t>提供依法缴纳近</w:t>
            </w:r>
            <w:r>
              <w:rPr>
                <w:rFonts w:hint="eastAsia" w:ascii="宋体" w:hAnsi="宋体" w:cs="宋体"/>
                <w:color w:val="auto"/>
                <w:spacing w:val="-2"/>
                <w:sz w:val="24"/>
                <w:szCs w:val="24"/>
                <w:highlight w:val="none"/>
                <w:lang w:val="en-US" w:eastAsia="zh-CN"/>
              </w:rPr>
              <w:t>6</w:t>
            </w:r>
            <w:r>
              <w:rPr>
                <w:rFonts w:hint="eastAsia" w:ascii="宋体" w:hAnsi="宋体" w:cs="宋体"/>
                <w:color w:val="auto"/>
                <w:spacing w:val="-2"/>
                <w:sz w:val="24"/>
                <w:szCs w:val="24"/>
                <w:highlight w:val="none"/>
                <w:lang w:eastAsia="zh-CN"/>
              </w:rPr>
              <w:t>个月内任意</w:t>
            </w:r>
            <w:r>
              <w:rPr>
                <w:rFonts w:hint="eastAsia" w:ascii="宋体" w:hAnsi="宋体" w:cs="宋体"/>
                <w:color w:val="auto"/>
                <w:spacing w:val="-2"/>
                <w:sz w:val="24"/>
                <w:szCs w:val="24"/>
                <w:highlight w:val="none"/>
                <w:lang w:val="en-US" w:eastAsia="zh-CN"/>
              </w:rPr>
              <w:t>1</w:t>
            </w:r>
            <w:r>
              <w:rPr>
                <w:rFonts w:hint="eastAsia" w:ascii="宋体" w:hAnsi="宋体" w:cs="宋体"/>
                <w:color w:val="auto"/>
                <w:spacing w:val="-2"/>
                <w:sz w:val="24"/>
                <w:szCs w:val="24"/>
                <w:highlight w:val="none"/>
                <w:lang w:eastAsia="zh-CN"/>
              </w:rPr>
              <w:t>个月的税收证明</w:t>
            </w:r>
            <w:r>
              <w:rPr>
                <w:rFonts w:hint="eastAsia" w:ascii="宋体" w:hAnsi="宋体" w:eastAsia="宋体" w:cs="宋体"/>
                <w:color w:val="auto"/>
                <w:spacing w:val="-2"/>
                <w:sz w:val="24"/>
                <w:szCs w:val="24"/>
                <w:highlight w:val="none"/>
                <w:lang w:eastAsia="zh-CN"/>
              </w:rPr>
              <w:t>；</w:t>
            </w:r>
          </w:p>
        </w:tc>
        <w:tc>
          <w:tcPr>
            <w:tcW w:w="349"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89"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89"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lang w:val="en-US" w:eastAsia="zh-CN"/>
              </w:rPr>
              <w:t>7</w:t>
            </w:r>
          </w:p>
        </w:tc>
        <w:tc>
          <w:tcPr>
            <w:tcW w:w="3440"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sz w:val="24"/>
                <w:szCs w:val="24"/>
                <w:highlight w:val="none"/>
                <w:lang w:val="en-US" w:eastAsia="zh-CN"/>
              </w:rPr>
            </w:pPr>
            <w:r>
              <w:rPr>
                <w:rFonts w:hint="eastAsia" w:ascii="宋体" w:hAnsi="宋体" w:eastAsia="宋体" w:cs="宋体"/>
                <w:color w:val="auto"/>
                <w:spacing w:val="-2"/>
                <w:sz w:val="24"/>
                <w:szCs w:val="24"/>
                <w:highlight w:val="none"/>
                <w:lang w:eastAsia="zh-CN"/>
              </w:rPr>
              <w:t>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重点领域严重失信主体名单查询-搜索栏输入单位全称）、中国政府采购网（http://www.ccgp.gov.cn/search/cr/）严重违法失信行为记录名单的（尚在处罚期内的），将拒绝其参加本次招标活动（以采购代理机构或采购人现场查询为准）；</w:t>
            </w:r>
          </w:p>
        </w:tc>
        <w:tc>
          <w:tcPr>
            <w:tcW w:w="349"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89"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89"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lang w:val="en-US" w:eastAsia="zh-CN"/>
              </w:rPr>
              <w:t>8</w:t>
            </w:r>
          </w:p>
        </w:tc>
        <w:tc>
          <w:tcPr>
            <w:tcW w:w="3440"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sz w:val="24"/>
                <w:szCs w:val="24"/>
                <w:highlight w:val="none"/>
                <w:lang w:val="en-US" w:eastAsia="zh-CN"/>
              </w:rPr>
            </w:pPr>
            <w:r>
              <w:rPr>
                <w:rFonts w:hint="eastAsia" w:ascii="宋体" w:hAnsi="宋体" w:eastAsia="宋体" w:cs="宋体"/>
                <w:color w:val="auto"/>
                <w:spacing w:val="-2"/>
                <w:sz w:val="24"/>
                <w:szCs w:val="24"/>
                <w:highlight w:val="none"/>
                <w:lang w:eastAsia="zh-CN"/>
              </w:rPr>
              <w:t>参与政府采购活动前3年内未被列入失信、重大税收违法案件、财政部门禁止参加政府采购活动的承诺书；</w:t>
            </w:r>
          </w:p>
        </w:tc>
        <w:tc>
          <w:tcPr>
            <w:tcW w:w="349"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89"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89"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43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lang w:val="en-US" w:eastAsia="zh-CN"/>
              </w:rPr>
              <w:t>9</w:t>
            </w:r>
          </w:p>
        </w:tc>
        <w:tc>
          <w:tcPr>
            <w:tcW w:w="3440"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sz w:val="24"/>
                <w:szCs w:val="24"/>
                <w:highlight w:val="none"/>
                <w:lang w:val="en-US" w:eastAsia="zh-CN"/>
              </w:rPr>
            </w:pPr>
            <w:r>
              <w:rPr>
                <w:rFonts w:hint="eastAsia" w:ascii="宋体" w:hAnsi="宋体" w:eastAsia="宋体" w:cs="宋体"/>
                <w:color w:val="auto"/>
                <w:spacing w:val="-2"/>
                <w:sz w:val="24"/>
                <w:szCs w:val="24"/>
                <w:highlight w:val="none"/>
                <w:lang w:eastAsia="zh-CN"/>
              </w:rPr>
              <w:t>缴纳投标保证金的有效凭证。</w:t>
            </w:r>
          </w:p>
        </w:tc>
        <w:tc>
          <w:tcPr>
            <w:tcW w:w="349"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89"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89"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43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sz w:val="24"/>
                <w:szCs w:val="24"/>
                <w:highlight w:val="none"/>
                <w:lang w:val="en-US" w:eastAsia="zh-CN"/>
              </w:rPr>
            </w:pPr>
          </w:p>
        </w:tc>
        <w:tc>
          <w:tcPr>
            <w:tcW w:w="3440"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sz w:val="24"/>
                <w:szCs w:val="24"/>
                <w:highlight w:val="none"/>
                <w:lang w:val="en-US" w:eastAsia="zh-CN"/>
              </w:rPr>
            </w:pPr>
            <w:r>
              <w:rPr>
                <w:rFonts w:hint="eastAsia" w:ascii="宋体" w:hAnsi="宋体" w:eastAsia="宋体" w:cs="宋体"/>
                <w:color w:val="auto"/>
                <w:spacing w:val="-2"/>
                <w:sz w:val="24"/>
                <w:szCs w:val="24"/>
                <w:highlight w:val="none"/>
                <w:lang w:val="en-US" w:eastAsia="zh-CN"/>
              </w:rPr>
              <w:t>结论</w:t>
            </w:r>
          </w:p>
        </w:tc>
        <w:tc>
          <w:tcPr>
            <w:tcW w:w="349"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89"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89"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r>
    </w:tbl>
    <w:p>
      <w:pPr>
        <w:spacing w:line="360" w:lineRule="exact"/>
        <w:rPr>
          <w:rFonts w:hint="eastAsia" w:ascii="宋体" w:hAnsi="宋体" w:eastAsia="宋体" w:cs="宋体"/>
          <w:color w:val="auto"/>
          <w:szCs w:val="21"/>
          <w:highlight w:val="none"/>
        </w:rPr>
      </w:pPr>
      <w:bookmarkStart w:id="1628" w:name="_Toc18094"/>
      <w:bookmarkStart w:id="1629" w:name="_Toc10492"/>
      <w:bookmarkStart w:id="1630" w:name="_Toc3927"/>
      <w:bookmarkStart w:id="1631" w:name="_Toc273"/>
      <w:bookmarkStart w:id="1632" w:name="_Toc16022"/>
      <w:bookmarkStart w:id="1633" w:name="_Toc8255"/>
      <w:bookmarkStart w:id="1634" w:name="_Toc12108"/>
      <w:bookmarkStart w:id="1635" w:name="_Toc26642"/>
      <w:bookmarkStart w:id="1636" w:name="_Toc8382"/>
      <w:bookmarkStart w:id="1637" w:name="_Toc13854"/>
      <w:bookmarkStart w:id="1638" w:name="_Toc3062"/>
      <w:bookmarkStart w:id="1639" w:name="_Toc28858"/>
      <w:bookmarkStart w:id="1640" w:name="_Toc27246"/>
      <w:bookmarkStart w:id="1641" w:name="_Toc21850"/>
      <w:bookmarkStart w:id="1642" w:name="_Toc14007"/>
      <w:bookmarkStart w:id="1643" w:name="_Toc31983"/>
      <w:bookmarkStart w:id="1644" w:name="_Toc30395"/>
      <w:r>
        <w:rPr>
          <w:rFonts w:hint="eastAsia" w:ascii="宋体" w:hAnsi="宋体" w:eastAsia="宋体" w:cs="宋体"/>
          <w:color w:val="auto"/>
          <w:szCs w:val="21"/>
          <w:highlight w:val="none"/>
        </w:rPr>
        <w:t>说明：（1）上述各项中用“√”表示通过，“×”表示不通过；</w:t>
      </w:r>
    </w:p>
    <w:p>
      <w:pPr>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（2）上述各项中如有一项为“×”，则结论为“×”，表示该投标文件中存在重大偏差，不能通过初步评审；评委对某一分项评审认为不合格时，必须要写明原因。</w:t>
      </w:r>
    </w:p>
    <w:p>
      <w:pPr>
        <w:spacing w:line="360" w:lineRule="exact"/>
        <w:ind w:left="6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（3）投标文件最终合格与否，以所有评委的评审意见中少数服从多数为原则定论。</w:t>
      </w:r>
    </w:p>
    <w:p>
      <w:pPr>
        <w:spacing w:line="360" w:lineRule="exac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未通过资格审查的供应商不进入评标；通过资格审查的供应商少于不足三家的，不得评标。</w:t>
      </w: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7"/>
        <w:pageBreakBefore w:val="0"/>
        <w:kinsoku/>
        <w:wordWrap/>
        <w:overflowPunct/>
        <w:topLinePunct w:val="0"/>
        <w:bidi w:val="0"/>
        <w:spacing w:before="0" w:line="360" w:lineRule="exact"/>
        <w:ind w:left="1080" w:leftChars="257" w:hanging="540"/>
        <w:rPr>
          <w:rFonts w:hint="eastAsia" w:ascii="宋体" w:hAnsi="宋体" w:eastAsia="宋体" w:cs="宋体"/>
          <w:color w:val="auto"/>
          <w:sz w:val="28"/>
          <w:szCs w:val="28"/>
          <w:highlight w:val="none"/>
        </w:rPr>
      </w:pPr>
      <w:bookmarkStart w:id="1645" w:name="_Toc6006"/>
      <w:r>
        <w:rPr>
          <w:rFonts w:hint="eastAsia" w:ascii="宋体" w:hAnsi="宋体" w:eastAsia="宋体" w:cs="宋体"/>
          <w:color w:val="auto"/>
          <w:sz w:val="28"/>
          <w:szCs w:val="28"/>
          <w:highlight w:val="none"/>
        </w:rPr>
        <w:t>初步评审—符合性审查表</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tbl>
      <w:tblPr>
        <w:tblStyle w:val="27"/>
        <w:tblW w:w="571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2"/>
        <w:gridCol w:w="8180"/>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575" w:type="pct"/>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评审内容</w:t>
            </w:r>
          </w:p>
        </w:tc>
        <w:tc>
          <w:tcPr>
            <w:tcW w:w="424"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pacing w:val="-2"/>
                <w:sz w:val="24"/>
                <w:szCs w:val="24"/>
                <w:highlight w:val="none"/>
              </w:rPr>
            </w:pPr>
            <w:r>
              <w:rPr>
                <w:rFonts w:hint="eastAsia" w:ascii="宋体" w:hAnsi="宋体" w:eastAsia="宋体" w:cs="宋体"/>
                <w:b/>
                <w:color w:val="auto"/>
                <w:sz w:val="24"/>
                <w:szCs w:val="24"/>
                <w:highlight w:val="none"/>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7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419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pacing w:val="-2"/>
                <w:sz w:val="24"/>
                <w:szCs w:val="24"/>
                <w:highlight w:val="none"/>
              </w:rPr>
            </w:pPr>
          </w:p>
        </w:tc>
        <w:tc>
          <w:tcPr>
            <w:tcW w:w="424"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37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1</w:t>
            </w:r>
          </w:p>
        </w:tc>
        <w:tc>
          <w:tcPr>
            <w:tcW w:w="419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pacing w:val="-2"/>
                <w:sz w:val="24"/>
                <w:szCs w:val="24"/>
                <w:highlight w:val="none"/>
                <w:lang w:val="en-US" w:eastAsia="zh-CN"/>
              </w:rPr>
            </w:pPr>
            <w:r>
              <w:rPr>
                <w:rFonts w:hint="eastAsia" w:ascii="宋体" w:hAnsi="宋体" w:eastAsia="宋体" w:cs="宋体"/>
                <w:color w:val="auto"/>
                <w:spacing w:val="-2"/>
                <w:sz w:val="24"/>
                <w:szCs w:val="24"/>
                <w:highlight w:val="none"/>
              </w:rPr>
              <w:t>各供应商投标报价未高于预算金额；</w:t>
            </w:r>
          </w:p>
        </w:tc>
        <w:tc>
          <w:tcPr>
            <w:tcW w:w="424"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pacing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37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2</w:t>
            </w:r>
          </w:p>
        </w:tc>
        <w:tc>
          <w:tcPr>
            <w:tcW w:w="419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pacing w:val="-2"/>
                <w:sz w:val="24"/>
                <w:szCs w:val="24"/>
                <w:highlight w:val="none"/>
                <w:lang w:val="en-US" w:eastAsia="zh-CN"/>
              </w:rPr>
            </w:pPr>
            <w:r>
              <w:rPr>
                <w:rFonts w:hint="eastAsia" w:ascii="宋体" w:hAnsi="宋体" w:eastAsia="宋体" w:cs="宋体"/>
                <w:color w:val="auto"/>
                <w:spacing w:val="-2"/>
                <w:sz w:val="24"/>
                <w:szCs w:val="24"/>
                <w:highlight w:val="none"/>
              </w:rPr>
              <w:t>评标委员会认为供应商的报价无明显低于其他通过</w:t>
            </w:r>
            <w:r>
              <w:rPr>
                <w:rFonts w:hint="eastAsia" w:ascii="宋体" w:hAnsi="宋体" w:eastAsia="宋体" w:cs="宋体"/>
                <w:color w:val="auto"/>
                <w:spacing w:val="-2"/>
                <w:sz w:val="24"/>
                <w:szCs w:val="24"/>
                <w:highlight w:val="none"/>
                <w:lang w:val="en-US" w:eastAsia="zh-CN"/>
              </w:rPr>
              <w:t>符合</w:t>
            </w:r>
            <w:r>
              <w:rPr>
                <w:rFonts w:hint="eastAsia" w:ascii="宋体" w:hAnsi="宋体" w:eastAsia="宋体" w:cs="宋体"/>
                <w:color w:val="auto"/>
                <w:spacing w:val="-2"/>
                <w:sz w:val="24"/>
                <w:szCs w:val="24"/>
                <w:highlight w:val="none"/>
              </w:rPr>
              <w:t>性审查供应商的报价的，供应商的报价不存在异常一致并成规律性的，其报价合理；</w:t>
            </w:r>
          </w:p>
        </w:tc>
        <w:tc>
          <w:tcPr>
            <w:tcW w:w="424"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pacing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7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3</w:t>
            </w:r>
          </w:p>
        </w:tc>
        <w:tc>
          <w:tcPr>
            <w:tcW w:w="419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pacing w:val="-2"/>
                <w:sz w:val="24"/>
                <w:szCs w:val="24"/>
                <w:highlight w:val="none"/>
                <w:lang w:val="en-US" w:eastAsia="zh-CN"/>
              </w:rPr>
            </w:pPr>
            <w:r>
              <w:rPr>
                <w:rFonts w:hint="eastAsia" w:ascii="宋体" w:hAnsi="宋体" w:eastAsia="宋体" w:cs="宋体"/>
                <w:color w:val="auto"/>
                <w:spacing w:val="-2"/>
                <w:sz w:val="24"/>
                <w:szCs w:val="24"/>
                <w:highlight w:val="none"/>
              </w:rPr>
              <w:t>投标文件按照招标文件的规定编制、标记及签署盖章的，法定代表人</w:t>
            </w:r>
            <w:r>
              <w:rPr>
                <w:rFonts w:hint="eastAsia" w:ascii="宋体" w:hAnsi="宋体" w:eastAsia="宋体" w:cs="宋体"/>
                <w:color w:val="auto"/>
                <w:spacing w:val="-2"/>
                <w:sz w:val="24"/>
                <w:szCs w:val="24"/>
                <w:highlight w:val="none"/>
                <w:lang w:val="en-US" w:eastAsia="zh-CN"/>
              </w:rPr>
              <w:t>签</w:t>
            </w:r>
            <w:r>
              <w:rPr>
                <w:rFonts w:hint="eastAsia" w:ascii="宋体" w:hAnsi="宋体" w:eastAsia="宋体" w:cs="宋体"/>
                <w:color w:val="auto"/>
                <w:spacing w:val="-2"/>
                <w:sz w:val="24"/>
                <w:szCs w:val="24"/>
                <w:highlight w:val="none"/>
              </w:rPr>
              <w:t>章</w:t>
            </w:r>
            <w:r>
              <w:rPr>
                <w:rFonts w:hint="eastAsia" w:ascii="宋体" w:hAnsi="宋体" w:eastAsia="宋体" w:cs="宋体"/>
                <w:color w:val="auto"/>
                <w:spacing w:val="-2"/>
                <w:sz w:val="24"/>
                <w:szCs w:val="24"/>
                <w:highlight w:val="none"/>
                <w:lang w:eastAsia="zh-CN"/>
              </w:rPr>
              <w:t>；</w:t>
            </w:r>
          </w:p>
        </w:tc>
        <w:tc>
          <w:tcPr>
            <w:tcW w:w="424"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37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4</w:t>
            </w:r>
          </w:p>
        </w:tc>
        <w:tc>
          <w:tcPr>
            <w:tcW w:w="419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pacing w:val="-2"/>
                <w:sz w:val="24"/>
                <w:szCs w:val="24"/>
                <w:highlight w:val="none"/>
                <w:lang w:val="en-US" w:eastAsia="zh-CN"/>
              </w:rPr>
            </w:pPr>
            <w:r>
              <w:rPr>
                <w:rFonts w:hint="eastAsia" w:ascii="宋体" w:hAnsi="宋体" w:eastAsia="宋体" w:cs="宋体"/>
                <w:color w:val="auto"/>
                <w:spacing w:val="-2"/>
                <w:sz w:val="24"/>
                <w:szCs w:val="24"/>
                <w:highlight w:val="none"/>
              </w:rPr>
              <w:t>按招标文件规定的格式填写，内容</w:t>
            </w:r>
            <w:r>
              <w:rPr>
                <w:rFonts w:hint="eastAsia" w:ascii="宋体" w:hAnsi="宋体" w:eastAsia="宋体" w:cs="宋体"/>
                <w:color w:val="auto"/>
                <w:spacing w:val="-2"/>
                <w:sz w:val="24"/>
                <w:szCs w:val="24"/>
                <w:highlight w:val="none"/>
                <w:lang w:val="en-US" w:eastAsia="zh-CN"/>
              </w:rPr>
              <w:t>全面</w:t>
            </w:r>
            <w:r>
              <w:rPr>
                <w:rFonts w:hint="eastAsia" w:ascii="宋体" w:hAnsi="宋体" w:eastAsia="宋体" w:cs="宋体"/>
                <w:color w:val="auto"/>
                <w:spacing w:val="-2"/>
                <w:sz w:val="24"/>
                <w:szCs w:val="24"/>
                <w:highlight w:val="none"/>
              </w:rPr>
              <w:t>；</w:t>
            </w:r>
          </w:p>
        </w:tc>
        <w:tc>
          <w:tcPr>
            <w:tcW w:w="424"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pacing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37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5</w:t>
            </w:r>
          </w:p>
        </w:tc>
        <w:tc>
          <w:tcPr>
            <w:tcW w:w="419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pacing w:val="-2"/>
                <w:sz w:val="24"/>
                <w:szCs w:val="24"/>
                <w:highlight w:val="none"/>
                <w:lang w:val="en-US" w:eastAsia="zh-CN"/>
              </w:rPr>
            </w:pPr>
            <w:r>
              <w:rPr>
                <w:rFonts w:hint="eastAsia" w:ascii="宋体" w:hAnsi="宋体" w:eastAsia="宋体" w:cs="宋体"/>
                <w:color w:val="auto"/>
                <w:spacing w:val="-2"/>
                <w:sz w:val="24"/>
                <w:szCs w:val="24"/>
                <w:highlight w:val="none"/>
                <w:lang w:val="en-US" w:eastAsia="zh-CN"/>
              </w:rPr>
              <w:t>符合招标文件中规定的要求；（交货期）</w:t>
            </w:r>
          </w:p>
        </w:tc>
        <w:tc>
          <w:tcPr>
            <w:tcW w:w="424"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pacing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37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6</w:t>
            </w:r>
          </w:p>
        </w:tc>
        <w:tc>
          <w:tcPr>
            <w:tcW w:w="419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pacing w:val="-2"/>
                <w:sz w:val="24"/>
                <w:szCs w:val="24"/>
                <w:highlight w:val="none"/>
                <w:lang w:val="en-US" w:eastAsia="zh-CN"/>
              </w:rPr>
            </w:pPr>
            <w:r>
              <w:rPr>
                <w:rFonts w:hint="eastAsia" w:ascii="宋体" w:hAnsi="宋体" w:eastAsia="宋体" w:cs="宋体"/>
                <w:color w:val="auto"/>
                <w:spacing w:val="-2"/>
                <w:sz w:val="24"/>
                <w:szCs w:val="24"/>
                <w:highlight w:val="none"/>
              </w:rPr>
              <w:t>没有采购人不能接受的附加条件的；</w:t>
            </w:r>
          </w:p>
        </w:tc>
        <w:tc>
          <w:tcPr>
            <w:tcW w:w="424"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pacing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37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7</w:t>
            </w:r>
          </w:p>
        </w:tc>
        <w:tc>
          <w:tcPr>
            <w:tcW w:w="419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pacing w:val="-2"/>
                <w:sz w:val="24"/>
                <w:szCs w:val="24"/>
                <w:highlight w:val="none"/>
                <w:lang w:val="en-US" w:eastAsia="zh-CN"/>
              </w:rPr>
            </w:pPr>
            <w:r>
              <w:rPr>
                <w:rFonts w:hint="eastAsia" w:ascii="宋体" w:hAnsi="宋体" w:eastAsia="宋体" w:cs="宋体"/>
                <w:color w:val="auto"/>
                <w:spacing w:val="-2"/>
                <w:sz w:val="24"/>
                <w:szCs w:val="24"/>
                <w:highlight w:val="none"/>
              </w:rPr>
              <w:t>不同供应商的投标文件没有错漏一致的情况；</w:t>
            </w:r>
          </w:p>
        </w:tc>
        <w:tc>
          <w:tcPr>
            <w:tcW w:w="424"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pacing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37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8</w:t>
            </w:r>
          </w:p>
        </w:tc>
        <w:tc>
          <w:tcPr>
            <w:tcW w:w="419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pacing w:val="-2"/>
                <w:sz w:val="24"/>
                <w:szCs w:val="24"/>
                <w:highlight w:val="none"/>
                <w:lang w:val="en-US" w:eastAsia="zh-CN"/>
              </w:rPr>
            </w:pPr>
            <w:r>
              <w:rPr>
                <w:rFonts w:hint="eastAsia" w:ascii="宋体" w:hAnsi="宋体" w:eastAsia="宋体" w:cs="宋体"/>
                <w:color w:val="auto"/>
                <w:spacing w:val="-2"/>
                <w:sz w:val="24"/>
                <w:szCs w:val="24"/>
                <w:highlight w:val="none"/>
              </w:rPr>
              <w:t>供应商附有详细地址、联系人、电话标明的</w:t>
            </w:r>
            <w:r>
              <w:rPr>
                <w:rFonts w:hint="eastAsia" w:ascii="宋体" w:hAnsi="宋体" w:eastAsia="宋体" w:cs="宋体"/>
                <w:color w:val="auto"/>
                <w:spacing w:val="-2"/>
                <w:sz w:val="24"/>
                <w:szCs w:val="24"/>
                <w:highlight w:val="none"/>
                <w:lang w:eastAsia="zh-CN"/>
              </w:rPr>
              <w:t>。</w:t>
            </w:r>
          </w:p>
        </w:tc>
        <w:tc>
          <w:tcPr>
            <w:tcW w:w="424"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pacing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575" w:type="pct"/>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结论：通过评审打“√”，未通过评审打“×”</w:t>
            </w:r>
          </w:p>
        </w:tc>
        <w:tc>
          <w:tcPr>
            <w:tcW w:w="424"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4" w:firstLineChars="180"/>
              <w:jc w:val="center"/>
              <w:textAlignment w:val="auto"/>
              <w:rPr>
                <w:rFonts w:hint="eastAsia" w:ascii="宋体" w:hAnsi="宋体" w:eastAsia="宋体" w:cs="宋体"/>
                <w:color w:val="auto"/>
                <w:spacing w:val="-2"/>
                <w:sz w:val="24"/>
                <w:szCs w:val="24"/>
                <w:highlight w:val="none"/>
              </w:rPr>
            </w:pPr>
          </w:p>
        </w:tc>
      </w:tr>
    </w:tbl>
    <w:p>
      <w:pPr>
        <w:keepNext w:val="0"/>
        <w:keepLines w:val="0"/>
        <w:pageBreakBefore w:val="0"/>
        <w:widowControl w:val="0"/>
        <w:kinsoku/>
        <w:wordWrap/>
        <w:overflowPunct/>
        <w:topLinePunct w:val="0"/>
        <w:bidi w:val="0"/>
        <w:snapToGrid/>
        <w:spacing w:line="400" w:lineRule="exact"/>
        <w:ind w:left="6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w:t>
      </w:r>
    </w:p>
    <w:p>
      <w:pPr>
        <w:keepNext w:val="0"/>
        <w:keepLines w:val="0"/>
        <w:pageBreakBefore w:val="0"/>
        <w:widowControl w:val="0"/>
        <w:kinsoku/>
        <w:wordWrap/>
        <w:overflowPunct/>
        <w:topLinePunct w:val="0"/>
        <w:bidi w:val="0"/>
        <w:snapToGrid/>
        <w:spacing w:line="400" w:lineRule="exact"/>
        <w:ind w:left="6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（1）上述各项中用“√”表示合格，“×”表示不合格；</w:t>
      </w:r>
    </w:p>
    <w:p>
      <w:pPr>
        <w:keepNext w:val="0"/>
        <w:keepLines w:val="0"/>
        <w:pageBreakBefore w:val="0"/>
        <w:widowControl w:val="0"/>
        <w:kinsoku/>
        <w:wordWrap/>
        <w:overflowPunct/>
        <w:topLinePunct w:val="0"/>
        <w:bidi w:val="0"/>
        <w:snapToGrid/>
        <w:spacing w:line="400" w:lineRule="exact"/>
        <w:ind w:left="689" w:leftChars="28" w:hanging="630" w:hangingChars="3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（2）上述各项中如有一项为“×”，则结论为“×”，表示该投标文件中存在重大偏差，不能通过初步评审；评委对某一分项评审认为不合格时，必须要写明原因。</w:t>
      </w:r>
    </w:p>
    <w:p>
      <w:pPr>
        <w:pStyle w:val="4"/>
        <w:keepNext w:val="0"/>
        <w:keepLines w:val="0"/>
        <w:pageBreakBefore w:val="0"/>
        <w:widowControl w:val="0"/>
        <w:kinsoku/>
        <w:wordWrap/>
        <w:overflowPunct/>
        <w:topLinePunct w:val="0"/>
        <w:bidi w:val="0"/>
        <w:snapToGrid/>
        <w:spacing w:line="400" w:lineRule="exact"/>
        <w:ind w:firstLine="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（3）投标文件最终合格与否，以所有评委的评审意见中少数服从多数为原则定论。</w:t>
      </w:r>
    </w:p>
    <w:p>
      <w:pPr>
        <w:keepNext w:val="0"/>
        <w:keepLines w:val="0"/>
        <w:pageBreakBefore w:val="0"/>
        <w:widowControl w:val="0"/>
        <w:kinsoku/>
        <w:wordWrap/>
        <w:overflowPunct/>
        <w:topLinePunct w:val="0"/>
        <w:bidi w:val="0"/>
        <w:snapToGrid/>
        <w:spacing w:line="400" w:lineRule="exact"/>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未通过资格审查的供应商不进入评标；通过资格审查的供应商少于不足三家的，不得评标。</w:t>
      </w:r>
    </w:p>
    <w:p>
      <w:pPr>
        <w:pStyle w:val="5"/>
        <w:ind w:left="0" w:leftChars="0" w:firstLine="0" w:firstLineChars="0"/>
        <w:outlineLvl w:val="9"/>
        <w:rPr>
          <w:rFonts w:hint="eastAsia" w:ascii="宋体" w:hAnsi="宋体" w:eastAsia="宋体" w:cs="宋体"/>
          <w:color w:val="auto"/>
          <w:highlight w:val="none"/>
        </w:rPr>
      </w:pPr>
    </w:p>
    <w:p>
      <w:pPr>
        <w:outlineLvl w:val="9"/>
        <w:rPr>
          <w:rFonts w:hint="eastAsia" w:ascii="宋体" w:hAnsi="宋体" w:eastAsia="宋体" w:cs="宋体"/>
          <w:color w:val="auto"/>
          <w:highlight w:val="none"/>
        </w:rPr>
      </w:pPr>
    </w:p>
    <w:p>
      <w:pPr>
        <w:pStyle w:val="2"/>
        <w:outlineLvl w:val="9"/>
        <w:rPr>
          <w:rFonts w:hint="eastAsia" w:ascii="宋体" w:hAnsi="宋体" w:eastAsia="宋体" w:cs="宋体"/>
          <w:color w:val="auto"/>
          <w:highlight w:val="none"/>
        </w:rPr>
      </w:pPr>
    </w:p>
    <w:p>
      <w:pPr>
        <w:rPr>
          <w:rFonts w:hint="eastAsia" w:ascii="宋体" w:hAnsi="宋体" w:eastAsia="宋体" w:cs="宋体"/>
          <w:b/>
          <w:bCs/>
          <w:color w:val="auto"/>
          <w:sz w:val="24"/>
          <w:szCs w:val="24"/>
          <w:highlight w:val="none"/>
          <w:lang w:val="en-US" w:eastAsia="zh-CN"/>
        </w:rPr>
      </w:pPr>
      <w:r>
        <w:rPr>
          <w:rFonts w:hint="eastAsia" w:ascii="宋体" w:hAnsi="宋体" w:eastAsia="宋体" w:cs="宋体"/>
          <w:color w:val="auto"/>
          <w:highlight w:val="none"/>
        </w:rPr>
        <w:br w:type="page"/>
      </w:r>
      <w:bookmarkStart w:id="1646" w:name="_Toc1909"/>
      <w:bookmarkStart w:id="1647" w:name="_Toc18177"/>
      <w:bookmarkStart w:id="1648" w:name="_Toc507399904"/>
    </w:p>
    <w:bookmarkEnd w:id="1646"/>
    <w:bookmarkEnd w:id="1647"/>
    <w:p>
      <w:pPr>
        <w:keepNext/>
        <w:keepLines/>
        <w:pageBreakBefore w:val="0"/>
        <w:widowControl w:val="0"/>
        <w:kinsoku/>
        <w:wordWrap/>
        <w:overflowPunct/>
        <w:topLinePunct w:val="0"/>
        <w:autoSpaceDE w:val="0"/>
        <w:autoSpaceDN w:val="0"/>
        <w:bidi w:val="0"/>
        <w:adjustRightInd w:val="0"/>
        <w:spacing w:before="0" w:line="360" w:lineRule="exact"/>
        <w:ind w:left="1080" w:leftChars="257" w:hanging="540"/>
        <w:jc w:val="center"/>
        <w:outlineLvl w:val="1"/>
        <w:rPr>
          <w:rFonts w:hint="eastAsia" w:ascii="宋体" w:hAnsi="宋体" w:eastAsia="宋体" w:cs="宋体"/>
          <w:b/>
          <w:color w:val="auto"/>
          <w:kern w:val="0"/>
          <w:sz w:val="28"/>
          <w:szCs w:val="28"/>
          <w:highlight w:val="none"/>
          <w:lang w:val="en-US" w:eastAsia="zh-CN" w:bidi="ar-SA"/>
        </w:rPr>
      </w:pPr>
      <w:bookmarkStart w:id="1649" w:name="_Toc8510"/>
      <w:bookmarkStart w:id="1650" w:name="_Toc8176"/>
      <w:bookmarkStart w:id="1651" w:name="_Toc28999"/>
      <w:bookmarkStart w:id="1652" w:name="_Toc19724"/>
      <w:bookmarkStart w:id="1653" w:name="_Toc21392"/>
      <w:bookmarkStart w:id="1654" w:name="_Toc26924"/>
      <w:bookmarkStart w:id="1655" w:name="_Toc4034"/>
      <w:bookmarkStart w:id="1656" w:name="_Toc11449"/>
      <w:bookmarkStart w:id="1657" w:name="_Toc29006"/>
      <w:bookmarkStart w:id="1658" w:name="_Toc4748"/>
      <w:bookmarkStart w:id="1659" w:name="_Toc31737"/>
      <w:bookmarkStart w:id="1660" w:name="_Toc31042"/>
      <w:bookmarkStart w:id="1661" w:name="_Toc5375"/>
      <w:bookmarkStart w:id="1662" w:name="_Toc359"/>
      <w:bookmarkStart w:id="1663" w:name="_Toc3812"/>
      <w:bookmarkStart w:id="1664" w:name="_Toc21350"/>
      <w:bookmarkStart w:id="1665" w:name="_Toc20505"/>
      <w:bookmarkStart w:id="1666" w:name="_Toc17586"/>
      <w:bookmarkStart w:id="1667" w:name="_Toc19967"/>
      <w:r>
        <w:rPr>
          <w:rFonts w:hint="eastAsia" w:ascii="宋体" w:hAnsi="宋体" w:cs="宋体"/>
          <w:b/>
          <w:color w:val="auto"/>
          <w:kern w:val="0"/>
          <w:sz w:val="28"/>
          <w:szCs w:val="28"/>
          <w:highlight w:val="none"/>
          <w:lang w:val="en-US" w:eastAsia="zh-CN" w:bidi="ar-SA"/>
        </w:rPr>
        <w:t>（标项一）</w:t>
      </w:r>
      <w:r>
        <w:rPr>
          <w:rFonts w:hint="eastAsia" w:ascii="宋体" w:hAnsi="宋体" w:eastAsia="宋体" w:cs="宋体"/>
          <w:b/>
          <w:color w:val="auto"/>
          <w:kern w:val="0"/>
          <w:sz w:val="28"/>
          <w:szCs w:val="28"/>
          <w:highlight w:val="none"/>
          <w:lang w:val="en-US" w:eastAsia="zh-CN" w:bidi="ar-SA"/>
        </w:rPr>
        <w:t>综合评分表</w:t>
      </w:r>
      <w:bookmarkEnd w:id="1649"/>
    </w:p>
    <w:tbl>
      <w:tblPr>
        <w:tblStyle w:val="27"/>
        <w:tblW w:w="10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855"/>
        <w:gridCol w:w="615"/>
        <w:gridCol w:w="7055"/>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jc w:val="center"/>
        </w:trPr>
        <w:tc>
          <w:tcPr>
            <w:tcW w:w="509" w:type="dxa"/>
            <w:vAlign w:val="center"/>
          </w:tcPr>
          <w:p>
            <w:pPr>
              <w:shd w:val="clear"/>
              <w:spacing w:line="400" w:lineRule="exact"/>
              <w:ind w:firstLine="28"/>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855" w:type="dxa"/>
            <w:vAlign w:val="center"/>
          </w:tcPr>
          <w:p>
            <w:pPr>
              <w:shd w:val="clear"/>
              <w:spacing w:line="400" w:lineRule="exact"/>
              <w:ind w:firstLine="28"/>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评分因素</w:t>
            </w:r>
          </w:p>
        </w:tc>
        <w:tc>
          <w:tcPr>
            <w:tcW w:w="615" w:type="dxa"/>
            <w:vAlign w:val="center"/>
          </w:tcPr>
          <w:p>
            <w:pPr>
              <w:widowControl/>
              <w:shd w:val="clear"/>
              <w:spacing w:line="400" w:lineRule="exact"/>
              <w:jc w:val="center"/>
              <w:rPr>
                <w:rFonts w:hint="eastAsia" w:ascii="宋体" w:hAnsi="宋体" w:eastAsia="宋体" w:cs="宋体"/>
                <w:b/>
                <w:color w:val="auto"/>
                <w:sz w:val="24"/>
                <w:szCs w:val="24"/>
                <w:highlight w:val="none"/>
              </w:rPr>
            </w:pPr>
            <w:r>
              <w:rPr>
                <w:rFonts w:hint="eastAsia" w:ascii="宋体" w:hAnsi="宋体" w:eastAsia="宋体" w:cs="宋体"/>
                <w:b/>
                <w:bCs/>
                <w:color w:val="auto"/>
                <w:kern w:val="0"/>
                <w:sz w:val="24"/>
                <w:szCs w:val="24"/>
                <w:highlight w:val="none"/>
              </w:rPr>
              <w:t>分值</w:t>
            </w:r>
          </w:p>
        </w:tc>
        <w:tc>
          <w:tcPr>
            <w:tcW w:w="7055" w:type="dxa"/>
            <w:vAlign w:val="center"/>
          </w:tcPr>
          <w:p>
            <w:pPr>
              <w:widowControl/>
              <w:shd w:val="clear"/>
              <w:spacing w:line="400" w:lineRule="exact"/>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评分因素及权重、评分标准</w:t>
            </w:r>
          </w:p>
          <w:p>
            <w:pPr>
              <w:widowControl/>
              <w:shd w:val="clear"/>
              <w:spacing w:line="400" w:lineRule="exact"/>
              <w:jc w:val="center"/>
              <w:rPr>
                <w:rFonts w:hint="eastAsia" w:ascii="宋体" w:hAnsi="宋体" w:eastAsia="宋体" w:cs="宋体"/>
                <w:b/>
                <w:color w:val="auto"/>
                <w:sz w:val="24"/>
                <w:szCs w:val="24"/>
                <w:highlight w:val="none"/>
              </w:rPr>
            </w:pPr>
            <w:r>
              <w:rPr>
                <w:rFonts w:hint="eastAsia" w:ascii="宋体" w:hAnsi="宋体" w:eastAsia="宋体" w:cs="宋体"/>
                <w:b/>
                <w:bCs/>
                <w:color w:val="auto"/>
                <w:kern w:val="0"/>
                <w:sz w:val="24"/>
                <w:szCs w:val="24"/>
                <w:highlight w:val="none"/>
              </w:rPr>
              <w:t>价   格：</w:t>
            </w:r>
            <w:r>
              <w:rPr>
                <w:rFonts w:hint="eastAsia" w:ascii="宋体" w:hAnsi="宋体" w:eastAsia="宋体" w:cs="宋体"/>
                <w:b/>
                <w:bCs/>
                <w:color w:val="auto"/>
                <w:kern w:val="0"/>
                <w:sz w:val="24"/>
                <w:szCs w:val="24"/>
                <w:highlight w:val="none"/>
                <w:lang w:val="en-US" w:eastAsia="zh-CN"/>
              </w:rPr>
              <w:t>30</w:t>
            </w:r>
            <w:r>
              <w:rPr>
                <w:rFonts w:hint="eastAsia" w:ascii="宋体" w:hAnsi="宋体" w:eastAsia="宋体" w:cs="宋体"/>
                <w:b/>
                <w:bCs/>
                <w:color w:val="auto"/>
                <w:kern w:val="0"/>
                <w:sz w:val="24"/>
                <w:szCs w:val="24"/>
                <w:highlight w:val="none"/>
              </w:rPr>
              <w:t>分  商   务：</w:t>
            </w:r>
            <w:r>
              <w:rPr>
                <w:rFonts w:hint="eastAsia" w:ascii="宋体" w:hAnsi="宋体" w:eastAsia="宋体" w:cs="宋体"/>
                <w:b/>
                <w:bCs/>
                <w:color w:val="auto"/>
                <w:kern w:val="0"/>
                <w:sz w:val="24"/>
                <w:szCs w:val="24"/>
                <w:highlight w:val="none"/>
                <w:lang w:val="en-US" w:eastAsia="zh-CN"/>
              </w:rPr>
              <w:t>22</w:t>
            </w:r>
            <w:r>
              <w:rPr>
                <w:rFonts w:hint="eastAsia" w:ascii="宋体" w:hAnsi="宋体" w:eastAsia="宋体" w:cs="宋体"/>
                <w:b/>
                <w:bCs/>
                <w:color w:val="auto"/>
                <w:kern w:val="0"/>
                <w:sz w:val="24"/>
                <w:szCs w:val="24"/>
                <w:highlight w:val="none"/>
              </w:rPr>
              <w:t>分   技   术：</w:t>
            </w:r>
            <w:r>
              <w:rPr>
                <w:rFonts w:hint="eastAsia" w:ascii="宋体" w:hAnsi="宋体" w:eastAsia="宋体" w:cs="宋体"/>
                <w:b/>
                <w:bCs/>
                <w:color w:val="auto"/>
                <w:kern w:val="0"/>
                <w:sz w:val="24"/>
                <w:szCs w:val="24"/>
                <w:highlight w:val="none"/>
                <w:lang w:val="en-US" w:eastAsia="zh-CN"/>
              </w:rPr>
              <w:t>48</w:t>
            </w:r>
            <w:r>
              <w:rPr>
                <w:rFonts w:hint="eastAsia" w:ascii="宋体" w:hAnsi="宋体" w:eastAsia="宋体" w:cs="宋体"/>
                <w:b/>
                <w:bCs/>
                <w:color w:val="auto"/>
                <w:kern w:val="0"/>
                <w:sz w:val="24"/>
                <w:szCs w:val="24"/>
                <w:highlight w:val="none"/>
              </w:rPr>
              <w:t xml:space="preserve">分              </w:t>
            </w:r>
          </w:p>
        </w:tc>
        <w:tc>
          <w:tcPr>
            <w:tcW w:w="1478" w:type="dxa"/>
            <w:vAlign w:val="center"/>
          </w:tcPr>
          <w:p>
            <w:pPr>
              <w:pStyle w:val="42"/>
              <w:shd w:val="clear"/>
              <w:spacing w:before="0" w:after="0"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atLeast"/>
          <w:jc w:val="center"/>
        </w:trPr>
        <w:tc>
          <w:tcPr>
            <w:tcW w:w="509" w:type="dxa"/>
            <w:vAlign w:val="center"/>
          </w:tcPr>
          <w:p>
            <w:pPr>
              <w:shd w:val="clea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855" w:type="dxa"/>
            <w:vAlign w:val="center"/>
          </w:tcPr>
          <w:p>
            <w:pPr>
              <w:shd w:val="clea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价格评分标</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准</w:t>
            </w:r>
          </w:p>
        </w:tc>
        <w:tc>
          <w:tcPr>
            <w:tcW w:w="615" w:type="dxa"/>
            <w:vAlign w:val="center"/>
          </w:tcPr>
          <w:p>
            <w:pPr>
              <w:shd w:val="clear"/>
              <w:spacing w:line="400" w:lineRule="exact"/>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30</w:t>
            </w:r>
          </w:p>
        </w:tc>
        <w:tc>
          <w:tcPr>
            <w:tcW w:w="7055" w:type="dxa"/>
            <w:vAlign w:val="center"/>
          </w:tcPr>
          <w:p>
            <w:pPr>
              <w:shd w:val="clear"/>
              <w:spacing w:line="400" w:lineRule="exact"/>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投标报价</w:t>
            </w:r>
            <w:r>
              <w:rPr>
                <w:rFonts w:hint="eastAsia" w:ascii="宋体" w:hAnsi="宋体" w:eastAsia="宋体" w:cs="宋体"/>
                <w:b/>
                <w:bCs/>
                <w:color w:val="auto"/>
                <w:sz w:val="24"/>
                <w:szCs w:val="24"/>
                <w:highlight w:val="none"/>
                <w:lang w:eastAsia="zh-CN"/>
              </w:rPr>
              <w:t>：</w:t>
            </w:r>
            <w:r>
              <w:rPr>
                <w:rFonts w:hint="eastAsia" w:ascii="宋体" w:hAnsi="宋体" w:eastAsia="宋体" w:cs="宋体"/>
                <w:color w:val="auto"/>
                <w:sz w:val="24"/>
                <w:szCs w:val="24"/>
                <w:highlight w:val="none"/>
              </w:rPr>
              <w:t>完全满足招标文件参数的投标报价中的最低价为评标基准价，按照下列公式计算每个供应商的投标价格得分。投标报价得分＝（基准价/投标报价）×价格权重×100</w:t>
            </w:r>
            <w:r>
              <w:rPr>
                <w:rFonts w:hint="eastAsia" w:ascii="宋体" w:hAnsi="宋体" w:eastAsia="宋体" w:cs="宋体"/>
                <w:color w:val="auto"/>
                <w:sz w:val="24"/>
                <w:szCs w:val="24"/>
                <w:highlight w:val="none"/>
                <w:lang w:val="en-US" w:eastAsia="zh-CN"/>
              </w:rPr>
              <w:t>%</w:t>
            </w:r>
          </w:p>
        </w:tc>
        <w:tc>
          <w:tcPr>
            <w:tcW w:w="1478" w:type="dxa"/>
            <w:vAlign w:val="center"/>
          </w:tcPr>
          <w:p>
            <w:pPr>
              <w:shd w:val="clear"/>
              <w:spacing w:line="400" w:lineRule="exact"/>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投标报价超过采购预算价的按废标处理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509" w:type="dxa"/>
            <w:vAlign w:val="center"/>
          </w:tcPr>
          <w:p>
            <w:pPr>
              <w:shd w:val="clea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855" w:type="dxa"/>
            <w:vMerge w:val="restart"/>
            <w:vAlign w:val="center"/>
          </w:tcPr>
          <w:p>
            <w:pPr>
              <w:shd w:val="clear"/>
              <w:spacing w:line="40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商务评分标准</w:t>
            </w:r>
          </w:p>
        </w:tc>
        <w:tc>
          <w:tcPr>
            <w:tcW w:w="615" w:type="dxa"/>
            <w:vAlign w:val="center"/>
          </w:tcPr>
          <w:p>
            <w:pPr>
              <w:shd w:val="clear"/>
              <w:spacing w:line="400" w:lineRule="exact"/>
              <w:jc w:val="center"/>
              <w:rPr>
                <w:rFonts w:hint="eastAsia" w:ascii="宋体" w:hAnsi="宋体" w:eastAsia="宋体" w:cs="宋体"/>
                <w:color w:val="0000FF"/>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7055" w:type="dxa"/>
            <w:vAlign w:val="center"/>
          </w:tcPr>
          <w:p>
            <w:pPr>
              <w:shd w:val="clear"/>
              <w:spacing w:line="400" w:lineRule="exact"/>
              <w:rPr>
                <w:rFonts w:hint="eastAsia" w:ascii="宋体" w:hAnsi="宋体" w:eastAsia="宋体" w:cs="宋体"/>
                <w:color w:val="0000FF"/>
                <w:sz w:val="24"/>
                <w:szCs w:val="24"/>
                <w:highlight w:val="none"/>
              </w:rPr>
            </w:pPr>
            <w:r>
              <w:rPr>
                <w:rFonts w:hint="eastAsia" w:ascii="宋体" w:hAnsi="宋体" w:eastAsia="宋体" w:cs="宋体"/>
                <w:b/>
                <w:bCs/>
                <w:sz w:val="24"/>
                <w:szCs w:val="24"/>
              </w:rPr>
              <w:t>贮藏及加工场所</w:t>
            </w:r>
            <w:r>
              <w:rPr>
                <w:rFonts w:hint="eastAsia" w:ascii="宋体" w:hAnsi="宋体" w:eastAsia="宋体" w:cs="宋体"/>
                <w:sz w:val="24"/>
                <w:szCs w:val="24"/>
                <w:lang w:val="en-US" w:eastAsia="zh-CN"/>
              </w:rPr>
              <w:t>：</w:t>
            </w:r>
            <w:r>
              <w:rPr>
                <w:rFonts w:hint="eastAsia" w:ascii="宋体" w:hAnsi="宋体" w:eastAsia="宋体" w:cs="宋体"/>
                <w:sz w:val="24"/>
                <w:szCs w:val="24"/>
              </w:rPr>
              <w:t>供应商具有食材贮藏及加工场所</w:t>
            </w:r>
            <w:r>
              <w:rPr>
                <w:rFonts w:hint="eastAsia" w:ascii="宋体" w:hAnsi="宋体" w:eastAsia="宋体" w:cs="宋体"/>
                <w:sz w:val="24"/>
                <w:szCs w:val="24"/>
                <w:lang w:val="en-US" w:eastAsia="zh-CN"/>
              </w:rPr>
              <w:t>40</w:t>
            </w:r>
            <w:r>
              <w:rPr>
                <w:rFonts w:hint="eastAsia" w:ascii="宋体" w:hAnsi="宋体" w:eastAsia="宋体" w:cs="宋体"/>
                <w:sz w:val="24"/>
                <w:szCs w:val="24"/>
              </w:rPr>
              <w:t>00㎡(含)以上的得</w:t>
            </w:r>
            <w:r>
              <w:rPr>
                <w:rFonts w:hint="eastAsia" w:ascii="宋体" w:hAnsi="宋体" w:eastAsia="宋体" w:cs="宋体"/>
                <w:sz w:val="24"/>
                <w:szCs w:val="24"/>
                <w:lang w:val="en-US" w:eastAsia="zh-CN"/>
              </w:rPr>
              <w:t>6</w:t>
            </w:r>
            <w:r>
              <w:rPr>
                <w:rFonts w:hint="eastAsia" w:ascii="宋体" w:hAnsi="宋体" w:eastAsia="宋体" w:cs="宋体"/>
                <w:sz w:val="24"/>
                <w:szCs w:val="24"/>
              </w:rPr>
              <w:t>分，</w:t>
            </w:r>
            <w:r>
              <w:rPr>
                <w:rFonts w:hint="eastAsia" w:ascii="宋体" w:hAnsi="宋体" w:eastAsia="宋体" w:cs="宋体"/>
                <w:sz w:val="24"/>
                <w:szCs w:val="24"/>
                <w:lang w:val="en-US" w:eastAsia="zh-CN"/>
              </w:rPr>
              <w:t>4</w:t>
            </w:r>
            <w:r>
              <w:rPr>
                <w:rFonts w:hint="eastAsia" w:ascii="宋体" w:hAnsi="宋体" w:eastAsia="宋体" w:cs="宋体"/>
                <w:sz w:val="24"/>
                <w:szCs w:val="24"/>
              </w:rPr>
              <w:t>000㎡(不含)-</w:t>
            </w:r>
            <w:r>
              <w:rPr>
                <w:rFonts w:hint="eastAsia" w:ascii="宋体" w:hAnsi="宋体" w:eastAsia="宋体" w:cs="宋体"/>
                <w:sz w:val="24"/>
                <w:szCs w:val="24"/>
                <w:lang w:val="en-US" w:eastAsia="zh-CN"/>
              </w:rPr>
              <w:t>20</w:t>
            </w:r>
            <w:r>
              <w:rPr>
                <w:rFonts w:hint="eastAsia" w:ascii="宋体" w:hAnsi="宋体" w:eastAsia="宋体" w:cs="宋体"/>
                <w:sz w:val="24"/>
                <w:szCs w:val="24"/>
              </w:rPr>
              <w:t>00㎡(含)的得</w:t>
            </w:r>
            <w:r>
              <w:rPr>
                <w:rFonts w:hint="eastAsia" w:ascii="宋体" w:hAnsi="宋体" w:eastAsia="宋体" w:cs="宋体"/>
                <w:sz w:val="24"/>
                <w:szCs w:val="24"/>
                <w:lang w:val="en-US" w:eastAsia="zh-CN"/>
              </w:rPr>
              <w:t>4</w:t>
            </w:r>
            <w:r>
              <w:rPr>
                <w:rFonts w:hint="eastAsia" w:ascii="宋体" w:hAnsi="宋体" w:eastAsia="宋体" w:cs="宋体"/>
                <w:sz w:val="24"/>
                <w:szCs w:val="24"/>
              </w:rPr>
              <w:t>分，</w:t>
            </w:r>
            <w:r>
              <w:rPr>
                <w:rFonts w:hint="eastAsia" w:ascii="宋体" w:hAnsi="宋体" w:eastAsia="宋体" w:cs="宋体"/>
                <w:sz w:val="24"/>
                <w:szCs w:val="24"/>
                <w:lang w:val="en-US" w:eastAsia="zh-CN"/>
              </w:rPr>
              <w:t>20</w:t>
            </w:r>
            <w:r>
              <w:rPr>
                <w:rFonts w:hint="eastAsia" w:ascii="宋体" w:hAnsi="宋体" w:eastAsia="宋体" w:cs="宋体"/>
                <w:sz w:val="24"/>
                <w:szCs w:val="24"/>
              </w:rPr>
              <w:t xml:space="preserve">00㎡(不含)- </w:t>
            </w:r>
            <w:r>
              <w:rPr>
                <w:rFonts w:hint="eastAsia" w:ascii="宋体" w:hAnsi="宋体" w:eastAsia="宋体" w:cs="宋体"/>
                <w:sz w:val="24"/>
                <w:szCs w:val="24"/>
                <w:lang w:val="en-US" w:eastAsia="zh-CN"/>
              </w:rPr>
              <w:t>5</w:t>
            </w:r>
            <w:r>
              <w:rPr>
                <w:rFonts w:hint="eastAsia" w:ascii="宋体" w:hAnsi="宋体" w:eastAsia="宋体" w:cs="宋体"/>
                <w:sz w:val="24"/>
                <w:szCs w:val="24"/>
              </w:rPr>
              <w:t>00㎡(含)的得</w:t>
            </w: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分，500㎡及以下得1分，未提供的得0 分。 注：自有场地的提供产权证明或租赁场地的提供租赁合 同复印件，并提供实景图片加盖供应商公章，否则不得分。 </w:t>
            </w:r>
          </w:p>
        </w:tc>
        <w:tc>
          <w:tcPr>
            <w:tcW w:w="1478" w:type="dxa"/>
            <w:vMerge w:val="restart"/>
            <w:vAlign w:val="center"/>
          </w:tcPr>
          <w:p>
            <w:pPr>
              <w:shd w:val="clear"/>
              <w:spacing w:line="400" w:lineRule="exact"/>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根据需求提供必要的证明资料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jc w:val="center"/>
        </w:trPr>
        <w:tc>
          <w:tcPr>
            <w:tcW w:w="509" w:type="dxa"/>
            <w:vAlign w:val="center"/>
          </w:tcPr>
          <w:p>
            <w:pPr>
              <w:shd w:val="clear"/>
              <w:spacing w:line="40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w:t>
            </w:r>
          </w:p>
        </w:tc>
        <w:tc>
          <w:tcPr>
            <w:tcW w:w="855" w:type="dxa"/>
            <w:vMerge w:val="continue"/>
            <w:vAlign w:val="center"/>
          </w:tcPr>
          <w:p>
            <w:pPr>
              <w:shd w:val="clear"/>
              <w:spacing w:line="400" w:lineRule="exact"/>
              <w:rPr>
                <w:rFonts w:hint="eastAsia" w:ascii="宋体" w:hAnsi="宋体" w:eastAsia="宋体" w:cs="宋体"/>
                <w:color w:val="auto"/>
                <w:sz w:val="24"/>
                <w:szCs w:val="24"/>
                <w:highlight w:val="none"/>
              </w:rPr>
            </w:pPr>
          </w:p>
        </w:tc>
        <w:tc>
          <w:tcPr>
            <w:tcW w:w="615" w:type="dxa"/>
            <w:vAlign w:val="center"/>
          </w:tcPr>
          <w:p>
            <w:pPr>
              <w:shd w:val="clear"/>
              <w:spacing w:line="400" w:lineRule="exact"/>
              <w:jc w:val="center"/>
              <w:rPr>
                <w:rFonts w:hint="eastAsia" w:ascii="宋体" w:hAnsi="宋体" w:eastAsia="宋体" w:cs="宋体"/>
                <w:color w:val="auto"/>
                <w:kern w:val="0"/>
                <w:sz w:val="24"/>
                <w:szCs w:val="24"/>
                <w:highlight w:val="none"/>
                <w:lang w:val="en-US"/>
              </w:rPr>
            </w:pPr>
            <w:r>
              <w:rPr>
                <w:rFonts w:hint="eastAsia" w:ascii="宋体" w:hAnsi="宋体" w:eastAsia="宋体" w:cs="宋体"/>
                <w:color w:val="auto"/>
                <w:sz w:val="24"/>
                <w:szCs w:val="24"/>
                <w:highlight w:val="none"/>
                <w:lang w:val="en-US" w:eastAsia="zh-CN"/>
              </w:rPr>
              <w:t>14</w:t>
            </w:r>
          </w:p>
        </w:tc>
        <w:tc>
          <w:tcPr>
            <w:tcW w:w="7055" w:type="dxa"/>
            <w:vAlign w:val="center"/>
          </w:tcPr>
          <w:p>
            <w:pPr>
              <w:shd w:val="clear"/>
              <w:spacing w:line="400" w:lineRule="exact"/>
              <w:rPr>
                <w:rFonts w:hint="eastAsia" w:ascii="宋体" w:hAnsi="宋体" w:eastAsia="宋体" w:cs="宋体"/>
                <w:sz w:val="24"/>
                <w:szCs w:val="24"/>
              </w:rPr>
            </w:pPr>
            <w:r>
              <w:rPr>
                <w:rFonts w:hint="eastAsia" w:ascii="宋体" w:hAnsi="宋体" w:eastAsia="宋体" w:cs="宋体"/>
                <w:b/>
                <w:bCs/>
                <w:sz w:val="24"/>
                <w:szCs w:val="24"/>
                <w:lang w:val="en-US" w:eastAsia="zh-CN"/>
              </w:rPr>
              <w:t>配送车辆：</w:t>
            </w:r>
            <w:r>
              <w:rPr>
                <w:rFonts w:hint="eastAsia" w:ascii="宋体" w:hAnsi="宋体" w:eastAsia="宋体" w:cs="宋体"/>
                <w:sz w:val="24"/>
                <w:szCs w:val="24"/>
              </w:rPr>
              <w:t>供应商能为本项目提供满足基本要求（</w:t>
            </w:r>
            <w:r>
              <w:rPr>
                <w:rFonts w:hint="eastAsia" w:ascii="宋体" w:hAnsi="宋体" w:eastAsia="宋体" w:cs="宋体"/>
                <w:sz w:val="24"/>
                <w:szCs w:val="24"/>
                <w:lang w:val="en-US" w:eastAsia="zh-CN"/>
              </w:rPr>
              <w:t>4</w:t>
            </w:r>
            <w:r>
              <w:rPr>
                <w:rFonts w:hint="eastAsia" w:ascii="宋体" w:hAnsi="宋体" w:eastAsia="宋体" w:cs="宋体"/>
                <w:sz w:val="24"/>
                <w:szCs w:val="24"/>
              </w:rPr>
              <w:t>辆）的自有或租赁封闭式专用冷藏运输车辆</w:t>
            </w:r>
            <w:r>
              <w:rPr>
                <w:rFonts w:hint="eastAsia" w:ascii="宋体" w:hAnsi="宋体" w:eastAsia="宋体" w:cs="宋体"/>
                <w:sz w:val="24"/>
                <w:szCs w:val="24"/>
                <w:lang w:val="en-US" w:eastAsia="zh-CN"/>
              </w:rPr>
              <w:t>及厢式货车得4分，</w:t>
            </w:r>
            <w:r>
              <w:rPr>
                <w:rFonts w:hint="eastAsia" w:ascii="宋体" w:hAnsi="宋体" w:eastAsia="宋体" w:cs="宋体"/>
                <w:sz w:val="24"/>
                <w:szCs w:val="24"/>
              </w:rPr>
              <w:t>在此基础上，每增加1辆</w:t>
            </w:r>
            <w:r>
              <w:rPr>
                <w:rFonts w:hint="eastAsia" w:ascii="宋体" w:hAnsi="宋体" w:eastAsia="宋体" w:cs="宋体"/>
                <w:sz w:val="24"/>
                <w:szCs w:val="24"/>
                <w:lang w:eastAsia="zh-CN"/>
              </w:rPr>
              <w:t>得</w:t>
            </w:r>
            <w:r>
              <w:rPr>
                <w:rFonts w:hint="eastAsia" w:ascii="宋体" w:hAnsi="宋体" w:eastAsia="宋体" w:cs="宋体"/>
                <w:sz w:val="24"/>
                <w:szCs w:val="24"/>
                <w:lang w:val="en-US" w:eastAsia="zh-CN"/>
              </w:rPr>
              <w:t>1分，</w:t>
            </w:r>
            <w:r>
              <w:rPr>
                <w:rFonts w:hint="eastAsia" w:ascii="宋体" w:hAnsi="宋体" w:eastAsia="宋体" w:cs="宋体"/>
                <w:sz w:val="24"/>
                <w:szCs w:val="24"/>
              </w:rPr>
              <w:t>最高得</w:t>
            </w:r>
            <w:r>
              <w:rPr>
                <w:rFonts w:hint="eastAsia" w:ascii="宋体" w:hAnsi="宋体" w:eastAsia="宋体" w:cs="宋体"/>
                <w:sz w:val="24"/>
                <w:szCs w:val="24"/>
                <w:lang w:val="en-US" w:eastAsia="zh-CN"/>
              </w:rPr>
              <w:t>8</w:t>
            </w:r>
            <w:r>
              <w:rPr>
                <w:rFonts w:hint="eastAsia" w:ascii="宋体" w:hAnsi="宋体" w:eastAsia="宋体" w:cs="宋体"/>
                <w:sz w:val="24"/>
                <w:szCs w:val="24"/>
              </w:rPr>
              <w:t>分。注：自有车辆提供机动车辆行驶证，租赁的车辆提供租赁合同及行驶证，并提供车辆内外图片（图片须包含车牌）加盖供应商公章，否则不得分。</w:t>
            </w:r>
          </w:p>
          <w:p>
            <w:pPr>
              <w:shd w:val="clear"/>
              <w:spacing w:line="400" w:lineRule="exact"/>
              <w:rPr>
                <w:rFonts w:hint="eastAsia" w:ascii="宋体" w:hAnsi="宋体" w:eastAsia="宋体" w:cs="宋体"/>
                <w:b/>
                <w:bCs/>
                <w:color w:val="auto"/>
                <w:kern w:val="0"/>
                <w:sz w:val="24"/>
                <w:szCs w:val="24"/>
                <w:highlight w:val="none"/>
              </w:rPr>
            </w:pPr>
            <w:r>
              <w:rPr>
                <w:rFonts w:hint="eastAsia" w:ascii="宋体" w:hAnsi="宋体" w:eastAsia="宋体" w:cs="宋体"/>
                <w:b/>
                <w:bCs/>
                <w:sz w:val="24"/>
                <w:szCs w:val="24"/>
                <w:lang w:val="en-US" w:eastAsia="zh-CN"/>
              </w:rPr>
              <w:t>人员健康证:</w:t>
            </w:r>
            <w:r>
              <w:rPr>
                <w:rFonts w:hint="eastAsia" w:ascii="宋体" w:hAnsi="宋体" w:eastAsia="宋体" w:cs="宋体"/>
                <w:sz w:val="24"/>
                <w:szCs w:val="24"/>
              </w:rPr>
              <w:t>供应商能为本项目提供满足基本要求</w:t>
            </w:r>
            <w:r>
              <w:rPr>
                <w:rFonts w:hint="eastAsia" w:ascii="宋体" w:hAnsi="宋体" w:eastAsia="宋体" w:cs="宋体"/>
                <w:sz w:val="24"/>
                <w:szCs w:val="24"/>
                <w:lang w:eastAsia="zh-CN"/>
              </w:rPr>
              <w:t>的</w:t>
            </w:r>
            <w:r>
              <w:rPr>
                <w:rFonts w:hint="eastAsia" w:ascii="宋体" w:hAnsi="宋体" w:eastAsia="宋体" w:cs="宋体"/>
                <w:sz w:val="24"/>
                <w:szCs w:val="24"/>
                <w:lang w:val="en-US" w:eastAsia="zh-CN"/>
              </w:rPr>
              <w:t>8人健康证得4分</w:t>
            </w:r>
            <w:r>
              <w:rPr>
                <w:rFonts w:hint="eastAsia" w:ascii="宋体" w:hAnsi="宋体" w:eastAsia="宋体" w:cs="宋体"/>
                <w:sz w:val="24"/>
                <w:szCs w:val="24"/>
              </w:rPr>
              <w:t>，</w:t>
            </w:r>
            <w:r>
              <w:rPr>
                <w:rFonts w:hint="eastAsia" w:ascii="宋体" w:hAnsi="宋体" w:eastAsia="宋体" w:cs="宋体"/>
                <w:sz w:val="24"/>
                <w:szCs w:val="24"/>
                <w:lang w:eastAsia="zh-CN"/>
              </w:rPr>
              <w:t>每增加</w:t>
            </w:r>
            <w:r>
              <w:rPr>
                <w:rFonts w:hint="eastAsia" w:ascii="宋体" w:hAnsi="宋体" w:eastAsia="宋体" w:cs="宋体"/>
                <w:sz w:val="24"/>
                <w:szCs w:val="24"/>
                <w:lang w:val="en-US" w:eastAsia="zh-CN"/>
              </w:rPr>
              <w:t>1人</w:t>
            </w:r>
            <w:r>
              <w:rPr>
                <w:rFonts w:hint="eastAsia" w:ascii="宋体" w:hAnsi="宋体" w:eastAsia="宋体" w:cs="宋体"/>
                <w:sz w:val="24"/>
                <w:szCs w:val="24"/>
                <w:lang w:eastAsia="zh-CN"/>
              </w:rPr>
              <w:t>得</w:t>
            </w:r>
            <w:r>
              <w:rPr>
                <w:rFonts w:hint="eastAsia" w:ascii="宋体" w:hAnsi="宋体" w:eastAsia="宋体" w:cs="宋体"/>
                <w:sz w:val="24"/>
                <w:szCs w:val="24"/>
                <w:lang w:val="en-US" w:eastAsia="zh-CN"/>
              </w:rPr>
              <w:t>0.5</w:t>
            </w:r>
            <w:r>
              <w:rPr>
                <w:rFonts w:hint="eastAsia" w:ascii="宋体" w:hAnsi="宋体" w:eastAsia="宋体" w:cs="宋体"/>
                <w:sz w:val="24"/>
                <w:szCs w:val="24"/>
              </w:rPr>
              <w:t>分；本项最高得</w:t>
            </w:r>
            <w:r>
              <w:rPr>
                <w:rFonts w:hint="eastAsia" w:ascii="宋体" w:hAnsi="宋体" w:eastAsia="宋体" w:cs="宋体"/>
                <w:sz w:val="24"/>
                <w:szCs w:val="24"/>
                <w:lang w:val="en-US" w:eastAsia="zh-CN"/>
              </w:rPr>
              <w:t>6</w:t>
            </w:r>
            <w:r>
              <w:rPr>
                <w:rFonts w:hint="eastAsia" w:ascii="宋体" w:hAnsi="宋体" w:eastAsia="宋体" w:cs="宋体"/>
                <w:sz w:val="24"/>
                <w:szCs w:val="24"/>
              </w:rPr>
              <w:t xml:space="preserve">分。 </w:t>
            </w:r>
          </w:p>
        </w:tc>
        <w:tc>
          <w:tcPr>
            <w:tcW w:w="1478" w:type="dxa"/>
            <w:vMerge w:val="continue"/>
            <w:vAlign w:val="center"/>
          </w:tcPr>
          <w:p>
            <w:pPr>
              <w:shd w:val="clear"/>
              <w:spacing w:line="40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509" w:type="dxa"/>
            <w:vAlign w:val="center"/>
          </w:tcPr>
          <w:p>
            <w:pPr>
              <w:shd w:val="clear"/>
              <w:spacing w:line="40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4</w:t>
            </w:r>
          </w:p>
        </w:tc>
        <w:tc>
          <w:tcPr>
            <w:tcW w:w="855" w:type="dxa"/>
            <w:vMerge w:val="continue"/>
            <w:vAlign w:val="center"/>
          </w:tcPr>
          <w:p>
            <w:pPr>
              <w:shd w:val="clear"/>
              <w:spacing w:line="400" w:lineRule="exact"/>
              <w:rPr>
                <w:rFonts w:hint="eastAsia" w:ascii="宋体" w:hAnsi="宋体" w:eastAsia="宋体" w:cs="宋体"/>
                <w:color w:val="auto"/>
                <w:sz w:val="24"/>
                <w:szCs w:val="24"/>
                <w:highlight w:val="none"/>
              </w:rPr>
            </w:pPr>
          </w:p>
        </w:tc>
        <w:tc>
          <w:tcPr>
            <w:tcW w:w="615" w:type="dxa"/>
            <w:vAlign w:val="center"/>
          </w:tcPr>
          <w:p>
            <w:pPr>
              <w:shd w:val="clear"/>
              <w:spacing w:line="400" w:lineRule="exact"/>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w:t>
            </w:r>
          </w:p>
        </w:tc>
        <w:tc>
          <w:tcPr>
            <w:tcW w:w="7055" w:type="dxa"/>
            <w:vAlign w:val="center"/>
          </w:tcPr>
          <w:p>
            <w:pPr>
              <w:bidi w:val="0"/>
              <w:rPr>
                <w:rFonts w:hint="eastAsia" w:ascii="宋体" w:hAnsi="宋体" w:eastAsia="宋体" w:cs="宋体"/>
                <w:color w:val="auto"/>
                <w:sz w:val="24"/>
                <w:szCs w:val="24"/>
                <w:lang w:val="en-US" w:eastAsia="zh-CN"/>
              </w:rPr>
            </w:pPr>
            <w:r>
              <w:rPr>
                <w:rFonts w:hint="eastAsia" w:ascii="宋体" w:hAnsi="宋体" w:eastAsia="宋体" w:cs="宋体"/>
                <w:b/>
                <w:bCs/>
                <w:sz w:val="24"/>
                <w:szCs w:val="24"/>
                <w:lang w:val="en-US" w:eastAsia="zh-CN"/>
              </w:rPr>
              <w:t>种植基地:</w:t>
            </w:r>
            <w:r>
              <w:rPr>
                <w:rFonts w:hint="eastAsia" w:ascii="宋体" w:hAnsi="宋体" w:eastAsia="宋体" w:cs="宋体"/>
                <w:b w:val="0"/>
                <w:bCs w:val="0"/>
                <w:color w:val="auto"/>
                <w:sz w:val="24"/>
                <w:szCs w:val="24"/>
              </w:rPr>
              <w:t>供应商</w:t>
            </w:r>
            <w:r>
              <w:rPr>
                <w:rFonts w:hint="eastAsia" w:ascii="宋体" w:hAnsi="宋体" w:eastAsia="宋体" w:cs="宋体"/>
                <w:b w:val="0"/>
                <w:bCs w:val="0"/>
                <w:color w:val="auto"/>
                <w:sz w:val="24"/>
                <w:szCs w:val="24"/>
                <w:lang w:val="en-US" w:eastAsia="zh-CN"/>
              </w:rPr>
              <w:t>自有500亩以上种植基地得2分</w:t>
            </w:r>
            <w:r>
              <w:rPr>
                <w:rFonts w:hint="eastAsia" w:ascii="宋体" w:hAnsi="宋体" w:eastAsia="宋体" w:cs="宋体"/>
                <w:b w:val="0"/>
                <w:bCs w:val="0"/>
                <w:color w:val="auto"/>
                <w:sz w:val="24"/>
                <w:szCs w:val="24"/>
              </w:rPr>
              <w:t>，否则不得分。</w:t>
            </w:r>
            <w:r>
              <w:rPr>
                <w:rFonts w:hint="eastAsia" w:ascii="宋体" w:hAnsi="宋体" w:eastAsia="宋体" w:cs="宋体"/>
                <w:b w:val="0"/>
                <w:bCs w:val="0"/>
                <w:color w:val="auto"/>
                <w:sz w:val="24"/>
                <w:szCs w:val="24"/>
                <w:lang w:val="en-US" w:eastAsia="zh-CN"/>
              </w:rPr>
              <w:t>提供相关证明材料。</w:t>
            </w:r>
          </w:p>
        </w:tc>
        <w:tc>
          <w:tcPr>
            <w:tcW w:w="1478" w:type="dxa"/>
            <w:vMerge w:val="continue"/>
            <w:vAlign w:val="center"/>
          </w:tcPr>
          <w:p>
            <w:pPr>
              <w:shd w:val="clear"/>
              <w:spacing w:line="40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jc w:val="center"/>
        </w:trPr>
        <w:tc>
          <w:tcPr>
            <w:tcW w:w="509" w:type="dxa"/>
            <w:vAlign w:val="center"/>
          </w:tcPr>
          <w:p>
            <w:pPr>
              <w:shd w:val="clear"/>
              <w:spacing w:line="40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5</w:t>
            </w:r>
          </w:p>
        </w:tc>
        <w:tc>
          <w:tcPr>
            <w:tcW w:w="855" w:type="dxa"/>
            <w:vMerge w:val="restart"/>
            <w:vAlign w:val="center"/>
          </w:tcPr>
          <w:p>
            <w:pPr>
              <w:shd w:val="clear"/>
              <w:spacing w:line="400" w:lineRule="exac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技术评分标准</w:t>
            </w:r>
          </w:p>
        </w:tc>
        <w:tc>
          <w:tcPr>
            <w:tcW w:w="615" w:type="dxa"/>
            <w:vAlign w:val="center"/>
          </w:tcPr>
          <w:p>
            <w:pPr>
              <w:shd w:val="clear"/>
              <w:spacing w:line="40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sz w:val="24"/>
                <w:szCs w:val="24"/>
              </w:rPr>
              <w:t>2</w:t>
            </w:r>
            <w:r>
              <w:rPr>
                <w:rFonts w:hint="eastAsia" w:ascii="宋体" w:hAnsi="宋体" w:eastAsia="宋体" w:cs="宋体"/>
                <w:sz w:val="24"/>
                <w:szCs w:val="24"/>
                <w:lang w:val="en-US" w:eastAsia="zh-CN"/>
              </w:rPr>
              <w:t>0</w:t>
            </w:r>
          </w:p>
        </w:tc>
        <w:tc>
          <w:tcPr>
            <w:tcW w:w="7055" w:type="dxa"/>
            <w:vAlign w:val="center"/>
          </w:tcPr>
          <w:p>
            <w:pPr>
              <w:shd w:val="clear"/>
              <w:spacing w:line="400" w:lineRule="exact"/>
              <w:rPr>
                <w:rFonts w:hint="eastAsia" w:ascii="宋体" w:hAnsi="宋体" w:eastAsia="宋体" w:cs="宋体"/>
                <w:color w:val="auto"/>
                <w:sz w:val="24"/>
                <w:szCs w:val="24"/>
                <w:highlight w:val="none"/>
                <w:lang w:eastAsia="zh-CN"/>
              </w:rPr>
            </w:pPr>
            <w:r>
              <w:rPr>
                <w:rFonts w:hint="eastAsia" w:ascii="宋体" w:hAnsi="宋体" w:eastAsia="宋体" w:cs="宋体"/>
                <w:b/>
                <w:bCs/>
                <w:sz w:val="24"/>
                <w:szCs w:val="24"/>
              </w:rPr>
              <w:t>项目服务方案</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sz w:val="24"/>
                <w:szCs w:val="24"/>
              </w:rPr>
              <w:t>根据供应商针对本项目提供项目服务方案（至少包含：1、 项目组织结构与人员职责划分；2、管理制度建设方案（含 日常管理）；3、货源采购方案；4、仓储管理方案；5、服务质量控制体系及措施；6、食品安全保证措施；7、完善的售后服务体系等进行综合评审： 方案完整包含上述要点，要点内容完善、详细合理、逻辑清晰、有条理、对本项目有针对性、符合项目实际情况的得2</w:t>
            </w:r>
            <w:r>
              <w:rPr>
                <w:rFonts w:hint="eastAsia" w:ascii="宋体" w:hAnsi="宋体" w:eastAsia="宋体" w:cs="宋体"/>
                <w:sz w:val="24"/>
                <w:szCs w:val="24"/>
                <w:lang w:val="en-US" w:eastAsia="zh-CN"/>
              </w:rPr>
              <w:t>0</w:t>
            </w:r>
            <w:r>
              <w:rPr>
                <w:rFonts w:hint="eastAsia" w:ascii="宋体" w:hAnsi="宋体" w:eastAsia="宋体" w:cs="宋体"/>
                <w:sz w:val="24"/>
                <w:szCs w:val="24"/>
              </w:rPr>
              <w:t>分。缺项的每项扣</w:t>
            </w: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分，每出现一处存在缺陷不足的扣 </w:t>
            </w:r>
            <w:r>
              <w:rPr>
                <w:rFonts w:hint="eastAsia" w:ascii="宋体" w:hAnsi="宋体" w:eastAsia="宋体" w:cs="宋体"/>
                <w:sz w:val="24"/>
                <w:szCs w:val="24"/>
                <w:lang w:val="en-US" w:eastAsia="zh-CN"/>
              </w:rPr>
              <w:t>2</w:t>
            </w:r>
            <w:r>
              <w:rPr>
                <w:rFonts w:hint="eastAsia" w:ascii="宋体" w:hAnsi="宋体" w:eastAsia="宋体" w:cs="宋体"/>
                <w:sz w:val="24"/>
                <w:szCs w:val="24"/>
              </w:rPr>
              <w:t>分，扣完为止。（缺陷不足是指：存在不适用项目实际情况的情形、凭空编造、内容前后不一致、前后逻辑错误、 涉及的规范及标准错误、地点区域错误、内容缺失、不符 合采购需求、仅有大纲标题无正文内容等）未提供的不得分</w:t>
            </w:r>
            <w:r>
              <w:rPr>
                <w:rFonts w:hint="eastAsia" w:ascii="宋体" w:hAnsi="宋体" w:eastAsia="宋体" w:cs="宋体"/>
                <w:sz w:val="24"/>
                <w:szCs w:val="24"/>
                <w:lang w:eastAsia="zh-CN"/>
              </w:rPr>
              <w:t>。</w:t>
            </w:r>
          </w:p>
        </w:tc>
        <w:tc>
          <w:tcPr>
            <w:tcW w:w="1478" w:type="dxa"/>
            <w:vMerge w:val="continue"/>
            <w:vAlign w:val="center"/>
          </w:tcPr>
          <w:p>
            <w:pPr>
              <w:shd w:val="clear"/>
              <w:spacing w:line="40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09" w:type="dxa"/>
            <w:vAlign w:val="center"/>
          </w:tcPr>
          <w:p>
            <w:pPr>
              <w:shd w:val="clear"/>
              <w:spacing w:line="40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855" w:type="dxa"/>
            <w:vMerge w:val="continue"/>
            <w:vAlign w:val="center"/>
          </w:tcPr>
          <w:p>
            <w:pPr>
              <w:shd w:val="clear"/>
              <w:spacing w:line="400" w:lineRule="exact"/>
              <w:rPr>
                <w:rFonts w:hint="eastAsia" w:ascii="宋体" w:hAnsi="宋体" w:eastAsia="宋体" w:cs="宋体"/>
                <w:color w:val="auto"/>
                <w:sz w:val="24"/>
                <w:szCs w:val="24"/>
                <w:highlight w:val="none"/>
              </w:rPr>
            </w:pPr>
          </w:p>
        </w:tc>
        <w:tc>
          <w:tcPr>
            <w:tcW w:w="615" w:type="dxa"/>
            <w:vAlign w:val="center"/>
          </w:tcPr>
          <w:p>
            <w:pPr>
              <w:shd w:val="clear"/>
              <w:spacing w:line="400" w:lineRule="exact"/>
              <w:ind w:firstLine="28"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w:t>
            </w:r>
          </w:p>
        </w:tc>
        <w:tc>
          <w:tcPr>
            <w:tcW w:w="7055" w:type="dxa"/>
            <w:vAlign w:val="center"/>
          </w:tcPr>
          <w:p>
            <w:pPr>
              <w:shd w:val="clear"/>
              <w:spacing w:line="400" w:lineRule="exact"/>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配送服务方案</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rPr>
              <w:t>根据供应商针对本项目提供</w:t>
            </w:r>
            <w:r>
              <w:rPr>
                <w:rFonts w:hint="eastAsia" w:ascii="宋体" w:hAnsi="宋体" w:eastAsia="宋体" w:cs="宋体"/>
                <w:sz w:val="24"/>
                <w:szCs w:val="24"/>
                <w:lang w:val="en-US" w:eastAsia="zh-CN"/>
              </w:rPr>
              <w:t>配送</w:t>
            </w:r>
            <w:r>
              <w:rPr>
                <w:rFonts w:hint="eastAsia" w:ascii="宋体" w:hAnsi="宋体" w:eastAsia="宋体" w:cs="宋体"/>
                <w:sz w:val="24"/>
                <w:szCs w:val="24"/>
              </w:rPr>
              <w:t>服务方案（至少包含：1、人员配备及车辆配备；2、配送时间及路线保障；3、配送 途中突发情况应急措施；4、车辆管理、安全管理方案； 5、配送装卸管理制度等进行综合评审： 方案完整包含上述要点，要点内容完善、详细合理、逻辑 清晰、有条理、对本项目有针对性、符合项目实际情况的得</w:t>
            </w:r>
            <w:r>
              <w:rPr>
                <w:rFonts w:hint="eastAsia" w:ascii="宋体" w:hAnsi="宋体" w:eastAsia="宋体" w:cs="宋体"/>
                <w:sz w:val="24"/>
                <w:szCs w:val="24"/>
                <w:lang w:val="en-US" w:eastAsia="zh-CN"/>
              </w:rPr>
              <w:t>20</w:t>
            </w:r>
            <w:r>
              <w:rPr>
                <w:rFonts w:hint="eastAsia" w:ascii="宋体" w:hAnsi="宋体" w:eastAsia="宋体" w:cs="宋体"/>
                <w:sz w:val="24"/>
                <w:szCs w:val="24"/>
              </w:rPr>
              <w:t>分。缺项的每项扣</w:t>
            </w: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分，每出现一处存在缺陷不足的扣 </w:t>
            </w:r>
            <w:r>
              <w:rPr>
                <w:rFonts w:hint="eastAsia" w:ascii="宋体" w:hAnsi="宋体" w:eastAsia="宋体" w:cs="宋体"/>
                <w:sz w:val="24"/>
                <w:szCs w:val="24"/>
                <w:lang w:val="en-US" w:eastAsia="zh-CN"/>
              </w:rPr>
              <w:t>2</w:t>
            </w:r>
            <w:r>
              <w:rPr>
                <w:rFonts w:hint="eastAsia" w:ascii="宋体" w:hAnsi="宋体" w:eastAsia="宋体" w:cs="宋体"/>
                <w:sz w:val="24"/>
                <w:szCs w:val="24"/>
              </w:rPr>
              <w:t>分，扣完为止。（缺陷不足是指：存在不适用项目实际情 况的情形、凭空编造、内容前后不一致、前后逻辑错误、 涉及的规范及标准错误、地点区域错误、内容缺失、不符合采购需求、仅有大纲标题无正文内容）未提供的不得分</w:t>
            </w:r>
          </w:p>
        </w:tc>
        <w:tc>
          <w:tcPr>
            <w:tcW w:w="1478" w:type="dxa"/>
            <w:vMerge w:val="continue"/>
            <w:vAlign w:val="center"/>
          </w:tcPr>
          <w:p>
            <w:pPr>
              <w:shd w:val="clear"/>
              <w:spacing w:line="40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09" w:type="dxa"/>
            <w:vAlign w:val="center"/>
          </w:tcPr>
          <w:p>
            <w:pPr>
              <w:shd w:val="clear"/>
              <w:spacing w:line="40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c>
          <w:tcPr>
            <w:tcW w:w="855" w:type="dxa"/>
            <w:vMerge w:val="continue"/>
            <w:vAlign w:val="center"/>
          </w:tcPr>
          <w:p>
            <w:pPr>
              <w:shd w:val="clear"/>
              <w:spacing w:line="400" w:lineRule="exact"/>
              <w:rPr>
                <w:rFonts w:hint="eastAsia" w:ascii="宋体" w:hAnsi="宋体" w:eastAsia="宋体" w:cs="宋体"/>
                <w:color w:val="auto"/>
                <w:sz w:val="24"/>
                <w:szCs w:val="24"/>
                <w:highlight w:val="none"/>
              </w:rPr>
            </w:pPr>
          </w:p>
        </w:tc>
        <w:tc>
          <w:tcPr>
            <w:tcW w:w="615" w:type="dxa"/>
            <w:vAlign w:val="center"/>
          </w:tcPr>
          <w:p>
            <w:pPr>
              <w:shd w:val="clear"/>
              <w:spacing w:line="400" w:lineRule="exact"/>
              <w:ind w:firstLine="28"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7055" w:type="dxa"/>
            <w:vAlign w:val="center"/>
          </w:tcPr>
          <w:p>
            <w:pPr>
              <w:shd w:val="clear"/>
              <w:spacing w:line="400" w:lineRule="exact"/>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highlight w:val="none"/>
                <w:lang w:val="en-US" w:eastAsia="zh-CN"/>
              </w:rPr>
              <w:t>应急预案：</w:t>
            </w:r>
            <w:r>
              <w:rPr>
                <w:rFonts w:hint="eastAsia" w:ascii="宋体" w:hAnsi="宋体" w:eastAsia="宋体" w:cs="宋体"/>
                <w:sz w:val="24"/>
                <w:szCs w:val="24"/>
              </w:rPr>
              <w:t>根据供应商针对本项目提供</w:t>
            </w:r>
            <w:r>
              <w:rPr>
                <w:rFonts w:hint="eastAsia" w:ascii="宋体" w:hAnsi="宋体" w:eastAsia="宋体" w:cs="宋体"/>
                <w:sz w:val="24"/>
                <w:szCs w:val="24"/>
                <w:lang w:val="en-US" w:eastAsia="zh-CN"/>
              </w:rPr>
              <w:t>应急预案</w:t>
            </w:r>
            <w:r>
              <w:rPr>
                <w:rFonts w:hint="eastAsia" w:ascii="宋体" w:hAnsi="宋体" w:eastAsia="宋体" w:cs="宋体"/>
                <w:sz w:val="24"/>
                <w:szCs w:val="24"/>
              </w:rPr>
              <w:t>（至少包含：1、 应急管理机构；2、应急工作队伍；3、应急响应时间；4、 停水、停电等突发情况应急措施；5、突发食品安全事故应急措施等进行综合评审： 方案完整包含上述要点，要点内容完善、详细合理、逻辑 清晰、有条理、对本项目有针对性、符合项目实际情况的 得</w:t>
            </w:r>
            <w:r>
              <w:rPr>
                <w:rFonts w:hint="eastAsia" w:ascii="宋体" w:hAnsi="宋体" w:eastAsia="宋体" w:cs="宋体"/>
                <w:sz w:val="24"/>
                <w:szCs w:val="24"/>
                <w:lang w:val="en-US" w:eastAsia="zh-CN"/>
              </w:rPr>
              <w:t>8</w:t>
            </w:r>
            <w:r>
              <w:rPr>
                <w:rFonts w:hint="eastAsia" w:ascii="宋体" w:hAnsi="宋体" w:eastAsia="宋体" w:cs="宋体"/>
                <w:sz w:val="24"/>
                <w:szCs w:val="24"/>
              </w:rPr>
              <w:t>分。缺项的每项扣</w:t>
            </w:r>
            <w:r>
              <w:rPr>
                <w:rFonts w:hint="eastAsia" w:ascii="宋体" w:hAnsi="宋体" w:eastAsia="宋体" w:cs="宋体"/>
                <w:sz w:val="24"/>
                <w:szCs w:val="24"/>
                <w:lang w:val="en-US" w:eastAsia="zh-CN"/>
              </w:rPr>
              <w:t>2</w:t>
            </w:r>
            <w:r>
              <w:rPr>
                <w:rFonts w:hint="eastAsia" w:ascii="宋体" w:hAnsi="宋体" w:eastAsia="宋体" w:cs="宋体"/>
                <w:sz w:val="24"/>
                <w:szCs w:val="24"/>
              </w:rPr>
              <w:t>分，每出现一处存在缺陷不足的扣</w:t>
            </w:r>
            <w:r>
              <w:rPr>
                <w:rFonts w:hint="eastAsia" w:ascii="宋体" w:hAnsi="宋体" w:eastAsia="宋体" w:cs="宋体"/>
                <w:sz w:val="24"/>
                <w:szCs w:val="24"/>
                <w:lang w:val="en-US" w:eastAsia="zh-CN"/>
              </w:rPr>
              <w:t>1</w:t>
            </w:r>
            <w:r>
              <w:rPr>
                <w:rFonts w:hint="eastAsia" w:ascii="宋体" w:hAnsi="宋体" w:eastAsia="宋体" w:cs="宋体"/>
                <w:sz w:val="24"/>
                <w:szCs w:val="24"/>
              </w:rPr>
              <w:t>分，扣完为止。（缺陷不足是指：存在不适用项目实际情况的情形、凭空编造、内容前后不一致、前后逻辑错误、 涉及的规范及标准错误、地点区域错误、内容缺失、不符 合采购需求、仅有大纲标题无正文内容）未提供的不得分</w:t>
            </w:r>
            <w:r>
              <w:rPr>
                <w:rFonts w:hint="eastAsia" w:ascii="宋体" w:hAnsi="宋体" w:eastAsia="宋体" w:cs="宋体"/>
                <w:sz w:val="24"/>
                <w:szCs w:val="24"/>
                <w:lang w:eastAsia="zh-CN"/>
              </w:rPr>
              <w:t>。</w:t>
            </w:r>
          </w:p>
        </w:tc>
        <w:tc>
          <w:tcPr>
            <w:tcW w:w="1478" w:type="dxa"/>
            <w:vMerge w:val="continue"/>
            <w:vAlign w:val="center"/>
          </w:tcPr>
          <w:p>
            <w:pPr>
              <w:shd w:val="clear"/>
              <w:spacing w:line="400" w:lineRule="exact"/>
              <w:rPr>
                <w:rFonts w:hint="eastAsia" w:ascii="宋体" w:hAnsi="宋体" w:eastAsia="宋体" w:cs="宋体"/>
                <w:color w:val="auto"/>
                <w:sz w:val="24"/>
                <w:szCs w:val="24"/>
                <w:highlight w:val="none"/>
              </w:rPr>
            </w:pPr>
          </w:p>
        </w:tc>
      </w:tr>
    </w:tbl>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bookmarkEnd w:id="1650"/>
    <w:bookmarkEnd w:id="1651"/>
    <w:bookmarkEnd w:id="1652"/>
    <w:p>
      <w:pPr>
        <w:rPr>
          <w:rFonts w:hint="eastAsia" w:ascii="宋体" w:hAnsi="宋体" w:eastAsia="宋体" w:cs="宋体"/>
          <w:color w:val="auto"/>
          <w:highlight w:val="none"/>
        </w:rPr>
      </w:pPr>
    </w:p>
    <w:p>
      <w:pPr>
        <w:pStyle w:val="5"/>
        <w:rPr>
          <w:rFonts w:hint="eastAsia" w:ascii="宋体" w:hAnsi="宋体" w:eastAsia="宋体" w:cs="宋体"/>
          <w:highlight w:val="none"/>
        </w:rPr>
      </w:pPr>
    </w:p>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Pr>
        <w:pStyle w:val="4"/>
        <w:rPr>
          <w:rFonts w:hint="eastAsia" w:ascii="宋体" w:hAnsi="宋体" w:eastAsia="宋体" w:cs="宋体"/>
          <w:highlight w:val="none"/>
        </w:rPr>
      </w:pPr>
    </w:p>
    <w:p>
      <w:pPr>
        <w:pStyle w:val="4"/>
        <w:rPr>
          <w:rFonts w:hint="eastAsia" w:ascii="宋体" w:hAnsi="宋体" w:eastAsia="宋体" w:cs="宋体"/>
          <w:highlight w:val="none"/>
        </w:rPr>
      </w:pPr>
    </w:p>
    <w:p>
      <w:pPr>
        <w:pStyle w:val="5"/>
        <w:rPr>
          <w:rFonts w:hint="eastAsia" w:ascii="宋体" w:hAnsi="宋体" w:eastAsia="宋体" w:cs="宋体"/>
          <w:highlight w:val="none"/>
        </w:rPr>
      </w:pPr>
    </w:p>
    <w:p>
      <w:pPr>
        <w:rPr>
          <w:rFonts w:hint="eastAsia" w:ascii="宋体" w:hAnsi="宋体" w:eastAsia="宋体" w:cs="宋体"/>
          <w:highlight w:val="none"/>
        </w:rPr>
      </w:pPr>
    </w:p>
    <w:p>
      <w:pPr>
        <w:pStyle w:val="2"/>
        <w:rPr>
          <w:rFonts w:hint="eastAsia" w:ascii="宋体" w:hAnsi="宋体" w:eastAsia="宋体" w:cs="宋体"/>
          <w:highlight w:val="none"/>
        </w:rPr>
      </w:pPr>
    </w:p>
    <w:p>
      <w:pPr>
        <w:pStyle w:val="4"/>
        <w:rPr>
          <w:rFonts w:hint="eastAsia" w:ascii="宋体" w:hAnsi="宋体" w:eastAsia="宋体" w:cs="宋体"/>
          <w:highlight w:val="none"/>
        </w:rPr>
      </w:pPr>
    </w:p>
    <w:p>
      <w:pPr>
        <w:outlineLvl w:val="9"/>
        <w:rPr>
          <w:rFonts w:hint="eastAsia" w:ascii="宋体" w:hAnsi="宋体" w:eastAsia="宋体" w:cs="宋体"/>
          <w:highlight w:val="none"/>
        </w:rPr>
      </w:pPr>
    </w:p>
    <w:p>
      <w:pPr>
        <w:outlineLvl w:val="9"/>
        <w:rPr>
          <w:rFonts w:hint="eastAsia" w:ascii="宋体" w:hAnsi="宋体" w:eastAsia="宋体" w:cs="宋体"/>
          <w:highlight w:val="none"/>
        </w:rPr>
      </w:pPr>
    </w:p>
    <w:p>
      <w:pPr>
        <w:pStyle w:val="4"/>
        <w:outlineLvl w:val="9"/>
        <w:rPr>
          <w:rFonts w:hint="eastAsia" w:ascii="宋体" w:hAnsi="宋体" w:eastAsia="宋体" w:cs="宋体"/>
          <w:highlight w:val="none"/>
        </w:rPr>
      </w:pPr>
    </w:p>
    <w:p>
      <w:pPr>
        <w:pStyle w:val="5"/>
        <w:outlineLvl w:val="9"/>
        <w:rPr>
          <w:rFonts w:hint="eastAsia" w:ascii="宋体" w:hAnsi="宋体" w:eastAsia="宋体" w:cs="宋体"/>
          <w:highlight w:val="none"/>
        </w:rPr>
      </w:pPr>
    </w:p>
    <w:p>
      <w:pPr>
        <w:pStyle w:val="5"/>
        <w:outlineLvl w:val="9"/>
        <w:rPr>
          <w:rFonts w:hint="eastAsia" w:ascii="宋体" w:hAnsi="宋体" w:eastAsia="宋体" w:cs="宋体"/>
          <w:highlight w:val="none"/>
        </w:rPr>
      </w:pPr>
    </w:p>
    <w:p>
      <w:pPr>
        <w:spacing w:line="240" w:lineRule="atLeast"/>
        <w:jc w:val="both"/>
        <w:outlineLvl w:val="9"/>
        <w:rPr>
          <w:rFonts w:hint="eastAsia" w:ascii="宋体" w:hAnsi="宋体" w:eastAsia="宋体" w:cs="宋体"/>
          <w:b/>
          <w:color w:val="auto"/>
          <w:sz w:val="44"/>
          <w:szCs w:val="44"/>
          <w:highlight w:val="none"/>
        </w:rPr>
      </w:pPr>
    </w:p>
    <w:p>
      <w:pPr>
        <w:keepNext/>
        <w:keepLines/>
        <w:pageBreakBefore w:val="0"/>
        <w:widowControl w:val="0"/>
        <w:kinsoku/>
        <w:wordWrap/>
        <w:overflowPunct/>
        <w:topLinePunct w:val="0"/>
        <w:autoSpaceDE w:val="0"/>
        <w:autoSpaceDN w:val="0"/>
        <w:bidi w:val="0"/>
        <w:adjustRightInd w:val="0"/>
        <w:spacing w:before="0" w:line="360" w:lineRule="exact"/>
        <w:ind w:left="1080" w:leftChars="257" w:hanging="540"/>
        <w:jc w:val="center"/>
        <w:outlineLvl w:val="1"/>
        <w:rPr>
          <w:rFonts w:hint="eastAsia" w:ascii="宋体" w:hAnsi="宋体" w:eastAsia="宋体" w:cs="宋体"/>
          <w:b/>
          <w:color w:val="auto"/>
          <w:kern w:val="0"/>
          <w:sz w:val="28"/>
          <w:szCs w:val="28"/>
          <w:highlight w:val="none"/>
          <w:lang w:val="en-US" w:eastAsia="zh-CN" w:bidi="ar-SA"/>
        </w:rPr>
      </w:pPr>
      <w:bookmarkStart w:id="1668" w:name="_Toc27131"/>
      <w:r>
        <w:rPr>
          <w:rFonts w:hint="eastAsia" w:ascii="宋体" w:hAnsi="宋体" w:cs="宋体"/>
          <w:b/>
          <w:color w:val="auto"/>
          <w:kern w:val="0"/>
          <w:sz w:val="28"/>
          <w:szCs w:val="28"/>
          <w:highlight w:val="none"/>
          <w:lang w:val="en-US" w:eastAsia="zh-CN" w:bidi="ar-SA"/>
        </w:rPr>
        <w:t>（标项二）</w:t>
      </w:r>
      <w:r>
        <w:rPr>
          <w:rFonts w:hint="eastAsia" w:ascii="宋体" w:hAnsi="宋体" w:eastAsia="宋体" w:cs="宋体"/>
          <w:b/>
          <w:color w:val="auto"/>
          <w:kern w:val="0"/>
          <w:sz w:val="28"/>
          <w:szCs w:val="28"/>
          <w:highlight w:val="none"/>
          <w:lang w:val="en-US" w:eastAsia="zh-CN" w:bidi="ar-SA"/>
        </w:rPr>
        <w:t>综合评分表</w:t>
      </w:r>
      <w:bookmarkEnd w:id="1668"/>
    </w:p>
    <w:tbl>
      <w:tblPr>
        <w:tblStyle w:val="27"/>
        <w:tblW w:w="10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855"/>
        <w:gridCol w:w="615"/>
        <w:gridCol w:w="7055"/>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jc w:val="center"/>
        </w:trPr>
        <w:tc>
          <w:tcPr>
            <w:tcW w:w="509" w:type="dxa"/>
            <w:vAlign w:val="center"/>
          </w:tcPr>
          <w:p>
            <w:pPr>
              <w:shd w:val="clear"/>
              <w:spacing w:line="400" w:lineRule="exact"/>
              <w:ind w:firstLine="28"/>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855" w:type="dxa"/>
            <w:vAlign w:val="center"/>
          </w:tcPr>
          <w:p>
            <w:pPr>
              <w:shd w:val="clear"/>
              <w:spacing w:line="400" w:lineRule="exact"/>
              <w:ind w:firstLine="28"/>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评分因素</w:t>
            </w:r>
          </w:p>
        </w:tc>
        <w:tc>
          <w:tcPr>
            <w:tcW w:w="615" w:type="dxa"/>
            <w:vAlign w:val="center"/>
          </w:tcPr>
          <w:p>
            <w:pPr>
              <w:widowControl/>
              <w:shd w:val="clear"/>
              <w:spacing w:line="400" w:lineRule="exact"/>
              <w:jc w:val="center"/>
              <w:rPr>
                <w:rFonts w:hint="eastAsia" w:ascii="宋体" w:hAnsi="宋体" w:eastAsia="宋体" w:cs="宋体"/>
                <w:b/>
                <w:color w:val="auto"/>
                <w:sz w:val="24"/>
                <w:szCs w:val="24"/>
                <w:highlight w:val="none"/>
              </w:rPr>
            </w:pPr>
            <w:r>
              <w:rPr>
                <w:rFonts w:hint="eastAsia" w:ascii="宋体" w:hAnsi="宋体" w:eastAsia="宋体" w:cs="宋体"/>
                <w:b/>
                <w:bCs/>
                <w:color w:val="auto"/>
                <w:kern w:val="0"/>
                <w:sz w:val="24"/>
                <w:szCs w:val="24"/>
                <w:highlight w:val="none"/>
              </w:rPr>
              <w:t>分值</w:t>
            </w:r>
          </w:p>
        </w:tc>
        <w:tc>
          <w:tcPr>
            <w:tcW w:w="7055" w:type="dxa"/>
            <w:vAlign w:val="center"/>
          </w:tcPr>
          <w:p>
            <w:pPr>
              <w:widowControl/>
              <w:shd w:val="clear"/>
              <w:spacing w:line="400" w:lineRule="exact"/>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评分因素及权重、评分标准</w:t>
            </w:r>
          </w:p>
          <w:p>
            <w:pPr>
              <w:widowControl/>
              <w:shd w:val="clear"/>
              <w:spacing w:line="400" w:lineRule="exact"/>
              <w:jc w:val="center"/>
              <w:rPr>
                <w:rFonts w:hint="eastAsia" w:ascii="宋体" w:hAnsi="宋体" w:eastAsia="宋体" w:cs="宋体"/>
                <w:b/>
                <w:color w:val="auto"/>
                <w:sz w:val="24"/>
                <w:szCs w:val="24"/>
                <w:highlight w:val="none"/>
              </w:rPr>
            </w:pPr>
            <w:r>
              <w:rPr>
                <w:rFonts w:hint="eastAsia" w:ascii="宋体" w:hAnsi="宋体" w:eastAsia="宋体" w:cs="宋体"/>
                <w:b/>
                <w:bCs/>
                <w:color w:val="auto"/>
                <w:kern w:val="0"/>
                <w:sz w:val="24"/>
                <w:szCs w:val="24"/>
                <w:highlight w:val="none"/>
              </w:rPr>
              <w:t>价   格：</w:t>
            </w:r>
            <w:r>
              <w:rPr>
                <w:rFonts w:hint="eastAsia" w:ascii="宋体" w:hAnsi="宋体" w:eastAsia="宋体" w:cs="宋体"/>
                <w:b/>
                <w:bCs/>
                <w:color w:val="auto"/>
                <w:kern w:val="0"/>
                <w:sz w:val="24"/>
                <w:szCs w:val="24"/>
                <w:highlight w:val="none"/>
                <w:lang w:val="en-US" w:eastAsia="zh-CN"/>
              </w:rPr>
              <w:t>30</w:t>
            </w:r>
            <w:r>
              <w:rPr>
                <w:rFonts w:hint="eastAsia" w:ascii="宋体" w:hAnsi="宋体" w:eastAsia="宋体" w:cs="宋体"/>
                <w:b/>
                <w:bCs/>
                <w:color w:val="auto"/>
                <w:kern w:val="0"/>
                <w:sz w:val="24"/>
                <w:szCs w:val="24"/>
                <w:highlight w:val="none"/>
              </w:rPr>
              <w:t>分  商   务：</w:t>
            </w:r>
            <w:r>
              <w:rPr>
                <w:rFonts w:hint="eastAsia" w:ascii="宋体" w:hAnsi="宋体" w:eastAsia="宋体" w:cs="宋体"/>
                <w:b/>
                <w:bCs/>
                <w:color w:val="auto"/>
                <w:kern w:val="0"/>
                <w:sz w:val="24"/>
                <w:szCs w:val="24"/>
                <w:highlight w:val="none"/>
                <w:lang w:val="en-US" w:eastAsia="zh-CN"/>
              </w:rPr>
              <w:t>22</w:t>
            </w:r>
            <w:r>
              <w:rPr>
                <w:rFonts w:hint="eastAsia" w:ascii="宋体" w:hAnsi="宋体" w:eastAsia="宋体" w:cs="宋体"/>
                <w:b/>
                <w:bCs/>
                <w:color w:val="auto"/>
                <w:kern w:val="0"/>
                <w:sz w:val="24"/>
                <w:szCs w:val="24"/>
                <w:highlight w:val="none"/>
              </w:rPr>
              <w:t>分   技   术：</w:t>
            </w:r>
            <w:r>
              <w:rPr>
                <w:rFonts w:hint="eastAsia" w:ascii="宋体" w:hAnsi="宋体" w:eastAsia="宋体" w:cs="宋体"/>
                <w:b/>
                <w:bCs/>
                <w:color w:val="auto"/>
                <w:kern w:val="0"/>
                <w:sz w:val="24"/>
                <w:szCs w:val="24"/>
                <w:highlight w:val="none"/>
                <w:lang w:val="en-US" w:eastAsia="zh-CN"/>
              </w:rPr>
              <w:t>48</w:t>
            </w:r>
            <w:r>
              <w:rPr>
                <w:rFonts w:hint="eastAsia" w:ascii="宋体" w:hAnsi="宋体" w:eastAsia="宋体" w:cs="宋体"/>
                <w:b/>
                <w:bCs/>
                <w:color w:val="auto"/>
                <w:kern w:val="0"/>
                <w:sz w:val="24"/>
                <w:szCs w:val="24"/>
                <w:highlight w:val="none"/>
              </w:rPr>
              <w:t xml:space="preserve">分              </w:t>
            </w:r>
          </w:p>
        </w:tc>
        <w:tc>
          <w:tcPr>
            <w:tcW w:w="1478" w:type="dxa"/>
            <w:vAlign w:val="center"/>
          </w:tcPr>
          <w:p>
            <w:pPr>
              <w:pStyle w:val="42"/>
              <w:shd w:val="clear"/>
              <w:spacing w:before="0" w:after="0"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atLeast"/>
          <w:jc w:val="center"/>
        </w:trPr>
        <w:tc>
          <w:tcPr>
            <w:tcW w:w="509" w:type="dxa"/>
            <w:vAlign w:val="center"/>
          </w:tcPr>
          <w:p>
            <w:pPr>
              <w:shd w:val="clea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855" w:type="dxa"/>
            <w:vAlign w:val="center"/>
          </w:tcPr>
          <w:p>
            <w:pPr>
              <w:shd w:val="clea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价格评分标</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准</w:t>
            </w:r>
          </w:p>
        </w:tc>
        <w:tc>
          <w:tcPr>
            <w:tcW w:w="615" w:type="dxa"/>
            <w:vAlign w:val="center"/>
          </w:tcPr>
          <w:p>
            <w:pPr>
              <w:shd w:val="clear"/>
              <w:spacing w:line="400" w:lineRule="exact"/>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30</w:t>
            </w:r>
          </w:p>
        </w:tc>
        <w:tc>
          <w:tcPr>
            <w:tcW w:w="7055" w:type="dxa"/>
            <w:vAlign w:val="center"/>
          </w:tcPr>
          <w:p>
            <w:pPr>
              <w:shd w:val="clear"/>
              <w:spacing w:line="4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评标基准价=</w:t>
            </w:r>
            <w:r>
              <w:rPr>
                <w:rFonts w:hint="eastAsia" w:ascii="宋体" w:hAnsi="宋体" w:eastAsia="宋体" w:cs="宋体"/>
                <w:color w:val="auto"/>
                <w:sz w:val="24"/>
                <w:szCs w:val="24"/>
                <w:highlight w:val="none"/>
                <w:lang w:val="en-US" w:eastAsia="zh-CN"/>
              </w:rPr>
              <w:t>投标平均下浮率</w:t>
            </w:r>
            <w:r>
              <w:rPr>
                <w:rFonts w:hint="eastAsia" w:ascii="宋体" w:hAnsi="宋体" w:eastAsia="宋体" w:cs="宋体"/>
                <w:sz w:val="24"/>
                <w:szCs w:val="24"/>
                <w:lang w:val="en-US" w:eastAsia="zh-CN"/>
              </w:rPr>
              <w:t>最高值，</w:t>
            </w:r>
            <w:r>
              <w:rPr>
                <w:rFonts w:hint="eastAsia" w:ascii="宋体" w:hAnsi="宋体" w:eastAsia="宋体" w:cs="宋体"/>
                <w:color w:val="auto"/>
                <w:sz w:val="24"/>
                <w:szCs w:val="24"/>
                <w:highlight w:val="none"/>
                <w:lang w:val="en-US" w:eastAsia="zh-CN"/>
              </w:rPr>
              <w:t>投标平均下浮率</w:t>
            </w:r>
            <w:r>
              <w:rPr>
                <w:rFonts w:hint="eastAsia" w:ascii="宋体" w:hAnsi="宋体" w:eastAsia="宋体" w:cs="宋体"/>
                <w:sz w:val="24"/>
                <w:szCs w:val="24"/>
                <w:lang w:val="en-US" w:eastAsia="zh-CN"/>
              </w:rPr>
              <w:t>等于基准价的得满分。投标报价得分=（</w:t>
            </w:r>
            <w:r>
              <w:rPr>
                <w:rFonts w:hint="eastAsia" w:ascii="宋体" w:hAnsi="宋体" w:eastAsia="宋体" w:cs="宋体"/>
                <w:color w:val="auto"/>
                <w:sz w:val="24"/>
                <w:szCs w:val="24"/>
                <w:highlight w:val="none"/>
                <w:lang w:val="en-US" w:eastAsia="zh-CN"/>
              </w:rPr>
              <w:t>投标平均下浮率</w:t>
            </w:r>
            <w:r>
              <w:rPr>
                <w:rFonts w:hint="eastAsia" w:ascii="宋体" w:hAnsi="宋体" w:eastAsia="宋体" w:cs="宋体"/>
                <w:sz w:val="24"/>
                <w:szCs w:val="24"/>
                <w:lang w:val="en-US" w:eastAsia="zh-CN"/>
              </w:rPr>
              <w:t>/评标基准价）*30</w:t>
            </w:r>
          </w:p>
        </w:tc>
        <w:tc>
          <w:tcPr>
            <w:tcW w:w="1478" w:type="dxa"/>
            <w:vAlign w:val="center"/>
          </w:tcPr>
          <w:p>
            <w:pPr>
              <w:shd w:val="clear"/>
              <w:spacing w:line="400" w:lineRule="exact"/>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投标报价超过采购预算价的按废标处理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509" w:type="dxa"/>
            <w:vAlign w:val="center"/>
          </w:tcPr>
          <w:p>
            <w:pPr>
              <w:shd w:val="clea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855" w:type="dxa"/>
            <w:vMerge w:val="restart"/>
            <w:vAlign w:val="center"/>
          </w:tcPr>
          <w:p>
            <w:pPr>
              <w:shd w:val="clear"/>
              <w:spacing w:line="40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商务评分标准</w:t>
            </w:r>
          </w:p>
        </w:tc>
        <w:tc>
          <w:tcPr>
            <w:tcW w:w="615" w:type="dxa"/>
            <w:vAlign w:val="center"/>
          </w:tcPr>
          <w:p>
            <w:pPr>
              <w:shd w:val="clear"/>
              <w:spacing w:line="400" w:lineRule="exact"/>
              <w:jc w:val="center"/>
              <w:rPr>
                <w:rFonts w:hint="eastAsia" w:ascii="宋体" w:hAnsi="宋体" w:eastAsia="宋体" w:cs="宋体"/>
                <w:color w:val="0000FF"/>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7055" w:type="dxa"/>
            <w:vAlign w:val="center"/>
          </w:tcPr>
          <w:p>
            <w:pPr>
              <w:shd w:val="clear"/>
              <w:spacing w:line="400" w:lineRule="exact"/>
              <w:rPr>
                <w:rFonts w:hint="eastAsia" w:ascii="宋体" w:hAnsi="宋体" w:eastAsia="宋体" w:cs="宋体"/>
                <w:color w:val="0000FF"/>
                <w:sz w:val="24"/>
                <w:szCs w:val="24"/>
                <w:highlight w:val="none"/>
              </w:rPr>
            </w:pPr>
            <w:r>
              <w:rPr>
                <w:rFonts w:hint="eastAsia" w:ascii="宋体" w:hAnsi="宋体" w:eastAsia="宋体" w:cs="宋体"/>
                <w:b/>
                <w:bCs/>
                <w:sz w:val="24"/>
                <w:szCs w:val="24"/>
              </w:rPr>
              <w:t>贮藏及加工场所</w:t>
            </w:r>
            <w:r>
              <w:rPr>
                <w:rFonts w:hint="eastAsia" w:ascii="宋体" w:hAnsi="宋体" w:eastAsia="宋体" w:cs="宋体"/>
                <w:sz w:val="24"/>
                <w:szCs w:val="24"/>
                <w:lang w:val="en-US" w:eastAsia="zh-CN"/>
              </w:rPr>
              <w:t>：</w:t>
            </w:r>
            <w:r>
              <w:rPr>
                <w:rFonts w:hint="eastAsia" w:ascii="宋体" w:hAnsi="宋体" w:eastAsia="宋体" w:cs="宋体"/>
                <w:sz w:val="24"/>
                <w:szCs w:val="24"/>
              </w:rPr>
              <w:t>供应商具有食材贮藏及加工场所</w:t>
            </w:r>
            <w:r>
              <w:rPr>
                <w:rFonts w:hint="eastAsia" w:ascii="宋体" w:hAnsi="宋体" w:eastAsia="宋体" w:cs="宋体"/>
                <w:sz w:val="24"/>
                <w:szCs w:val="24"/>
                <w:lang w:val="en-US" w:eastAsia="zh-CN"/>
              </w:rPr>
              <w:t>40</w:t>
            </w:r>
            <w:r>
              <w:rPr>
                <w:rFonts w:hint="eastAsia" w:ascii="宋体" w:hAnsi="宋体" w:eastAsia="宋体" w:cs="宋体"/>
                <w:sz w:val="24"/>
                <w:szCs w:val="24"/>
              </w:rPr>
              <w:t>00㎡(含)以上的得</w:t>
            </w:r>
            <w:r>
              <w:rPr>
                <w:rFonts w:hint="eastAsia" w:ascii="宋体" w:hAnsi="宋体" w:eastAsia="宋体" w:cs="宋体"/>
                <w:sz w:val="24"/>
                <w:szCs w:val="24"/>
                <w:lang w:val="en-US" w:eastAsia="zh-CN"/>
              </w:rPr>
              <w:t>6</w:t>
            </w:r>
            <w:r>
              <w:rPr>
                <w:rFonts w:hint="eastAsia" w:ascii="宋体" w:hAnsi="宋体" w:eastAsia="宋体" w:cs="宋体"/>
                <w:sz w:val="24"/>
                <w:szCs w:val="24"/>
              </w:rPr>
              <w:t>分，</w:t>
            </w:r>
            <w:r>
              <w:rPr>
                <w:rFonts w:hint="eastAsia" w:ascii="宋体" w:hAnsi="宋体" w:eastAsia="宋体" w:cs="宋体"/>
                <w:sz w:val="24"/>
                <w:szCs w:val="24"/>
                <w:lang w:val="en-US" w:eastAsia="zh-CN"/>
              </w:rPr>
              <w:t>4</w:t>
            </w:r>
            <w:r>
              <w:rPr>
                <w:rFonts w:hint="eastAsia" w:ascii="宋体" w:hAnsi="宋体" w:eastAsia="宋体" w:cs="宋体"/>
                <w:sz w:val="24"/>
                <w:szCs w:val="24"/>
              </w:rPr>
              <w:t>000㎡(不含)-</w:t>
            </w:r>
            <w:r>
              <w:rPr>
                <w:rFonts w:hint="eastAsia" w:ascii="宋体" w:hAnsi="宋体" w:eastAsia="宋体" w:cs="宋体"/>
                <w:sz w:val="24"/>
                <w:szCs w:val="24"/>
                <w:lang w:val="en-US" w:eastAsia="zh-CN"/>
              </w:rPr>
              <w:t>20</w:t>
            </w:r>
            <w:r>
              <w:rPr>
                <w:rFonts w:hint="eastAsia" w:ascii="宋体" w:hAnsi="宋体" w:eastAsia="宋体" w:cs="宋体"/>
                <w:sz w:val="24"/>
                <w:szCs w:val="24"/>
              </w:rPr>
              <w:t>00㎡(含)的得</w:t>
            </w:r>
            <w:r>
              <w:rPr>
                <w:rFonts w:hint="eastAsia" w:ascii="宋体" w:hAnsi="宋体" w:eastAsia="宋体" w:cs="宋体"/>
                <w:sz w:val="24"/>
                <w:szCs w:val="24"/>
                <w:lang w:val="en-US" w:eastAsia="zh-CN"/>
              </w:rPr>
              <w:t>4</w:t>
            </w:r>
            <w:r>
              <w:rPr>
                <w:rFonts w:hint="eastAsia" w:ascii="宋体" w:hAnsi="宋体" w:eastAsia="宋体" w:cs="宋体"/>
                <w:sz w:val="24"/>
                <w:szCs w:val="24"/>
              </w:rPr>
              <w:t>分，</w:t>
            </w:r>
            <w:r>
              <w:rPr>
                <w:rFonts w:hint="eastAsia" w:ascii="宋体" w:hAnsi="宋体" w:eastAsia="宋体" w:cs="宋体"/>
                <w:sz w:val="24"/>
                <w:szCs w:val="24"/>
                <w:lang w:val="en-US" w:eastAsia="zh-CN"/>
              </w:rPr>
              <w:t>20</w:t>
            </w:r>
            <w:r>
              <w:rPr>
                <w:rFonts w:hint="eastAsia" w:ascii="宋体" w:hAnsi="宋体" w:eastAsia="宋体" w:cs="宋体"/>
                <w:sz w:val="24"/>
                <w:szCs w:val="24"/>
              </w:rPr>
              <w:t xml:space="preserve">00㎡(不含)- </w:t>
            </w:r>
            <w:r>
              <w:rPr>
                <w:rFonts w:hint="eastAsia" w:ascii="宋体" w:hAnsi="宋体" w:eastAsia="宋体" w:cs="宋体"/>
                <w:sz w:val="24"/>
                <w:szCs w:val="24"/>
                <w:lang w:val="en-US" w:eastAsia="zh-CN"/>
              </w:rPr>
              <w:t>5</w:t>
            </w:r>
            <w:r>
              <w:rPr>
                <w:rFonts w:hint="eastAsia" w:ascii="宋体" w:hAnsi="宋体" w:eastAsia="宋体" w:cs="宋体"/>
                <w:sz w:val="24"/>
                <w:szCs w:val="24"/>
              </w:rPr>
              <w:t>00㎡(含)的得</w:t>
            </w: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分，500㎡及以下得1分，未提供的得0 分。 注：自有场地的提供产权证明或租赁场地的提供租赁合 同复印件，并提供实景图片加盖供应商公章，否则不得分。 </w:t>
            </w:r>
          </w:p>
        </w:tc>
        <w:tc>
          <w:tcPr>
            <w:tcW w:w="1478" w:type="dxa"/>
            <w:vMerge w:val="restart"/>
            <w:vAlign w:val="center"/>
          </w:tcPr>
          <w:p>
            <w:pPr>
              <w:shd w:val="clear"/>
              <w:spacing w:line="400" w:lineRule="exact"/>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根据需求提供必要的证明资料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jc w:val="center"/>
        </w:trPr>
        <w:tc>
          <w:tcPr>
            <w:tcW w:w="509" w:type="dxa"/>
            <w:vAlign w:val="center"/>
          </w:tcPr>
          <w:p>
            <w:pPr>
              <w:shd w:val="clear"/>
              <w:spacing w:line="40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w:t>
            </w:r>
          </w:p>
        </w:tc>
        <w:tc>
          <w:tcPr>
            <w:tcW w:w="855" w:type="dxa"/>
            <w:vMerge w:val="continue"/>
            <w:vAlign w:val="center"/>
          </w:tcPr>
          <w:p>
            <w:pPr>
              <w:shd w:val="clear"/>
              <w:spacing w:line="400" w:lineRule="exact"/>
              <w:rPr>
                <w:rFonts w:hint="eastAsia" w:ascii="宋体" w:hAnsi="宋体" w:eastAsia="宋体" w:cs="宋体"/>
                <w:color w:val="auto"/>
                <w:sz w:val="24"/>
                <w:szCs w:val="24"/>
                <w:highlight w:val="none"/>
              </w:rPr>
            </w:pPr>
          </w:p>
        </w:tc>
        <w:tc>
          <w:tcPr>
            <w:tcW w:w="615" w:type="dxa"/>
            <w:vAlign w:val="center"/>
          </w:tcPr>
          <w:p>
            <w:pPr>
              <w:shd w:val="clear"/>
              <w:spacing w:line="400" w:lineRule="exact"/>
              <w:jc w:val="center"/>
              <w:rPr>
                <w:rFonts w:hint="eastAsia" w:ascii="宋体" w:hAnsi="宋体" w:eastAsia="宋体" w:cs="宋体"/>
                <w:color w:val="auto"/>
                <w:kern w:val="0"/>
                <w:sz w:val="24"/>
                <w:szCs w:val="24"/>
                <w:highlight w:val="none"/>
                <w:lang w:val="en-US"/>
              </w:rPr>
            </w:pPr>
            <w:r>
              <w:rPr>
                <w:rFonts w:hint="eastAsia" w:ascii="宋体" w:hAnsi="宋体" w:eastAsia="宋体" w:cs="宋体"/>
                <w:color w:val="auto"/>
                <w:sz w:val="24"/>
                <w:szCs w:val="24"/>
                <w:highlight w:val="none"/>
                <w:lang w:val="en-US" w:eastAsia="zh-CN"/>
              </w:rPr>
              <w:t>14</w:t>
            </w:r>
          </w:p>
        </w:tc>
        <w:tc>
          <w:tcPr>
            <w:tcW w:w="7055" w:type="dxa"/>
            <w:vAlign w:val="center"/>
          </w:tcPr>
          <w:p>
            <w:pPr>
              <w:shd w:val="clear"/>
              <w:spacing w:line="400" w:lineRule="exact"/>
              <w:rPr>
                <w:rFonts w:hint="eastAsia" w:ascii="宋体" w:hAnsi="宋体" w:eastAsia="宋体" w:cs="宋体"/>
                <w:sz w:val="24"/>
                <w:szCs w:val="24"/>
              </w:rPr>
            </w:pPr>
            <w:r>
              <w:rPr>
                <w:rFonts w:hint="eastAsia" w:ascii="宋体" w:hAnsi="宋体" w:eastAsia="宋体" w:cs="宋体"/>
                <w:b/>
                <w:bCs/>
                <w:sz w:val="24"/>
                <w:szCs w:val="24"/>
                <w:lang w:val="en-US" w:eastAsia="zh-CN"/>
              </w:rPr>
              <w:t>配送车辆：</w:t>
            </w:r>
            <w:r>
              <w:rPr>
                <w:rFonts w:hint="eastAsia" w:ascii="宋体" w:hAnsi="宋体" w:eastAsia="宋体" w:cs="宋体"/>
                <w:sz w:val="24"/>
                <w:szCs w:val="24"/>
              </w:rPr>
              <w:t>供应商能为本项目提供满足基本要求（</w:t>
            </w:r>
            <w:r>
              <w:rPr>
                <w:rFonts w:hint="eastAsia" w:ascii="宋体" w:hAnsi="宋体" w:eastAsia="宋体" w:cs="宋体"/>
                <w:sz w:val="24"/>
                <w:szCs w:val="24"/>
                <w:lang w:val="en-US" w:eastAsia="zh-CN"/>
              </w:rPr>
              <w:t>4</w:t>
            </w:r>
            <w:r>
              <w:rPr>
                <w:rFonts w:hint="eastAsia" w:ascii="宋体" w:hAnsi="宋体" w:eastAsia="宋体" w:cs="宋体"/>
                <w:sz w:val="24"/>
                <w:szCs w:val="24"/>
              </w:rPr>
              <w:t>辆）的自有或租赁封闭式专用冷藏运输车辆</w:t>
            </w:r>
            <w:r>
              <w:rPr>
                <w:rFonts w:hint="eastAsia" w:ascii="宋体" w:hAnsi="宋体" w:eastAsia="宋体" w:cs="宋体"/>
                <w:sz w:val="24"/>
                <w:szCs w:val="24"/>
                <w:lang w:val="en-US" w:eastAsia="zh-CN"/>
              </w:rPr>
              <w:t>及厢式货车得4分，</w:t>
            </w:r>
            <w:r>
              <w:rPr>
                <w:rFonts w:hint="eastAsia" w:ascii="宋体" w:hAnsi="宋体" w:eastAsia="宋体" w:cs="宋体"/>
                <w:sz w:val="24"/>
                <w:szCs w:val="24"/>
              </w:rPr>
              <w:t>在此基础上，每增加1辆</w:t>
            </w:r>
            <w:r>
              <w:rPr>
                <w:rFonts w:hint="eastAsia" w:ascii="宋体" w:hAnsi="宋体" w:eastAsia="宋体" w:cs="宋体"/>
                <w:sz w:val="24"/>
                <w:szCs w:val="24"/>
                <w:lang w:eastAsia="zh-CN"/>
              </w:rPr>
              <w:t>得</w:t>
            </w:r>
            <w:r>
              <w:rPr>
                <w:rFonts w:hint="eastAsia" w:ascii="宋体" w:hAnsi="宋体" w:eastAsia="宋体" w:cs="宋体"/>
                <w:sz w:val="24"/>
                <w:szCs w:val="24"/>
                <w:lang w:val="en-US" w:eastAsia="zh-CN"/>
              </w:rPr>
              <w:t>1分，</w:t>
            </w:r>
            <w:r>
              <w:rPr>
                <w:rFonts w:hint="eastAsia" w:ascii="宋体" w:hAnsi="宋体" w:eastAsia="宋体" w:cs="宋体"/>
                <w:sz w:val="24"/>
                <w:szCs w:val="24"/>
              </w:rPr>
              <w:t>最高得</w:t>
            </w:r>
            <w:r>
              <w:rPr>
                <w:rFonts w:hint="eastAsia" w:ascii="宋体" w:hAnsi="宋体" w:eastAsia="宋体" w:cs="宋体"/>
                <w:sz w:val="24"/>
                <w:szCs w:val="24"/>
                <w:lang w:val="en-US" w:eastAsia="zh-CN"/>
              </w:rPr>
              <w:t>8</w:t>
            </w:r>
            <w:r>
              <w:rPr>
                <w:rFonts w:hint="eastAsia" w:ascii="宋体" w:hAnsi="宋体" w:eastAsia="宋体" w:cs="宋体"/>
                <w:sz w:val="24"/>
                <w:szCs w:val="24"/>
              </w:rPr>
              <w:t>分。注：自有车辆提供机动车辆行驶证，租赁的车辆提供租赁合同及行驶证，并提供车辆内外图片（图片须包含车牌）加盖供应商公章，否则不得分。</w:t>
            </w:r>
          </w:p>
          <w:p>
            <w:pPr>
              <w:shd w:val="clear"/>
              <w:spacing w:line="400" w:lineRule="exact"/>
              <w:rPr>
                <w:rFonts w:hint="eastAsia" w:ascii="宋体" w:hAnsi="宋体" w:eastAsia="宋体" w:cs="宋体"/>
                <w:b/>
                <w:bCs/>
                <w:color w:val="auto"/>
                <w:kern w:val="0"/>
                <w:sz w:val="24"/>
                <w:szCs w:val="24"/>
                <w:highlight w:val="none"/>
              </w:rPr>
            </w:pPr>
            <w:r>
              <w:rPr>
                <w:rFonts w:hint="eastAsia" w:ascii="宋体" w:hAnsi="宋体" w:eastAsia="宋体" w:cs="宋体"/>
                <w:b/>
                <w:bCs/>
                <w:sz w:val="24"/>
                <w:szCs w:val="24"/>
                <w:lang w:val="en-US" w:eastAsia="zh-CN"/>
              </w:rPr>
              <w:t>人员健康证:</w:t>
            </w:r>
            <w:r>
              <w:rPr>
                <w:rFonts w:hint="eastAsia" w:ascii="宋体" w:hAnsi="宋体" w:eastAsia="宋体" w:cs="宋体"/>
                <w:sz w:val="24"/>
                <w:szCs w:val="24"/>
              </w:rPr>
              <w:t>供应商能为本项目提供满足基本要求</w:t>
            </w:r>
            <w:r>
              <w:rPr>
                <w:rFonts w:hint="eastAsia" w:ascii="宋体" w:hAnsi="宋体" w:eastAsia="宋体" w:cs="宋体"/>
                <w:sz w:val="24"/>
                <w:szCs w:val="24"/>
                <w:lang w:eastAsia="zh-CN"/>
              </w:rPr>
              <w:t>的</w:t>
            </w:r>
            <w:r>
              <w:rPr>
                <w:rFonts w:hint="eastAsia" w:ascii="宋体" w:hAnsi="宋体" w:eastAsia="宋体" w:cs="宋体"/>
                <w:sz w:val="24"/>
                <w:szCs w:val="24"/>
                <w:lang w:val="en-US" w:eastAsia="zh-CN"/>
              </w:rPr>
              <w:t>8人健康证得4分</w:t>
            </w:r>
            <w:r>
              <w:rPr>
                <w:rFonts w:hint="eastAsia" w:ascii="宋体" w:hAnsi="宋体" w:eastAsia="宋体" w:cs="宋体"/>
                <w:sz w:val="24"/>
                <w:szCs w:val="24"/>
              </w:rPr>
              <w:t>，</w:t>
            </w:r>
            <w:r>
              <w:rPr>
                <w:rFonts w:hint="eastAsia" w:ascii="宋体" w:hAnsi="宋体" w:eastAsia="宋体" w:cs="宋体"/>
                <w:sz w:val="24"/>
                <w:szCs w:val="24"/>
                <w:lang w:eastAsia="zh-CN"/>
              </w:rPr>
              <w:t>每增加</w:t>
            </w:r>
            <w:r>
              <w:rPr>
                <w:rFonts w:hint="eastAsia" w:ascii="宋体" w:hAnsi="宋体" w:eastAsia="宋体" w:cs="宋体"/>
                <w:sz w:val="24"/>
                <w:szCs w:val="24"/>
                <w:lang w:val="en-US" w:eastAsia="zh-CN"/>
              </w:rPr>
              <w:t>1人</w:t>
            </w:r>
            <w:r>
              <w:rPr>
                <w:rFonts w:hint="eastAsia" w:ascii="宋体" w:hAnsi="宋体" w:eastAsia="宋体" w:cs="宋体"/>
                <w:sz w:val="24"/>
                <w:szCs w:val="24"/>
                <w:lang w:eastAsia="zh-CN"/>
              </w:rPr>
              <w:t>得</w:t>
            </w:r>
            <w:r>
              <w:rPr>
                <w:rFonts w:hint="eastAsia" w:ascii="宋体" w:hAnsi="宋体" w:eastAsia="宋体" w:cs="宋体"/>
                <w:sz w:val="24"/>
                <w:szCs w:val="24"/>
                <w:lang w:val="en-US" w:eastAsia="zh-CN"/>
              </w:rPr>
              <w:t>0.5</w:t>
            </w:r>
            <w:r>
              <w:rPr>
                <w:rFonts w:hint="eastAsia" w:ascii="宋体" w:hAnsi="宋体" w:eastAsia="宋体" w:cs="宋体"/>
                <w:sz w:val="24"/>
                <w:szCs w:val="24"/>
              </w:rPr>
              <w:t>分；本项最高得</w:t>
            </w:r>
            <w:r>
              <w:rPr>
                <w:rFonts w:hint="eastAsia" w:ascii="宋体" w:hAnsi="宋体" w:eastAsia="宋体" w:cs="宋体"/>
                <w:sz w:val="24"/>
                <w:szCs w:val="24"/>
                <w:lang w:val="en-US" w:eastAsia="zh-CN"/>
              </w:rPr>
              <w:t>6</w:t>
            </w:r>
            <w:r>
              <w:rPr>
                <w:rFonts w:hint="eastAsia" w:ascii="宋体" w:hAnsi="宋体" w:eastAsia="宋体" w:cs="宋体"/>
                <w:sz w:val="24"/>
                <w:szCs w:val="24"/>
              </w:rPr>
              <w:t xml:space="preserve">分。 </w:t>
            </w:r>
          </w:p>
        </w:tc>
        <w:tc>
          <w:tcPr>
            <w:tcW w:w="1478" w:type="dxa"/>
            <w:vMerge w:val="continue"/>
            <w:vAlign w:val="center"/>
          </w:tcPr>
          <w:p>
            <w:pPr>
              <w:shd w:val="clear"/>
              <w:spacing w:line="40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509" w:type="dxa"/>
            <w:vAlign w:val="center"/>
          </w:tcPr>
          <w:p>
            <w:pPr>
              <w:shd w:val="clear"/>
              <w:spacing w:line="40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4</w:t>
            </w:r>
          </w:p>
        </w:tc>
        <w:tc>
          <w:tcPr>
            <w:tcW w:w="855" w:type="dxa"/>
            <w:vMerge w:val="continue"/>
            <w:vAlign w:val="center"/>
          </w:tcPr>
          <w:p>
            <w:pPr>
              <w:shd w:val="clear"/>
              <w:spacing w:line="400" w:lineRule="exact"/>
              <w:rPr>
                <w:rFonts w:hint="eastAsia" w:ascii="宋体" w:hAnsi="宋体" w:eastAsia="宋体" w:cs="宋体"/>
                <w:color w:val="auto"/>
                <w:sz w:val="24"/>
                <w:szCs w:val="24"/>
                <w:highlight w:val="none"/>
              </w:rPr>
            </w:pPr>
          </w:p>
        </w:tc>
        <w:tc>
          <w:tcPr>
            <w:tcW w:w="615" w:type="dxa"/>
            <w:vAlign w:val="center"/>
          </w:tcPr>
          <w:p>
            <w:pPr>
              <w:shd w:val="clear"/>
              <w:spacing w:line="400" w:lineRule="exact"/>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w:t>
            </w:r>
          </w:p>
        </w:tc>
        <w:tc>
          <w:tcPr>
            <w:tcW w:w="7055" w:type="dxa"/>
            <w:vAlign w:val="center"/>
          </w:tcPr>
          <w:p>
            <w:pPr>
              <w:bidi w:val="0"/>
              <w:rPr>
                <w:rFonts w:hint="eastAsia" w:ascii="宋体" w:hAnsi="宋体" w:eastAsia="宋体" w:cs="宋体"/>
                <w:color w:val="auto"/>
                <w:sz w:val="24"/>
                <w:szCs w:val="24"/>
                <w:lang w:val="en-US" w:eastAsia="zh-CN"/>
              </w:rPr>
            </w:pPr>
            <w:r>
              <w:rPr>
                <w:rFonts w:hint="eastAsia" w:ascii="宋体" w:hAnsi="宋体" w:eastAsia="宋体" w:cs="宋体"/>
                <w:b/>
                <w:bCs/>
                <w:sz w:val="24"/>
                <w:szCs w:val="24"/>
                <w:lang w:val="en-US" w:eastAsia="zh-CN"/>
              </w:rPr>
              <w:t>种植基地:</w:t>
            </w:r>
            <w:r>
              <w:rPr>
                <w:rFonts w:hint="eastAsia" w:ascii="宋体" w:hAnsi="宋体" w:eastAsia="宋体" w:cs="宋体"/>
                <w:b w:val="0"/>
                <w:bCs w:val="0"/>
                <w:color w:val="auto"/>
                <w:sz w:val="24"/>
                <w:szCs w:val="24"/>
              </w:rPr>
              <w:t>供应商</w:t>
            </w:r>
            <w:r>
              <w:rPr>
                <w:rFonts w:hint="eastAsia" w:ascii="宋体" w:hAnsi="宋体" w:eastAsia="宋体" w:cs="宋体"/>
                <w:b w:val="0"/>
                <w:bCs w:val="0"/>
                <w:color w:val="auto"/>
                <w:sz w:val="24"/>
                <w:szCs w:val="24"/>
                <w:lang w:val="en-US" w:eastAsia="zh-CN"/>
              </w:rPr>
              <w:t>自有500亩以上种植基地得2分</w:t>
            </w:r>
            <w:r>
              <w:rPr>
                <w:rFonts w:hint="eastAsia" w:ascii="宋体" w:hAnsi="宋体" w:eastAsia="宋体" w:cs="宋体"/>
                <w:b w:val="0"/>
                <w:bCs w:val="0"/>
                <w:color w:val="auto"/>
                <w:sz w:val="24"/>
                <w:szCs w:val="24"/>
              </w:rPr>
              <w:t>，否则不得分。</w:t>
            </w:r>
            <w:r>
              <w:rPr>
                <w:rFonts w:hint="eastAsia" w:ascii="宋体" w:hAnsi="宋体" w:eastAsia="宋体" w:cs="宋体"/>
                <w:b w:val="0"/>
                <w:bCs w:val="0"/>
                <w:color w:val="auto"/>
                <w:sz w:val="24"/>
                <w:szCs w:val="24"/>
                <w:lang w:val="en-US" w:eastAsia="zh-CN"/>
              </w:rPr>
              <w:t>提供相关证明材料。</w:t>
            </w:r>
          </w:p>
        </w:tc>
        <w:tc>
          <w:tcPr>
            <w:tcW w:w="1478" w:type="dxa"/>
            <w:vMerge w:val="continue"/>
            <w:vAlign w:val="center"/>
          </w:tcPr>
          <w:p>
            <w:pPr>
              <w:shd w:val="clear"/>
              <w:spacing w:line="40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jc w:val="center"/>
        </w:trPr>
        <w:tc>
          <w:tcPr>
            <w:tcW w:w="509" w:type="dxa"/>
            <w:vAlign w:val="center"/>
          </w:tcPr>
          <w:p>
            <w:pPr>
              <w:shd w:val="clear"/>
              <w:spacing w:line="40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5</w:t>
            </w:r>
          </w:p>
        </w:tc>
        <w:tc>
          <w:tcPr>
            <w:tcW w:w="855" w:type="dxa"/>
            <w:vMerge w:val="restart"/>
            <w:vAlign w:val="center"/>
          </w:tcPr>
          <w:p>
            <w:pPr>
              <w:shd w:val="clear"/>
              <w:spacing w:line="400" w:lineRule="exac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技术评分标准</w:t>
            </w:r>
          </w:p>
        </w:tc>
        <w:tc>
          <w:tcPr>
            <w:tcW w:w="615" w:type="dxa"/>
            <w:vAlign w:val="center"/>
          </w:tcPr>
          <w:p>
            <w:pPr>
              <w:shd w:val="clear"/>
              <w:spacing w:line="40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sz w:val="24"/>
                <w:szCs w:val="24"/>
              </w:rPr>
              <w:t>2</w:t>
            </w:r>
            <w:r>
              <w:rPr>
                <w:rFonts w:hint="eastAsia" w:ascii="宋体" w:hAnsi="宋体" w:eastAsia="宋体" w:cs="宋体"/>
                <w:sz w:val="24"/>
                <w:szCs w:val="24"/>
                <w:lang w:val="en-US" w:eastAsia="zh-CN"/>
              </w:rPr>
              <w:t>0</w:t>
            </w:r>
          </w:p>
        </w:tc>
        <w:tc>
          <w:tcPr>
            <w:tcW w:w="7055" w:type="dxa"/>
            <w:vAlign w:val="center"/>
          </w:tcPr>
          <w:p>
            <w:pPr>
              <w:shd w:val="clear"/>
              <w:spacing w:line="400" w:lineRule="exact"/>
              <w:rPr>
                <w:rFonts w:hint="eastAsia" w:ascii="宋体" w:hAnsi="宋体" w:eastAsia="宋体" w:cs="宋体"/>
                <w:color w:val="auto"/>
                <w:sz w:val="24"/>
                <w:szCs w:val="24"/>
                <w:highlight w:val="none"/>
                <w:lang w:eastAsia="zh-CN"/>
              </w:rPr>
            </w:pPr>
            <w:r>
              <w:rPr>
                <w:rFonts w:hint="eastAsia" w:ascii="宋体" w:hAnsi="宋体" w:eastAsia="宋体" w:cs="宋体"/>
                <w:b/>
                <w:bCs/>
                <w:sz w:val="24"/>
                <w:szCs w:val="24"/>
              </w:rPr>
              <w:t>项目服务方案</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sz w:val="24"/>
                <w:szCs w:val="24"/>
              </w:rPr>
              <w:t>根据供应商针对本项目提供项目服务方案（至少包含：1、 项目组织结构与人员职责划分；2、管理制度建设方案（含 日常管理）；3、货源采购方案；4、仓储管理方案；5、服务质量控制体系及措施；6、食品安全保证措施；7、完善的售后服务体系等进行综合评审： 方案完整包含上述要点，要点内容完善、详细合理、逻辑清晰、有条理、对本项目有针对性、符合项目实际情况的得2</w:t>
            </w:r>
            <w:r>
              <w:rPr>
                <w:rFonts w:hint="eastAsia" w:ascii="宋体" w:hAnsi="宋体" w:eastAsia="宋体" w:cs="宋体"/>
                <w:sz w:val="24"/>
                <w:szCs w:val="24"/>
                <w:lang w:val="en-US" w:eastAsia="zh-CN"/>
              </w:rPr>
              <w:t>0</w:t>
            </w:r>
            <w:r>
              <w:rPr>
                <w:rFonts w:hint="eastAsia" w:ascii="宋体" w:hAnsi="宋体" w:eastAsia="宋体" w:cs="宋体"/>
                <w:sz w:val="24"/>
                <w:szCs w:val="24"/>
              </w:rPr>
              <w:t>分。缺项的每项扣</w:t>
            </w: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分，每出现一处存在缺陷不足的扣 </w:t>
            </w:r>
            <w:r>
              <w:rPr>
                <w:rFonts w:hint="eastAsia" w:ascii="宋体" w:hAnsi="宋体" w:eastAsia="宋体" w:cs="宋体"/>
                <w:sz w:val="24"/>
                <w:szCs w:val="24"/>
                <w:lang w:val="en-US" w:eastAsia="zh-CN"/>
              </w:rPr>
              <w:t>2</w:t>
            </w:r>
            <w:r>
              <w:rPr>
                <w:rFonts w:hint="eastAsia" w:ascii="宋体" w:hAnsi="宋体" w:eastAsia="宋体" w:cs="宋体"/>
                <w:sz w:val="24"/>
                <w:szCs w:val="24"/>
              </w:rPr>
              <w:t>分，扣完为止。（缺陷不足是指：存在不适用项目实际情况的情形、凭空编造、内容前后不一致、前后逻辑错误、 涉及的规范及标准错误、地点区域错误、内容缺失、不符 合采购需求、仅有大纲标题无正文内容等）未提供的不得分</w:t>
            </w:r>
            <w:r>
              <w:rPr>
                <w:rFonts w:hint="eastAsia" w:ascii="宋体" w:hAnsi="宋体" w:eastAsia="宋体" w:cs="宋体"/>
                <w:sz w:val="24"/>
                <w:szCs w:val="24"/>
                <w:lang w:eastAsia="zh-CN"/>
              </w:rPr>
              <w:t>。</w:t>
            </w:r>
          </w:p>
        </w:tc>
        <w:tc>
          <w:tcPr>
            <w:tcW w:w="1478" w:type="dxa"/>
            <w:vMerge w:val="continue"/>
            <w:vAlign w:val="center"/>
          </w:tcPr>
          <w:p>
            <w:pPr>
              <w:shd w:val="clear"/>
              <w:spacing w:line="40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09" w:type="dxa"/>
            <w:vAlign w:val="center"/>
          </w:tcPr>
          <w:p>
            <w:pPr>
              <w:shd w:val="clear"/>
              <w:spacing w:line="40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855" w:type="dxa"/>
            <w:vMerge w:val="continue"/>
            <w:vAlign w:val="center"/>
          </w:tcPr>
          <w:p>
            <w:pPr>
              <w:shd w:val="clear"/>
              <w:spacing w:line="400" w:lineRule="exact"/>
              <w:rPr>
                <w:rFonts w:hint="eastAsia" w:ascii="宋体" w:hAnsi="宋体" w:eastAsia="宋体" w:cs="宋体"/>
                <w:color w:val="auto"/>
                <w:sz w:val="24"/>
                <w:szCs w:val="24"/>
                <w:highlight w:val="none"/>
              </w:rPr>
            </w:pPr>
          </w:p>
        </w:tc>
        <w:tc>
          <w:tcPr>
            <w:tcW w:w="615" w:type="dxa"/>
            <w:vAlign w:val="center"/>
          </w:tcPr>
          <w:p>
            <w:pPr>
              <w:shd w:val="clear"/>
              <w:spacing w:line="400" w:lineRule="exact"/>
              <w:ind w:firstLine="28"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w:t>
            </w:r>
          </w:p>
        </w:tc>
        <w:tc>
          <w:tcPr>
            <w:tcW w:w="7055" w:type="dxa"/>
            <w:vAlign w:val="center"/>
          </w:tcPr>
          <w:p>
            <w:pPr>
              <w:shd w:val="clear"/>
              <w:spacing w:line="400" w:lineRule="exact"/>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配送服务方案</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rPr>
              <w:t>根据供应商针对本项目提供</w:t>
            </w:r>
            <w:r>
              <w:rPr>
                <w:rFonts w:hint="eastAsia" w:ascii="宋体" w:hAnsi="宋体" w:eastAsia="宋体" w:cs="宋体"/>
                <w:sz w:val="24"/>
                <w:szCs w:val="24"/>
                <w:lang w:val="en-US" w:eastAsia="zh-CN"/>
              </w:rPr>
              <w:t>配送</w:t>
            </w:r>
            <w:r>
              <w:rPr>
                <w:rFonts w:hint="eastAsia" w:ascii="宋体" w:hAnsi="宋体" w:eastAsia="宋体" w:cs="宋体"/>
                <w:sz w:val="24"/>
                <w:szCs w:val="24"/>
              </w:rPr>
              <w:t>服务方案（至少包含：1、人员配备及车辆配备；2、配送时间及路线保障；3、配送 途中突发情况应急措施；4、车辆管理、安全管理方案； 5、配送装卸管理制度等进行综合评审： 方案完整包含上述要点，要点内容完善、详细合理、逻辑 清晰、有条理、对本项目有针对性、符合项目实际情况的得</w:t>
            </w:r>
            <w:r>
              <w:rPr>
                <w:rFonts w:hint="eastAsia" w:ascii="宋体" w:hAnsi="宋体" w:eastAsia="宋体" w:cs="宋体"/>
                <w:sz w:val="24"/>
                <w:szCs w:val="24"/>
                <w:lang w:val="en-US" w:eastAsia="zh-CN"/>
              </w:rPr>
              <w:t>20</w:t>
            </w:r>
            <w:r>
              <w:rPr>
                <w:rFonts w:hint="eastAsia" w:ascii="宋体" w:hAnsi="宋体" w:eastAsia="宋体" w:cs="宋体"/>
                <w:sz w:val="24"/>
                <w:szCs w:val="24"/>
              </w:rPr>
              <w:t>分。缺项的每项扣</w:t>
            </w: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分，每出现一处存在缺陷不足的扣 </w:t>
            </w:r>
            <w:r>
              <w:rPr>
                <w:rFonts w:hint="eastAsia" w:ascii="宋体" w:hAnsi="宋体" w:eastAsia="宋体" w:cs="宋体"/>
                <w:sz w:val="24"/>
                <w:szCs w:val="24"/>
                <w:lang w:val="en-US" w:eastAsia="zh-CN"/>
              </w:rPr>
              <w:t>2</w:t>
            </w:r>
            <w:r>
              <w:rPr>
                <w:rFonts w:hint="eastAsia" w:ascii="宋体" w:hAnsi="宋体" w:eastAsia="宋体" w:cs="宋体"/>
                <w:sz w:val="24"/>
                <w:szCs w:val="24"/>
              </w:rPr>
              <w:t>分，扣完为止。（缺陷不足是指：存在不适用项目实际情 况的情形、凭空编造、内容前后不一致、前后逻辑错误、 涉及的规范及标准错误、地点区域错误、内容缺失、不符合采购需求、仅有大纲标题无正文内容）未提供的不得分</w:t>
            </w:r>
          </w:p>
        </w:tc>
        <w:tc>
          <w:tcPr>
            <w:tcW w:w="1478" w:type="dxa"/>
            <w:vMerge w:val="continue"/>
            <w:vAlign w:val="center"/>
          </w:tcPr>
          <w:p>
            <w:pPr>
              <w:shd w:val="clear"/>
              <w:spacing w:line="40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09" w:type="dxa"/>
            <w:vAlign w:val="center"/>
          </w:tcPr>
          <w:p>
            <w:pPr>
              <w:shd w:val="clear"/>
              <w:spacing w:line="40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c>
          <w:tcPr>
            <w:tcW w:w="855" w:type="dxa"/>
            <w:vMerge w:val="continue"/>
            <w:vAlign w:val="center"/>
          </w:tcPr>
          <w:p>
            <w:pPr>
              <w:shd w:val="clear"/>
              <w:spacing w:line="400" w:lineRule="exact"/>
              <w:rPr>
                <w:rFonts w:hint="eastAsia" w:ascii="宋体" w:hAnsi="宋体" w:eastAsia="宋体" w:cs="宋体"/>
                <w:color w:val="auto"/>
                <w:sz w:val="24"/>
                <w:szCs w:val="24"/>
                <w:highlight w:val="none"/>
              </w:rPr>
            </w:pPr>
          </w:p>
        </w:tc>
        <w:tc>
          <w:tcPr>
            <w:tcW w:w="615" w:type="dxa"/>
            <w:vAlign w:val="center"/>
          </w:tcPr>
          <w:p>
            <w:pPr>
              <w:shd w:val="clear"/>
              <w:spacing w:line="400" w:lineRule="exact"/>
              <w:ind w:firstLine="28"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7055" w:type="dxa"/>
            <w:vAlign w:val="center"/>
          </w:tcPr>
          <w:p>
            <w:pPr>
              <w:shd w:val="clear"/>
              <w:spacing w:line="400" w:lineRule="exact"/>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highlight w:val="none"/>
                <w:lang w:val="en-US" w:eastAsia="zh-CN"/>
              </w:rPr>
              <w:t>应急预案：</w:t>
            </w:r>
            <w:r>
              <w:rPr>
                <w:rFonts w:hint="eastAsia" w:ascii="宋体" w:hAnsi="宋体" w:eastAsia="宋体" w:cs="宋体"/>
                <w:sz w:val="24"/>
                <w:szCs w:val="24"/>
              </w:rPr>
              <w:t>根据供应商针对本项目提供</w:t>
            </w:r>
            <w:r>
              <w:rPr>
                <w:rFonts w:hint="eastAsia" w:ascii="宋体" w:hAnsi="宋体" w:eastAsia="宋体" w:cs="宋体"/>
                <w:sz w:val="24"/>
                <w:szCs w:val="24"/>
                <w:lang w:val="en-US" w:eastAsia="zh-CN"/>
              </w:rPr>
              <w:t>应急预案</w:t>
            </w:r>
            <w:r>
              <w:rPr>
                <w:rFonts w:hint="eastAsia" w:ascii="宋体" w:hAnsi="宋体" w:eastAsia="宋体" w:cs="宋体"/>
                <w:sz w:val="24"/>
                <w:szCs w:val="24"/>
              </w:rPr>
              <w:t>（至少包含：1、 应急管理机构；2、应急工作队伍；3、应急响应时间；4、 停水、停电等突发情况应急措施；5、突发食品安全事故应急措施等进行综合评审： 方案完整包含上述要点，要点内容完善、详细合理、逻辑 清晰、有条理、对本项目有针对性、符合项目实际情况的 得</w:t>
            </w:r>
            <w:r>
              <w:rPr>
                <w:rFonts w:hint="eastAsia" w:ascii="宋体" w:hAnsi="宋体" w:eastAsia="宋体" w:cs="宋体"/>
                <w:sz w:val="24"/>
                <w:szCs w:val="24"/>
                <w:lang w:val="en-US" w:eastAsia="zh-CN"/>
              </w:rPr>
              <w:t>8</w:t>
            </w:r>
            <w:r>
              <w:rPr>
                <w:rFonts w:hint="eastAsia" w:ascii="宋体" w:hAnsi="宋体" w:eastAsia="宋体" w:cs="宋体"/>
                <w:sz w:val="24"/>
                <w:szCs w:val="24"/>
              </w:rPr>
              <w:t>分。缺项的每项扣</w:t>
            </w:r>
            <w:r>
              <w:rPr>
                <w:rFonts w:hint="eastAsia" w:ascii="宋体" w:hAnsi="宋体" w:eastAsia="宋体" w:cs="宋体"/>
                <w:sz w:val="24"/>
                <w:szCs w:val="24"/>
                <w:lang w:val="en-US" w:eastAsia="zh-CN"/>
              </w:rPr>
              <w:t>2</w:t>
            </w:r>
            <w:r>
              <w:rPr>
                <w:rFonts w:hint="eastAsia" w:ascii="宋体" w:hAnsi="宋体" w:eastAsia="宋体" w:cs="宋体"/>
                <w:sz w:val="24"/>
                <w:szCs w:val="24"/>
              </w:rPr>
              <w:t>分，每出现一处存在缺陷不足的扣</w:t>
            </w:r>
            <w:r>
              <w:rPr>
                <w:rFonts w:hint="eastAsia" w:ascii="宋体" w:hAnsi="宋体" w:eastAsia="宋体" w:cs="宋体"/>
                <w:sz w:val="24"/>
                <w:szCs w:val="24"/>
                <w:lang w:val="en-US" w:eastAsia="zh-CN"/>
              </w:rPr>
              <w:t>1</w:t>
            </w:r>
            <w:r>
              <w:rPr>
                <w:rFonts w:hint="eastAsia" w:ascii="宋体" w:hAnsi="宋体" w:eastAsia="宋体" w:cs="宋体"/>
                <w:sz w:val="24"/>
                <w:szCs w:val="24"/>
              </w:rPr>
              <w:t>分，扣完为止。（缺陷不足是指：存在不适用项目实际情况的情形、凭空编造、内容前后不一致、前后逻辑错误、 涉及的规范及标准错误、地点区域错误、内容缺失、不符 合采购需求、仅有大纲标题无正文内容）未提供的不得分</w:t>
            </w:r>
            <w:r>
              <w:rPr>
                <w:rFonts w:hint="eastAsia" w:ascii="宋体" w:hAnsi="宋体" w:eastAsia="宋体" w:cs="宋体"/>
                <w:sz w:val="24"/>
                <w:szCs w:val="24"/>
                <w:lang w:eastAsia="zh-CN"/>
              </w:rPr>
              <w:t>。</w:t>
            </w:r>
          </w:p>
        </w:tc>
        <w:tc>
          <w:tcPr>
            <w:tcW w:w="1478" w:type="dxa"/>
            <w:vMerge w:val="continue"/>
            <w:vAlign w:val="center"/>
          </w:tcPr>
          <w:p>
            <w:pPr>
              <w:shd w:val="clear"/>
              <w:spacing w:line="400" w:lineRule="exact"/>
              <w:rPr>
                <w:rFonts w:hint="eastAsia" w:ascii="宋体" w:hAnsi="宋体" w:eastAsia="宋体" w:cs="宋体"/>
                <w:color w:val="auto"/>
                <w:sz w:val="24"/>
                <w:szCs w:val="24"/>
                <w:highlight w:val="none"/>
              </w:rPr>
            </w:pPr>
          </w:p>
        </w:tc>
      </w:tr>
    </w:tbl>
    <w:p>
      <w:pPr>
        <w:spacing w:line="240" w:lineRule="atLeast"/>
        <w:jc w:val="center"/>
        <w:outlineLvl w:val="9"/>
        <w:rPr>
          <w:rFonts w:hint="eastAsia" w:ascii="宋体" w:hAnsi="宋体" w:eastAsia="宋体" w:cs="宋体"/>
          <w:b/>
          <w:color w:val="auto"/>
          <w:sz w:val="44"/>
          <w:szCs w:val="44"/>
          <w:highlight w:val="none"/>
        </w:rPr>
      </w:pPr>
    </w:p>
    <w:p>
      <w:pPr>
        <w:spacing w:line="240" w:lineRule="atLeast"/>
        <w:jc w:val="center"/>
        <w:outlineLvl w:val="9"/>
        <w:rPr>
          <w:rFonts w:hint="eastAsia" w:ascii="宋体" w:hAnsi="宋体" w:eastAsia="宋体" w:cs="宋体"/>
          <w:b/>
          <w:color w:val="auto"/>
          <w:sz w:val="44"/>
          <w:szCs w:val="44"/>
          <w:highlight w:val="none"/>
        </w:rPr>
      </w:pPr>
    </w:p>
    <w:p>
      <w:pPr>
        <w:spacing w:line="240" w:lineRule="atLeast"/>
        <w:jc w:val="center"/>
        <w:outlineLvl w:val="9"/>
        <w:rPr>
          <w:rFonts w:hint="eastAsia" w:ascii="宋体" w:hAnsi="宋体" w:eastAsia="宋体" w:cs="宋体"/>
          <w:b/>
          <w:color w:val="auto"/>
          <w:sz w:val="44"/>
          <w:szCs w:val="44"/>
          <w:highlight w:val="none"/>
        </w:rPr>
      </w:pPr>
    </w:p>
    <w:p>
      <w:pPr>
        <w:spacing w:line="240" w:lineRule="atLeast"/>
        <w:jc w:val="center"/>
        <w:outlineLvl w:val="9"/>
        <w:rPr>
          <w:rFonts w:hint="eastAsia" w:ascii="宋体" w:hAnsi="宋体" w:eastAsia="宋体" w:cs="宋体"/>
          <w:b/>
          <w:color w:val="auto"/>
          <w:sz w:val="44"/>
          <w:szCs w:val="44"/>
          <w:highlight w:val="none"/>
        </w:rPr>
      </w:pPr>
    </w:p>
    <w:p>
      <w:pPr>
        <w:outlineLvl w:val="9"/>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br w:type="page"/>
      </w:r>
    </w:p>
    <w:p>
      <w:pPr>
        <w:pStyle w:val="21"/>
        <w:outlineLvl w:val="9"/>
        <w:rPr>
          <w:rFonts w:hint="eastAsia"/>
        </w:rPr>
      </w:pPr>
    </w:p>
    <w:p>
      <w:pPr>
        <w:pStyle w:val="12"/>
        <w:outlineLvl w:val="9"/>
        <w:rPr>
          <w:rFonts w:hint="eastAsia"/>
        </w:rPr>
      </w:pPr>
    </w:p>
    <w:p>
      <w:pPr>
        <w:pStyle w:val="13"/>
        <w:outlineLvl w:val="9"/>
        <w:rPr>
          <w:rFonts w:hint="eastAsia"/>
        </w:rPr>
      </w:pPr>
    </w:p>
    <w:p>
      <w:pPr>
        <w:outlineLvl w:val="9"/>
        <w:rPr>
          <w:rFonts w:hint="eastAsia"/>
        </w:rPr>
      </w:pPr>
    </w:p>
    <w:p>
      <w:pPr>
        <w:pStyle w:val="21"/>
        <w:outlineLvl w:val="9"/>
        <w:rPr>
          <w:rFonts w:hint="eastAsia"/>
        </w:rPr>
      </w:pPr>
    </w:p>
    <w:p>
      <w:pPr>
        <w:spacing w:line="240" w:lineRule="atLeast"/>
        <w:jc w:val="center"/>
        <w:outlineLvl w:val="9"/>
        <w:rPr>
          <w:rFonts w:hint="eastAsia" w:ascii="宋体" w:hAnsi="宋体" w:eastAsia="宋体" w:cs="宋体"/>
          <w:b/>
          <w:color w:val="auto"/>
          <w:sz w:val="44"/>
          <w:szCs w:val="44"/>
          <w:highlight w:val="none"/>
        </w:rPr>
      </w:pPr>
    </w:p>
    <w:p>
      <w:pPr>
        <w:pStyle w:val="21"/>
        <w:rPr>
          <w:rFonts w:hint="eastAsia" w:ascii="宋体" w:hAnsi="宋体" w:eastAsia="宋体" w:cs="宋体"/>
          <w:b/>
          <w:color w:val="auto"/>
          <w:sz w:val="44"/>
          <w:szCs w:val="44"/>
          <w:highlight w:val="none"/>
        </w:rPr>
      </w:pPr>
    </w:p>
    <w:p>
      <w:pPr>
        <w:pStyle w:val="12"/>
        <w:rPr>
          <w:rFonts w:hint="eastAsia" w:ascii="宋体" w:hAnsi="宋体" w:eastAsia="宋体" w:cs="宋体"/>
          <w:b/>
          <w:color w:val="auto"/>
          <w:sz w:val="44"/>
          <w:szCs w:val="44"/>
          <w:highlight w:val="none"/>
        </w:rPr>
      </w:pPr>
    </w:p>
    <w:p>
      <w:pPr>
        <w:pStyle w:val="13"/>
        <w:rPr>
          <w:rFonts w:hint="eastAsia"/>
        </w:rPr>
      </w:pPr>
    </w:p>
    <w:p>
      <w:pPr>
        <w:spacing w:line="240" w:lineRule="atLeast"/>
        <w:jc w:val="center"/>
        <w:outlineLvl w:val="9"/>
        <w:rPr>
          <w:rFonts w:hint="eastAsia" w:ascii="宋体" w:hAnsi="宋体" w:eastAsia="宋体" w:cs="宋体"/>
          <w:b/>
          <w:color w:val="auto"/>
          <w:sz w:val="44"/>
          <w:szCs w:val="44"/>
          <w:highlight w:val="none"/>
        </w:rPr>
      </w:pPr>
    </w:p>
    <w:p>
      <w:pPr>
        <w:spacing w:line="240" w:lineRule="atLeast"/>
        <w:jc w:val="center"/>
        <w:outlineLvl w:val="9"/>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招 标 文 件</w:t>
      </w:r>
    </w:p>
    <w:p>
      <w:pPr>
        <w:spacing w:line="240" w:lineRule="atLeast"/>
        <w:jc w:val="center"/>
        <w:outlineLvl w:val="9"/>
        <w:rPr>
          <w:rFonts w:hint="eastAsia" w:ascii="宋体" w:hAnsi="宋体" w:eastAsia="宋体" w:cs="宋体"/>
          <w:b/>
          <w:color w:val="auto"/>
          <w:sz w:val="40"/>
          <w:szCs w:val="40"/>
          <w:highlight w:val="none"/>
        </w:rPr>
      </w:pPr>
    </w:p>
    <w:p>
      <w:pPr>
        <w:spacing w:line="240" w:lineRule="atLeast"/>
        <w:jc w:val="center"/>
        <w:outlineLvl w:val="9"/>
        <w:rPr>
          <w:rFonts w:hint="eastAsia" w:ascii="宋体" w:hAnsi="宋体" w:eastAsia="宋体" w:cs="宋体"/>
          <w:b/>
          <w:color w:val="auto"/>
          <w:sz w:val="40"/>
          <w:szCs w:val="40"/>
          <w:highlight w:val="none"/>
          <w:lang w:val="en-US" w:eastAsia="zh-CN"/>
        </w:rPr>
      </w:pPr>
      <w:bookmarkStart w:id="1669" w:name="_Toc13284_WPSOffice_Level2"/>
      <w:r>
        <w:rPr>
          <w:rFonts w:hint="eastAsia" w:ascii="宋体" w:hAnsi="宋体" w:eastAsia="宋体" w:cs="宋体"/>
          <w:b/>
          <w:color w:val="auto"/>
          <w:sz w:val="40"/>
          <w:szCs w:val="40"/>
          <w:highlight w:val="none"/>
        </w:rPr>
        <w:t>项目编号：</w:t>
      </w:r>
      <w:bookmarkEnd w:id="1669"/>
      <w:r>
        <w:rPr>
          <w:rFonts w:hint="eastAsia" w:ascii="宋体" w:hAnsi="宋体" w:cs="宋体"/>
          <w:b/>
          <w:color w:val="auto"/>
          <w:sz w:val="40"/>
          <w:szCs w:val="40"/>
          <w:highlight w:val="none"/>
          <w:lang w:eastAsia="zh-CN"/>
        </w:rPr>
        <w:t>ZPDL(2023)032-2</w:t>
      </w:r>
    </w:p>
    <w:p>
      <w:pPr>
        <w:pStyle w:val="2"/>
        <w:ind w:firstLine="480"/>
        <w:outlineLvl w:val="9"/>
        <w:rPr>
          <w:rFonts w:hint="eastAsia" w:ascii="宋体" w:hAnsi="宋体" w:eastAsia="宋体" w:cs="宋体"/>
          <w:color w:val="auto"/>
          <w:highlight w:val="none"/>
        </w:rPr>
      </w:pPr>
    </w:p>
    <w:p>
      <w:pPr>
        <w:spacing w:line="240" w:lineRule="atLeast"/>
        <w:jc w:val="center"/>
        <w:outlineLvl w:val="9"/>
        <w:rPr>
          <w:rFonts w:hint="eastAsia" w:ascii="宋体" w:hAnsi="宋体" w:eastAsia="宋体" w:cs="宋体"/>
          <w:b/>
          <w:color w:val="auto"/>
          <w:sz w:val="40"/>
          <w:szCs w:val="40"/>
          <w:highlight w:val="none"/>
        </w:rPr>
      </w:pPr>
      <w:r>
        <w:rPr>
          <w:rFonts w:hint="eastAsia" w:ascii="宋体" w:hAnsi="宋体" w:eastAsia="宋体" w:cs="宋体"/>
          <w:b/>
          <w:color w:val="auto"/>
          <w:sz w:val="40"/>
          <w:szCs w:val="40"/>
          <w:highlight w:val="none"/>
        </w:rPr>
        <w:t>第 三 册</w:t>
      </w:r>
    </w:p>
    <w:p>
      <w:pPr>
        <w:spacing w:line="240" w:lineRule="atLeast"/>
        <w:jc w:val="center"/>
        <w:outlineLvl w:val="9"/>
        <w:rPr>
          <w:rFonts w:hint="eastAsia" w:ascii="宋体" w:hAnsi="宋体" w:eastAsia="宋体" w:cs="宋体"/>
          <w:b/>
          <w:color w:val="auto"/>
          <w:sz w:val="32"/>
          <w:highlight w:val="none"/>
        </w:rPr>
      </w:pPr>
    </w:p>
    <w:p>
      <w:pPr>
        <w:spacing w:line="240" w:lineRule="atLeast"/>
        <w:ind w:left="1080" w:leftChars="257" w:hanging="540"/>
        <w:jc w:val="center"/>
        <w:outlineLvl w:val="9"/>
        <w:rPr>
          <w:rFonts w:hint="eastAsia" w:ascii="宋体" w:hAnsi="宋体" w:eastAsia="宋体" w:cs="宋体"/>
          <w:b/>
          <w:color w:val="auto"/>
          <w:sz w:val="52"/>
          <w:highlight w:val="none"/>
        </w:rPr>
      </w:pPr>
    </w:p>
    <w:p>
      <w:pPr>
        <w:pStyle w:val="2"/>
        <w:outlineLvl w:val="9"/>
        <w:rPr>
          <w:rFonts w:hint="eastAsia" w:ascii="宋体" w:hAnsi="宋体" w:eastAsia="宋体" w:cs="宋体"/>
          <w:b/>
          <w:color w:val="auto"/>
          <w:sz w:val="52"/>
          <w:highlight w:val="none"/>
        </w:rPr>
      </w:pPr>
    </w:p>
    <w:p>
      <w:pPr>
        <w:pStyle w:val="2"/>
        <w:outlineLvl w:val="9"/>
        <w:rPr>
          <w:rFonts w:hint="eastAsia" w:ascii="宋体" w:hAnsi="宋体" w:eastAsia="宋体" w:cs="宋体"/>
          <w:b/>
          <w:color w:val="auto"/>
          <w:sz w:val="52"/>
          <w:highlight w:val="none"/>
        </w:rPr>
      </w:pPr>
    </w:p>
    <w:p>
      <w:pPr>
        <w:pStyle w:val="2"/>
        <w:outlineLvl w:val="9"/>
        <w:rPr>
          <w:rFonts w:hint="eastAsia" w:ascii="宋体" w:hAnsi="宋体" w:eastAsia="宋体" w:cs="宋体"/>
          <w:b/>
          <w:color w:val="auto"/>
          <w:sz w:val="52"/>
          <w:highlight w:val="none"/>
        </w:rPr>
      </w:pPr>
    </w:p>
    <w:p>
      <w:pPr>
        <w:outlineLvl w:val="9"/>
        <w:rPr>
          <w:rFonts w:hint="eastAsia" w:ascii="宋体" w:hAnsi="宋体" w:eastAsia="宋体" w:cs="宋体"/>
          <w:color w:val="auto"/>
          <w:highlight w:val="none"/>
        </w:rPr>
      </w:pPr>
      <w:bookmarkStart w:id="1670" w:name="_Toc6865"/>
      <w:bookmarkStart w:id="1671" w:name="_Toc28085"/>
      <w:bookmarkStart w:id="1672" w:name="_Toc4796"/>
      <w:bookmarkStart w:id="1673" w:name="_Toc23920"/>
      <w:bookmarkStart w:id="1674" w:name="_Toc515647833"/>
      <w:r>
        <w:rPr>
          <w:rFonts w:hint="eastAsia" w:ascii="宋体" w:hAnsi="宋体" w:eastAsia="宋体" w:cs="宋体"/>
          <w:color w:val="auto"/>
          <w:highlight w:val="none"/>
        </w:rPr>
        <w:br w:type="page"/>
      </w:r>
    </w:p>
    <w:bookmarkEnd w:id="1648"/>
    <w:bookmarkEnd w:id="1670"/>
    <w:bookmarkEnd w:id="1671"/>
    <w:bookmarkEnd w:id="1672"/>
    <w:bookmarkEnd w:id="1673"/>
    <w:bookmarkEnd w:id="1674"/>
    <w:p>
      <w:pPr>
        <w:pStyle w:val="4"/>
        <w:ind w:firstLine="0"/>
        <w:jc w:val="center"/>
        <w:outlineLvl w:val="0"/>
        <w:rPr>
          <w:rFonts w:hint="eastAsia" w:ascii="宋体" w:hAnsi="宋体" w:eastAsia="宋体" w:cs="宋体"/>
          <w:b/>
          <w:bCs/>
          <w:color w:val="auto"/>
          <w:sz w:val="32"/>
          <w:szCs w:val="32"/>
          <w:highlight w:val="none"/>
          <w:lang w:val="en-US" w:eastAsia="zh-CN"/>
        </w:rPr>
      </w:pPr>
      <w:bookmarkStart w:id="1675" w:name="_Toc29046"/>
      <w:bookmarkStart w:id="1676" w:name="_Toc4781"/>
      <w:r>
        <w:rPr>
          <w:rFonts w:hint="eastAsia" w:ascii="宋体" w:hAnsi="宋体" w:eastAsia="宋体" w:cs="宋体"/>
          <w:b/>
          <w:bCs/>
          <w:color w:val="auto"/>
          <w:sz w:val="32"/>
          <w:szCs w:val="32"/>
          <w:highlight w:val="none"/>
          <w:lang w:val="en-US" w:eastAsia="zh-CN"/>
        </w:rPr>
        <w:t>第7章  政府采购合同</w:t>
      </w:r>
      <w:bookmarkEnd w:id="1675"/>
      <w:bookmarkEnd w:id="1676"/>
      <w:bookmarkStart w:id="1677" w:name="_Toc487900382"/>
      <w:bookmarkEnd w:id="1677"/>
      <w:bookmarkStart w:id="1678" w:name="_Hlt487972895"/>
      <w:bookmarkEnd w:id="1678"/>
      <w:bookmarkStart w:id="1679" w:name="_Toc216513788"/>
      <w:bookmarkEnd w:id="1679"/>
    </w:p>
    <w:p>
      <w:pPr>
        <w:rPr>
          <w:rFonts w:hint="eastAsia" w:ascii="宋体" w:hAnsi="宋体" w:eastAsia="宋体" w:cs="宋体"/>
          <w:color w:val="auto"/>
          <w:sz w:val="24"/>
          <w:szCs w:val="24"/>
          <w:highlight w:val="none"/>
        </w:rPr>
      </w:pPr>
    </w:p>
    <w:p>
      <w:pPr>
        <w:outlineLvl w:val="9"/>
        <w:rPr>
          <w:rFonts w:hint="eastAsia" w:ascii="宋体" w:hAnsi="宋体" w:eastAsia="宋体" w:cs="宋体"/>
          <w:color w:val="auto"/>
          <w:sz w:val="24"/>
          <w:szCs w:val="24"/>
          <w:highlight w:val="none"/>
        </w:rPr>
      </w:pPr>
    </w:p>
    <w:p>
      <w:pPr>
        <w:outlineLvl w:val="9"/>
        <w:rPr>
          <w:rFonts w:hint="eastAsia" w:ascii="宋体" w:hAnsi="宋体" w:eastAsia="宋体" w:cs="宋体"/>
          <w:color w:val="auto"/>
          <w:sz w:val="24"/>
          <w:szCs w:val="24"/>
          <w:highlight w:val="none"/>
        </w:rPr>
      </w:pPr>
    </w:p>
    <w:p>
      <w:pPr>
        <w:outlineLvl w:val="9"/>
        <w:rPr>
          <w:rFonts w:hint="eastAsia" w:ascii="宋体" w:hAnsi="宋体" w:eastAsia="宋体" w:cs="宋体"/>
          <w:color w:val="auto"/>
          <w:highlight w:val="none"/>
        </w:rPr>
      </w:pPr>
      <w:r>
        <w:rPr>
          <w:rFonts w:hint="eastAsia" w:ascii="宋体" w:hAnsi="宋体" w:eastAsia="宋体" w:cs="宋体"/>
          <w:color w:val="auto"/>
          <w:sz w:val="24"/>
          <w:szCs w:val="24"/>
          <w:highlight w:val="none"/>
        </w:rPr>
        <w:t xml:space="preserve">合同编号：   </w:t>
      </w:r>
      <w:r>
        <w:rPr>
          <w:rFonts w:hint="eastAsia" w:ascii="宋体" w:hAnsi="宋体" w:eastAsia="宋体" w:cs="宋体"/>
          <w:color w:val="auto"/>
          <w:highlight w:val="none"/>
        </w:rPr>
        <w:t xml:space="preserve">        </w:t>
      </w:r>
    </w:p>
    <w:p>
      <w:pPr>
        <w:outlineLvl w:val="9"/>
        <w:rPr>
          <w:rFonts w:hint="eastAsia" w:ascii="宋体" w:hAnsi="宋体" w:eastAsia="宋体" w:cs="宋体"/>
          <w:color w:val="auto"/>
          <w:highlight w:val="none"/>
        </w:rPr>
      </w:pPr>
    </w:p>
    <w:p>
      <w:pPr>
        <w:outlineLvl w:val="9"/>
        <w:rPr>
          <w:rFonts w:hint="eastAsia" w:ascii="宋体" w:hAnsi="宋体" w:eastAsia="宋体" w:cs="宋体"/>
          <w:color w:val="auto"/>
          <w:highlight w:val="none"/>
        </w:rPr>
      </w:pPr>
    </w:p>
    <w:p>
      <w:pPr>
        <w:outlineLvl w:val="9"/>
        <w:rPr>
          <w:rFonts w:hint="eastAsia" w:ascii="宋体" w:hAnsi="宋体" w:eastAsia="宋体" w:cs="宋体"/>
          <w:color w:val="auto"/>
          <w:highlight w:val="none"/>
        </w:rPr>
      </w:pPr>
    </w:p>
    <w:p>
      <w:pPr>
        <w:spacing w:line="500" w:lineRule="exact"/>
        <w:jc w:val="center"/>
        <w:outlineLvl w:val="9"/>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政府采购合同参考范本</w:t>
      </w:r>
    </w:p>
    <w:p>
      <w:pPr>
        <w:spacing w:line="500" w:lineRule="exact"/>
        <w:jc w:val="center"/>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（货物类）</w:t>
      </w:r>
    </w:p>
    <w:p>
      <w:pPr>
        <w:outlineLvl w:val="9"/>
        <w:rPr>
          <w:rFonts w:hint="eastAsia" w:ascii="宋体" w:hAnsi="宋体" w:eastAsia="宋体" w:cs="宋体"/>
          <w:color w:val="auto"/>
          <w:highlight w:val="none"/>
        </w:rPr>
      </w:pPr>
    </w:p>
    <w:p>
      <w:pPr>
        <w:outlineLvl w:val="9"/>
        <w:rPr>
          <w:rFonts w:hint="eastAsia" w:ascii="宋体" w:hAnsi="宋体" w:eastAsia="宋体" w:cs="宋体"/>
          <w:color w:val="auto"/>
          <w:highlight w:val="none"/>
        </w:rPr>
      </w:pPr>
    </w:p>
    <w:p>
      <w:pPr>
        <w:widowControl w:val="0"/>
        <w:autoSpaceDE w:val="0"/>
        <w:autoSpaceDN w:val="0"/>
        <w:adjustRightInd w:val="0"/>
        <w:spacing w:line="360" w:lineRule="exact"/>
        <w:ind w:firstLine="0"/>
        <w:jc w:val="center"/>
        <w:outlineLvl w:val="9"/>
        <w:rPr>
          <w:rFonts w:hint="eastAsia" w:ascii="宋体" w:hAnsi="宋体" w:eastAsia="宋体" w:cs="宋体"/>
          <w:b/>
          <w:bCs/>
          <w:color w:val="auto"/>
          <w:kern w:val="0"/>
          <w:sz w:val="24"/>
          <w:szCs w:val="20"/>
          <w:highlight w:val="none"/>
          <w:lang w:val="en-US" w:eastAsia="zh-CN" w:bidi="ar-SA"/>
        </w:rPr>
      </w:pPr>
      <w:r>
        <w:rPr>
          <w:rFonts w:hint="eastAsia" w:ascii="宋体" w:hAnsi="宋体" w:eastAsia="宋体" w:cs="宋体"/>
          <w:b/>
          <w:bCs/>
          <w:color w:val="auto"/>
          <w:kern w:val="0"/>
          <w:sz w:val="24"/>
          <w:szCs w:val="20"/>
          <w:highlight w:val="none"/>
          <w:lang w:val="en-US" w:eastAsia="zh-CN" w:bidi="ar-SA"/>
        </w:rPr>
        <w:t>第一部分 合同书</w:t>
      </w:r>
    </w:p>
    <w:p>
      <w:pPr>
        <w:outlineLvl w:val="9"/>
        <w:rPr>
          <w:rFonts w:hint="eastAsia" w:ascii="宋体" w:hAnsi="宋体" w:eastAsia="宋体" w:cs="宋体"/>
          <w:color w:val="auto"/>
          <w:highlight w:val="none"/>
        </w:rPr>
      </w:pPr>
    </w:p>
    <w:p>
      <w:pPr>
        <w:spacing w:before="120" w:line="360" w:lineRule="exact"/>
        <w:ind w:left="96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u w:val="single"/>
        </w:rPr>
        <w:t xml:space="preserve">                                   </w:t>
      </w:r>
    </w:p>
    <w:p>
      <w:pPr>
        <w:widowControl w:val="0"/>
        <w:spacing w:before="120" w:line="360" w:lineRule="exact"/>
        <w:jc w:val="both"/>
        <w:outlineLvl w:val="9"/>
        <w:rPr>
          <w:rFonts w:hint="eastAsia" w:ascii="宋体" w:hAnsi="宋体" w:eastAsia="宋体" w:cs="宋体"/>
          <w:color w:val="auto"/>
          <w:kern w:val="2"/>
          <w:sz w:val="24"/>
          <w:szCs w:val="20"/>
          <w:highlight w:val="none"/>
          <w:lang w:val="en-US" w:eastAsia="zh-CN" w:bidi="ar-SA"/>
        </w:rPr>
      </w:pPr>
    </w:p>
    <w:p>
      <w:pPr>
        <w:widowControl w:val="0"/>
        <w:spacing w:before="120" w:line="360" w:lineRule="exact"/>
        <w:jc w:val="both"/>
        <w:outlineLvl w:val="9"/>
        <w:rPr>
          <w:rFonts w:hint="eastAsia" w:ascii="宋体" w:hAnsi="宋体" w:eastAsia="宋体" w:cs="宋体"/>
          <w:color w:val="auto"/>
          <w:kern w:val="2"/>
          <w:sz w:val="24"/>
          <w:szCs w:val="20"/>
          <w:highlight w:val="none"/>
          <w:lang w:val="en-US" w:eastAsia="zh-CN" w:bidi="ar-SA"/>
        </w:rPr>
      </w:pPr>
    </w:p>
    <w:p>
      <w:pPr>
        <w:spacing w:line="360" w:lineRule="exact"/>
        <w:outlineLvl w:val="9"/>
        <w:rPr>
          <w:rFonts w:hint="eastAsia" w:ascii="宋体" w:hAnsi="宋体" w:eastAsia="宋体" w:cs="宋体"/>
          <w:color w:val="auto"/>
          <w:highlight w:val="none"/>
        </w:rPr>
      </w:pPr>
    </w:p>
    <w:p>
      <w:pPr>
        <w:spacing w:before="120" w:line="360" w:lineRule="exact"/>
        <w:ind w:left="960"/>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甲方：</w:t>
      </w:r>
      <w:r>
        <w:rPr>
          <w:rFonts w:hint="eastAsia" w:ascii="宋体" w:hAnsi="宋体" w:eastAsia="宋体" w:cs="宋体"/>
          <w:color w:val="auto"/>
          <w:sz w:val="24"/>
          <w:szCs w:val="24"/>
          <w:highlight w:val="none"/>
          <w:u w:val="single"/>
        </w:rPr>
        <w:t xml:space="preserve">                                       </w:t>
      </w:r>
    </w:p>
    <w:p>
      <w:pPr>
        <w:spacing w:before="120" w:line="360" w:lineRule="exact"/>
        <w:outlineLvl w:val="9"/>
        <w:rPr>
          <w:rFonts w:hint="eastAsia" w:ascii="宋体" w:hAnsi="宋体" w:eastAsia="宋体" w:cs="宋体"/>
          <w:color w:val="auto"/>
          <w:sz w:val="24"/>
          <w:szCs w:val="24"/>
          <w:highlight w:val="none"/>
        </w:rPr>
      </w:pPr>
    </w:p>
    <w:p>
      <w:pPr>
        <w:spacing w:before="120" w:line="360" w:lineRule="exact"/>
        <w:ind w:left="960"/>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乙方：</w:t>
      </w:r>
      <w:r>
        <w:rPr>
          <w:rFonts w:hint="eastAsia" w:ascii="宋体" w:hAnsi="宋体" w:eastAsia="宋体" w:cs="宋体"/>
          <w:color w:val="auto"/>
          <w:sz w:val="24"/>
          <w:szCs w:val="24"/>
          <w:highlight w:val="none"/>
          <w:u w:val="single"/>
        </w:rPr>
        <w:t xml:space="preserve">                                       </w:t>
      </w:r>
    </w:p>
    <w:p>
      <w:pPr>
        <w:spacing w:before="120" w:line="360" w:lineRule="exact"/>
        <w:outlineLvl w:val="9"/>
        <w:rPr>
          <w:rFonts w:hint="eastAsia" w:ascii="宋体" w:hAnsi="宋体" w:eastAsia="宋体" w:cs="宋体"/>
          <w:color w:val="auto"/>
          <w:sz w:val="24"/>
          <w:szCs w:val="24"/>
          <w:highlight w:val="none"/>
        </w:rPr>
      </w:pPr>
    </w:p>
    <w:p>
      <w:pPr>
        <w:spacing w:before="120" w:line="360" w:lineRule="exact"/>
        <w:ind w:firstLine="960" w:firstLineChars="400"/>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签订地：</w:t>
      </w:r>
      <w:r>
        <w:rPr>
          <w:rFonts w:hint="eastAsia" w:ascii="宋体" w:hAnsi="宋体" w:eastAsia="宋体" w:cs="宋体"/>
          <w:color w:val="auto"/>
          <w:sz w:val="24"/>
          <w:szCs w:val="24"/>
          <w:highlight w:val="none"/>
          <w:u w:val="single"/>
        </w:rPr>
        <w:t xml:space="preserve">                                     </w:t>
      </w:r>
    </w:p>
    <w:p>
      <w:pPr>
        <w:spacing w:before="120" w:line="360" w:lineRule="exact"/>
        <w:outlineLvl w:val="9"/>
        <w:rPr>
          <w:rFonts w:hint="eastAsia" w:ascii="宋体" w:hAnsi="宋体" w:eastAsia="宋体" w:cs="宋体"/>
          <w:color w:val="auto"/>
          <w:sz w:val="24"/>
          <w:szCs w:val="24"/>
          <w:highlight w:val="none"/>
        </w:rPr>
      </w:pPr>
    </w:p>
    <w:p>
      <w:pPr>
        <w:spacing w:before="120" w:line="360" w:lineRule="exact"/>
        <w:ind w:firstLine="960" w:firstLineChars="400"/>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签订日期：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autoSpaceDE w:val="0"/>
        <w:autoSpaceDN w:val="0"/>
        <w:adjustRightInd w:val="0"/>
        <w:spacing w:line="360" w:lineRule="exact"/>
        <w:ind w:firstLine="640"/>
        <w:jc w:val="center"/>
        <w:outlineLvl w:val="9"/>
        <w:rPr>
          <w:rFonts w:hint="eastAsia" w:ascii="宋体" w:hAnsi="宋体" w:eastAsia="宋体" w:cs="宋体"/>
          <w:color w:val="auto"/>
          <w:sz w:val="24"/>
          <w:szCs w:val="24"/>
          <w:highlight w:val="none"/>
        </w:rPr>
        <w:sectPr>
          <w:footerReference r:id="rId4" w:type="default"/>
          <w:pgSz w:w="11905" w:h="16838"/>
          <w:pgMar w:top="1440" w:right="1797" w:bottom="1440" w:left="1797" w:header="851" w:footer="992" w:gutter="0"/>
          <w:pgBorders>
            <w:top w:val="none" w:sz="0" w:space="0"/>
            <w:left w:val="none" w:sz="0" w:space="0"/>
            <w:bottom w:val="none" w:sz="0" w:space="0"/>
            <w:right w:val="none" w:sz="0" w:space="0"/>
          </w:pgBorders>
          <w:pgNumType w:fmt="decimal" w:start="1"/>
          <w:cols w:space="0" w:num="1"/>
          <w:rtlGutter w:val="0"/>
          <w:docGrid w:linePitch="462" w:charSpace="0"/>
        </w:sectPr>
      </w:pPr>
    </w:p>
    <w:p>
      <w:pPr>
        <w:spacing w:line="360" w:lineRule="exact"/>
        <w:ind w:firstLine="480" w:firstLineChars="200"/>
        <w:outlineLvl w:val="9"/>
        <w:rPr>
          <w:rFonts w:hint="eastAsia" w:ascii="宋体" w:hAnsi="宋体" w:eastAsia="宋体" w:cs="宋体"/>
          <w:color w:val="auto"/>
          <w:sz w:val="24"/>
          <w:szCs w:val="24"/>
          <w:highlight w:val="none"/>
        </w:rPr>
      </w:pPr>
      <w:bookmarkStart w:id="1680" w:name="_Toc3029"/>
      <w:bookmarkStart w:id="1681" w:name="_Toc26721"/>
      <w:bookmarkStart w:id="1682" w:name="_Toc24059"/>
      <w:bookmarkStart w:id="1683" w:name="_Toc2659"/>
      <w:bookmarkStart w:id="1684" w:name="_Toc1846"/>
      <w:bookmarkStart w:id="1685" w:name="_Toc2232"/>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color w:val="auto"/>
          <w:sz w:val="24"/>
          <w:szCs w:val="24"/>
          <w:highlight w:val="none"/>
          <w:lang w:val="zh-CN"/>
        </w:rPr>
        <w:t>年</w:t>
      </w:r>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color w:val="auto"/>
          <w:sz w:val="24"/>
          <w:szCs w:val="24"/>
          <w:highlight w:val="none"/>
          <w:lang w:val="zh-CN"/>
        </w:rPr>
        <w:t>月</w:t>
      </w:r>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color w:val="auto"/>
          <w:sz w:val="24"/>
          <w:szCs w:val="24"/>
          <w:highlight w:val="none"/>
          <w:lang w:val="zh-CN"/>
        </w:rPr>
        <w:t>日</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（采购人名称）   </w:t>
      </w:r>
      <w:r>
        <w:rPr>
          <w:rFonts w:hint="eastAsia" w:ascii="宋体" w:hAnsi="宋体" w:eastAsia="宋体" w:cs="宋体"/>
          <w:color w:val="auto"/>
          <w:sz w:val="24"/>
          <w:szCs w:val="24"/>
          <w:highlight w:val="none"/>
        </w:rPr>
        <w:t>以</w:t>
      </w:r>
      <w:r>
        <w:rPr>
          <w:rFonts w:hint="eastAsia" w:ascii="宋体" w:hAnsi="宋体" w:eastAsia="宋体" w:cs="宋体"/>
          <w:color w:val="auto"/>
          <w:sz w:val="24"/>
          <w:szCs w:val="24"/>
          <w:highlight w:val="none"/>
          <w:u w:val="single"/>
        </w:rPr>
        <w:t xml:space="preserve">   （政府采购方式）  </w:t>
      </w:r>
      <w:r>
        <w:rPr>
          <w:rFonts w:hint="eastAsia" w:ascii="宋体" w:hAnsi="宋体" w:eastAsia="宋体" w:cs="宋体"/>
          <w:color w:val="auto"/>
          <w:sz w:val="24"/>
          <w:szCs w:val="24"/>
          <w:highlight w:val="none"/>
        </w:rPr>
        <w:t>对</w:t>
      </w:r>
      <w:r>
        <w:rPr>
          <w:rFonts w:hint="eastAsia" w:ascii="宋体" w:hAnsi="宋体" w:eastAsia="宋体" w:cs="宋体"/>
          <w:color w:val="auto"/>
          <w:sz w:val="24"/>
          <w:szCs w:val="24"/>
          <w:highlight w:val="none"/>
          <w:u w:val="single"/>
        </w:rPr>
        <w:t xml:space="preserve">   （同前页项目名称）   </w:t>
      </w:r>
      <w:r>
        <w:rPr>
          <w:rFonts w:hint="eastAsia" w:ascii="宋体" w:hAnsi="宋体" w:eastAsia="宋体" w:cs="宋体"/>
          <w:color w:val="auto"/>
          <w:sz w:val="24"/>
          <w:szCs w:val="24"/>
          <w:highlight w:val="none"/>
        </w:rPr>
        <w:t>项目进行了采购。经</w:t>
      </w:r>
      <w:r>
        <w:rPr>
          <w:rFonts w:hint="eastAsia" w:ascii="宋体" w:hAnsi="宋体" w:eastAsia="宋体" w:cs="宋体"/>
          <w:color w:val="auto"/>
          <w:sz w:val="24"/>
          <w:szCs w:val="24"/>
          <w:highlight w:val="none"/>
          <w:u w:val="single"/>
        </w:rPr>
        <w:t xml:space="preserve">   （相关评定主体名称）   </w:t>
      </w:r>
      <w:r>
        <w:rPr>
          <w:rFonts w:hint="eastAsia" w:ascii="宋体" w:hAnsi="宋体" w:eastAsia="宋体" w:cs="宋体"/>
          <w:color w:val="auto"/>
          <w:sz w:val="24"/>
          <w:szCs w:val="24"/>
          <w:highlight w:val="none"/>
        </w:rPr>
        <w:t>评定，</w:t>
      </w:r>
      <w:r>
        <w:rPr>
          <w:rFonts w:hint="eastAsia" w:ascii="宋体" w:hAnsi="宋体" w:eastAsia="宋体" w:cs="宋体"/>
          <w:color w:val="auto"/>
          <w:sz w:val="24"/>
          <w:szCs w:val="24"/>
          <w:highlight w:val="none"/>
          <w:u w:val="single"/>
        </w:rPr>
        <w:t xml:space="preserve">   （中标供应商名称）</w:t>
      </w:r>
      <w:r>
        <w:rPr>
          <w:rFonts w:hint="eastAsia" w:ascii="宋体" w:hAnsi="宋体" w:eastAsia="宋体" w:cs="宋体"/>
          <w:color w:val="auto"/>
          <w:sz w:val="24"/>
          <w:szCs w:val="24"/>
          <w:highlight w:val="none"/>
        </w:rPr>
        <w:t>为该项目中标供应商。现于中标通知书发出之日起三十日内，按照采购文件确定的事项签订本合同。</w:t>
      </w:r>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根据《中华人民共和国</w:t>
      </w:r>
      <w:r>
        <w:rPr>
          <w:rFonts w:hint="eastAsia" w:ascii="宋体" w:hAnsi="宋体" w:cs="宋体"/>
          <w:color w:val="auto"/>
          <w:sz w:val="24"/>
          <w:szCs w:val="24"/>
          <w:highlight w:val="none"/>
          <w:lang w:val="en-US" w:eastAsia="zh-CN"/>
        </w:rPr>
        <w:t>民法典</w:t>
      </w:r>
      <w:r>
        <w:rPr>
          <w:rFonts w:hint="eastAsia" w:ascii="宋体" w:hAnsi="宋体" w:eastAsia="宋体" w:cs="宋体"/>
          <w:color w:val="auto"/>
          <w:sz w:val="24"/>
          <w:szCs w:val="24"/>
          <w:highlight w:val="none"/>
          <w:lang w:val="zh-CN"/>
        </w:rPr>
        <w:t>》、《中华人民共和国政府采购法》等相关法律法规之规定，按照平等、自愿、公平和诚实信用的原则，经</w:t>
      </w:r>
      <w:r>
        <w:rPr>
          <w:rFonts w:hint="eastAsia" w:ascii="宋体" w:hAnsi="宋体" w:eastAsia="宋体" w:cs="宋体"/>
          <w:color w:val="auto"/>
          <w:sz w:val="24"/>
          <w:szCs w:val="24"/>
          <w:highlight w:val="none"/>
          <w:u w:val="single"/>
        </w:rPr>
        <w:t xml:space="preserve">   （采购人名称）   </w:t>
      </w:r>
      <w:r>
        <w:rPr>
          <w:rFonts w:hint="eastAsia" w:ascii="宋体" w:hAnsi="宋体" w:eastAsia="宋体" w:cs="宋体"/>
          <w:color w:val="auto"/>
          <w:sz w:val="24"/>
          <w:szCs w:val="24"/>
          <w:highlight w:val="none"/>
          <w:lang w:val="zh-CN"/>
        </w:rPr>
        <w:t>(以下简称：甲方)和</w:t>
      </w:r>
      <w:r>
        <w:rPr>
          <w:rFonts w:hint="eastAsia" w:ascii="宋体" w:hAnsi="宋体" w:eastAsia="宋体" w:cs="宋体"/>
          <w:color w:val="auto"/>
          <w:sz w:val="24"/>
          <w:szCs w:val="24"/>
          <w:highlight w:val="none"/>
          <w:u w:val="single"/>
        </w:rPr>
        <w:t xml:space="preserve">   （中标供应商名称）   </w:t>
      </w:r>
      <w:r>
        <w:rPr>
          <w:rFonts w:hint="eastAsia" w:ascii="宋体" w:hAnsi="宋体" w:eastAsia="宋体" w:cs="宋体"/>
          <w:color w:val="auto"/>
          <w:sz w:val="24"/>
          <w:szCs w:val="24"/>
          <w:highlight w:val="none"/>
          <w:lang w:val="zh-CN"/>
        </w:rPr>
        <w:t>(以下简称：乙方)协商一致，约定以下合同</w:t>
      </w:r>
      <w:r>
        <w:rPr>
          <w:rFonts w:hint="eastAsia" w:ascii="宋体" w:hAnsi="宋体" w:eastAsia="宋体" w:cs="宋体"/>
          <w:color w:val="auto"/>
          <w:sz w:val="24"/>
          <w:szCs w:val="24"/>
          <w:highlight w:val="none"/>
        </w:rPr>
        <w:t>条款，以兹共同遵守、全面履行。</w:t>
      </w:r>
    </w:p>
    <w:bookmarkEnd w:id="1680"/>
    <w:bookmarkEnd w:id="1681"/>
    <w:bookmarkEnd w:id="1682"/>
    <w:bookmarkEnd w:id="1683"/>
    <w:bookmarkEnd w:id="1684"/>
    <w:bookmarkEnd w:id="1685"/>
    <w:p>
      <w:pPr>
        <w:spacing w:line="360" w:lineRule="exact"/>
        <w:ind w:firstLine="482" w:firstLineChars="200"/>
        <w:outlineLvl w:val="9"/>
        <w:rPr>
          <w:rFonts w:hint="eastAsia" w:ascii="宋体" w:hAnsi="宋体" w:eastAsia="宋体" w:cs="宋体"/>
          <w:b/>
          <w:bCs/>
          <w:color w:val="auto"/>
          <w:sz w:val="24"/>
          <w:szCs w:val="24"/>
          <w:highlight w:val="none"/>
        </w:rPr>
      </w:pPr>
      <w:bookmarkStart w:id="1686" w:name="_Toc2992"/>
      <w:bookmarkStart w:id="1687" w:name="_Toc29751"/>
      <w:bookmarkStart w:id="1688" w:name="_Toc24186"/>
      <w:bookmarkStart w:id="1689" w:name="_Toc967"/>
      <w:bookmarkStart w:id="1690" w:name="_Toc6038"/>
      <w:bookmarkStart w:id="1691" w:name="_Toc2048"/>
      <w:bookmarkStart w:id="1692" w:name="_Toc8683"/>
      <w:bookmarkStart w:id="1693" w:name="_Toc14493"/>
      <w:bookmarkStart w:id="1694" w:name="_Toc15634"/>
      <w:bookmarkStart w:id="1695" w:name="_Toc16230"/>
      <w:bookmarkStart w:id="1696" w:name="_Toc25352"/>
      <w:bookmarkStart w:id="1697" w:name="_Toc7850"/>
      <w:bookmarkStart w:id="1698" w:name="_Toc2616"/>
      <w:bookmarkStart w:id="1699" w:name="_Toc14766"/>
      <w:bookmarkStart w:id="1700" w:name="_Toc14324"/>
      <w:bookmarkStart w:id="1701" w:name="_Toc19900"/>
      <w:bookmarkStart w:id="1702" w:name="_Toc14697"/>
      <w:bookmarkStart w:id="1703" w:name="_Toc28090"/>
      <w:bookmarkStart w:id="1704" w:name="_Toc4498"/>
      <w:bookmarkStart w:id="1705" w:name="_Toc5475"/>
      <w:bookmarkStart w:id="1706" w:name="_Toc8509"/>
      <w:bookmarkStart w:id="1707" w:name="_Toc18247"/>
      <w:bookmarkStart w:id="1708" w:name="_Toc27963"/>
      <w:bookmarkStart w:id="1709" w:name="_Toc26943"/>
      <w:bookmarkStart w:id="1710" w:name="_Toc17622"/>
      <w:bookmarkStart w:id="1711" w:name="_Toc30575"/>
      <w:bookmarkStart w:id="1712" w:name="_Toc21386"/>
      <w:bookmarkStart w:id="1713" w:name="_Toc4751"/>
      <w:bookmarkStart w:id="1714" w:name="_Toc416"/>
      <w:bookmarkStart w:id="1715" w:name="_Toc15305"/>
      <w:bookmarkStart w:id="1716" w:name="_Toc18534"/>
      <w:bookmarkStart w:id="1717" w:name="_Toc27428"/>
      <w:r>
        <w:rPr>
          <w:rFonts w:hint="eastAsia" w:ascii="宋体" w:hAnsi="宋体" w:eastAsia="宋体" w:cs="宋体"/>
          <w:b/>
          <w:bCs/>
          <w:color w:val="auto"/>
          <w:sz w:val="24"/>
          <w:szCs w:val="24"/>
          <w:highlight w:val="none"/>
        </w:rPr>
        <w:t>1.1 合同组成部分</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 本合同及其补充合同、变更协议；</w:t>
      </w:r>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 中标通知书；</w:t>
      </w:r>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 投标文件（含澄清或者说明文件）；</w:t>
      </w:r>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1.1.4 招标文件（含澄清或者修改文件）；</w:t>
      </w:r>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1.1.5 其他相关采购文件。</w:t>
      </w:r>
    </w:p>
    <w:p>
      <w:pPr>
        <w:spacing w:line="360" w:lineRule="exact"/>
        <w:ind w:firstLine="482" w:firstLineChars="200"/>
        <w:outlineLvl w:val="9"/>
        <w:rPr>
          <w:rFonts w:hint="eastAsia" w:ascii="宋体" w:hAnsi="宋体" w:eastAsia="宋体" w:cs="宋体"/>
          <w:b/>
          <w:bCs/>
          <w:color w:val="auto"/>
          <w:sz w:val="24"/>
          <w:szCs w:val="24"/>
          <w:highlight w:val="none"/>
        </w:rPr>
      </w:pPr>
      <w:bookmarkStart w:id="1718" w:name="_Toc21217"/>
      <w:bookmarkStart w:id="1719" w:name="_Toc19432"/>
      <w:bookmarkStart w:id="1720" w:name="_Toc26174"/>
      <w:bookmarkStart w:id="1721" w:name="_Toc2579"/>
      <w:bookmarkStart w:id="1722" w:name="_Toc22461"/>
      <w:bookmarkStart w:id="1723" w:name="_Toc25735"/>
      <w:bookmarkStart w:id="1724" w:name="_Toc21690"/>
      <w:bookmarkStart w:id="1725" w:name="_Toc24003"/>
      <w:bookmarkStart w:id="1726" w:name="_Toc7541"/>
      <w:bookmarkStart w:id="1727" w:name="_Toc24413"/>
      <w:bookmarkStart w:id="1728" w:name="_Toc4735"/>
      <w:bookmarkStart w:id="1729" w:name="_Toc25402"/>
      <w:bookmarkStart w:id="1730" w:name="_Toc12394"/>
      <w:bookmarkStart w:id="1731" w:name="_Toc1295"/>
      <w:bookmarkStart w:id="1732" w:name="_Toc24300"/>
      <w:bookmarkStart w:id="1733" w:name="_Toc24887"/>
      <w:bookmarkStart w:id="1734" w:name="_Toc27126"/>
      <w:bookmarkStart w:id="1735" w:name="_Toc25665"/>
      <w:bookmarkStart w:id="1736" w:name="_Toc5906"/>
      <w:bookmarkStart w:id="1737" w:name="_Toc11238"/>
      <w:bookmarkStart w:id="1738" w:name="_Toc31638"/>
      <w:bookmarkStart w:id="1739" w:name="_Toc14235"/>
      <w:bookmarkStart w:id="1740" w:name="_Toc11506"/>
      <w:bookmarkStart w:id="1741" w:name="_Toc30013"/>
      <w:bookmarkStart w:id="1742" w:name="_Toc906"/>
      <w:bookmarkStart w:id="1743" w:name="_Toc15345"/>
      <w:bookmarkStart w:id="1744" w:name="_Toc9006"/>
      <w:bookmarkStart w:id="1745" w:name="_Toc27318"/>
      <w:bookmarkStart w:id="1746" w:name="_Toc8631"/>
      <w:bookmarkStart w:id="1747" w:name="_Toc10929"/>
      <w:bookmarkStart w:id="1748" w:name="_Toc7977"/>
      <w:bookmarkStart w:id="1749" w:name="_Toc13138"/>
      <w:bookmarkStart w:id="1750" w:name="_Toc21295"/>
      <w:bookmarkStart w:id="1751" w:name="_Toc32674"/>
      <w:bookmarkStart w:id="1752" w:name="_Toc16583"/>
      <w:bookmarkStart w:id="1753" w:name="_Toc1446"/>
      <w:bookmarkStart w:id="1754" w:name="_Toc31632"/>
      <w:bookmarkStart w:id="1755" w:name="_Toc20136"/>
      <w:r>
        <w:rPr>
          <w:rFonts w:hint="eastAsia" w:ascii="宋体" w:hAnsi="宋体" w:eastAsia="宋体" w:cs="宋体"/>
          <w:b/>
          <w:bCs/>
          <w:color w:val="auto"/>
          <w:sz w:val="24"/>
          <w:szCs w:val="24"/>
          <w:highlight w:val="none"/>
        </w:rPr>
        <w:t>1.2 货物</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pPr>
        <w:spacing w:line="360" w:lineRule="exact"/>
        <w:ind w:firstLine="480" w:firstLineChars="200"/>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1.2.1 货物名称：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line="360" w:lineRule="exact"/>
        <w:ind w:firstLine="480" w:firstLineChars="200"/>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1.2.2 货物数量：</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1.2.3 货物质量：</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line="360" w:lineRule="exact"/>
        <w:ind w:firstLine="482" w:firstLineChars="200"/>
        <w:outlineLvl w:val="9"/>
        <w:rPr>
          <w:rFonts w:hint="eastAsia" w:ascii="宋体" w:hAnsi="宋体" w:eastAsia="宋体" w:cs="宋体"/>
          <w:b/>
          <w:bCs/>
          <w:color w:val="auto"/>
          <w:sz w:val="24"/>
          <w:szCs w:val="24"/>
          <w:highlight w:val="none"/>
        </w:rPr>
      </w:pPr>
      <w:bookmarkStart w:id="1756" w:name="_Toc21551"/>
      <w:bookmarkStart w:id="1757" w:name="_Toc3824"/>
      <w:bookmarkStart w:id="1758" w:name="_Toc30755"/>
      <w:bookmarkStart w:id="1759" w:name="_Toc31994"/>
      <w:bookmarkStart w:id="1760" w:name="_Toc18204"/>
      <w:bookmarkStart w:id="1761" w:name="_Toc13076"/>
      <w:bookmarkStart w:id="1762" w:name="_Toc31650"/>
      <w:bookmarkStart w:id="1763" w:name="_Toc19682"/>
      <w:bookmarkStart w:id="1764" w:name="_Toc8798"/>
      <w:bookmarkStart w:id="1765" w:name="_Toc11045"/>
      <w:bookmarkStart w:id="1766" w:name="_Toc633"/>
      <w:bookmarkStart w:id="1767" w:name="_Toc2897"/>
      <w:bookmarkStart w:id="1768" w:name="_Toc27282"/>
      <w:bookmarkStart w:id="1769" w:name="_Toc28886"/>
      <w:bookmarkStart w:id="1770" w:name="_Toc9364"/>
      <w:bookmarkStart w:id="1771" w:name="_Toc9579"/>
      <w:bookmarkStart w:id="1772" w:name="_Toc20356"/>
      <w:bookmarkStart w:id="1773" w:name="_Toc1528"/>
      <w:bookmarkStart w:id="1774" w:name="_Toc25180"/>
      <w:bookmarkStart w:id="1775" w:name="_Toc13898"/>
      <w:bookmarkStart w:id="1776" w:name="_Toc29469"/>
      <w:bookmarkStart w:id="1777" w:name="_Toc21040"/>
      <w:bookmarkStart w:id="1778" w:name="_Toc8386"/>
      <w:bookmarkStart w:id="1779" w:name="_Toc10942"/>
      <w:bookmarkStart w:id="1780" w:name="_Toc23292"/>
      <w:bookmarkStart w:id="1781" w:name="_Toc12266"/>
      <w:bookmarkStart w:id="1782" w:name="_Toc16487"/>
      <w:bookmarkStart w:id="1783" w:name="_Toc9271"/>
      <w:bookmarkStart w:id="1784" w:name="_Toc6258"/>
      <w:bookmarkStart w:id="1785" w:name="_Toc30667"/>
      <w:bookmarkStart w:id="1786" w:name="_Toc25504"/>
      <w:bookmarkStart w:id="1787" w:name="_Toc29608"/>
      <w:bookmarkStart w:id="1788" w:name="_Toc6581"/>
      <w:bookmarkStart w:id="1789" w:name="_Toc1267"/>
      <w:bookmarkStart w:id="1790" w:name="_Toc26807"/>
      <w:bookmarkStart w:id="1791" w:name="_Toc21631"/>
      <w:bookmarkStart w:id="1792" w:name="_Toc29540"/>
      <w:bookmarkStart w:id="1793" w:name="_Toc25368"/>
      <w:r>
        <w:rPr>
          <w:rFonts w:hint="eastAsia" w:ascii="宋体" w:hAnsi="宋体" w:eastAsia="宋体" w:cs="宋体"/>
          <w:b/>
          <w:bCs/>
          <w:color w:val="auto"/>
          <w:sz w:val="24"/>
          <w:szCs w:val="24"/>
          <w:highlight w:val="none"/>
        </w:rPr>
        <w:t>1.3 价款</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本合同总价为：￥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元（大写：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元人民币）。</w:t>
      </w:r>
    </w:p>
    <w:p>
      <w:pPr>
        <w:spacing w:line="360" w:lineRule="exact"/>
        <w:ind w:firstLine="480" w:firstLineChars="200"/>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分项价格：</w:t>
      </w:r>
    </w:p>
    <w:tbl>
      <w:tblPr>
        <w:tblStyle w:val="27"/>
        <w:tblW w:w="7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3738"/>
        <w:gridCol w:w="2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319" w:type="dxa"/>
            <w:vAlign w:val="center"/>
          </w:tcPr>
          <w:p>
            <w:pPr>
              <w:widowControl w:val="0"/>
              <w:spacing w:line="360" w:lineRule="exact"/>
              <w:jc w:val="center"/>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序号</w:t>
            </w:r>
          </w:p>
        </w:tc>
        <w:tc>
          <w:tcPr>
            <w:tcW w:w="3738" w:type="dxa"/>
            <w:vAlign w:val="center"/>
          </w:tcPr>
          <w:p>
            <w:pPr>
              <w:widowControl w:val="0"/>
              <w:spacing w:line="360" w:lineRule="exact"/>
              <w:ind w:firstLine="200"/>
              <w:jc w:val="center"/>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分项名称</w:t>
            </w:r>
          </w:p>
        </w:tc>
        <w:tc>
          <w:tcPr>
            <w:tcW w:w="2803" w:type="dxa"/>
            <w:vAlign w:val="center"/>
          </w:tcPr>
          <w:p>
            <w:pPr>
              <w:widowControl w:val="0"/>
              <w:spacing w:line="360" w:lineRule="exact"/>
              <w:jc w:val="center"/>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319" w:type="dxa"/>
            <w:vAlign w:val="center"/>
          </w:tcPr>
          <w:p>
            <w:pPr>
              <w:widowControl w:val="0"/>
              <w:spacing w:line="360" w:lineRule="exact"/>
              <w:ind w:firstLine="200"/>
              <w:jc w:val="center"/>
              <w:outlineLvl w:val="9"/>
              <w:rPr>
                <w:rFonts w:hint="eastAsia" w:ascii="宋体" w:hAnsi="宋体" w:eastAsia="宋体" w:cs="宋体"/>
                <w:color w:val="auto"/>
                <w:kern w:val="2"/>
                <w:sz w:val="24"/>
                <w:szCs w:val="24"/>
                <w:highlight w:val="none"/>
                <w:lang w:val="en-US" w:eastAsia="zh-CN" w:bidi="ar-SA"/>
              </w:rPr>
            </w:pPr>
          </w:p>
        </w:tc>
        <w:tc>
          <w:tcPr>
            <w:tcW w:w="3738" w:type="dxa"/>
            <w:vAlign w:val="center"/>
          </w:tcPr>
          <w:p>
            <w:pPr>
              <w:widowControl w:val="0"/>
              <w:spacing w:line="360" w:lineRule="exact"/>
              <w:ind w:firstLine="200"/>
              <w:jc w:val="center"/>
              <w:outlineLvl w:val="9"/>
              <w:rPr>
                <w:rFonts w:hint="eastAsia" w:ascii="宋体" w:hAnsi="宋体" w:eastAsia="宋体" w:cs="宋体"/>
                <w:color w:val="auto"/>
                <w:kern w:val="2"/>
                <w:sz w:val="24"/>
                <w:szCs w:val="24"/>
                <w:highlight w:val="none"/>
                <w:lang w:val="en-US" w:eastAsia="zh-CN" w:bidi="ar-SA"/>
              </w:rPr>
            </w:pPr>
          </w:p>
        </w:tc>
        <w:tc>
          <w:tcPr>
            <w:tcW w:w="2803" w:type="dxa"/>
            <w:vAlign w:val="center"/>
          </w:tcPr>
          <w:p>
            <w:pPr>
              <w:widowControl w:val="0"/>
              <w:spacing w:line="360" w:lineRule="exact"/>
              <w:ind w:firstLine="200"/>
              <w:jc w:val="center"/>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319" w:type="dxa"/>
            <w:vAlign w:val="center"/>
          </w:tcPr>
          <w:p>
            <w:pPr>
              <w:widowControl w:val="0"/>
              <w:spacing w:line="360" w:lineRule="exact"/>
              <w:ind w:firstLine="200"/>
              <w:jc w:val="center"/>
              <w:outlineLvl w:val="9"/>
              <w:rPr>
                <w:rFonts w:hint="eastAsia" w:ascii="宋体" w:hAnsi="宋体" w:eastAsia="宋体" w:cs="宋体"/>
                <w:color w:val="auto"/>
                <w:kern w:val="2"/>
                <w:sz w:val="24"/>
                <w:szCs w:val="24"/>
                <w:highlight w:val="none"/>
                <w:lang w:val="en-US" w:eastAsia="zh-CN" w:bidi="ar-SA"/>
              </w:rPr>
            </w:pPr>
          </w:p>
        </w:tc>
        <w:tc>
          <w:tcPr>
            <w:tcW w:w="3738" w:type="dxa"/>
            <w:vAlign w:val="center"/>
          </w:tcPr>
          <w:p>
            <w:pPr>
              <w:widowControl w:val="0"/>
              <w:spacing w:line="360" w:lineRule="exact"/>
              <w:ind w:firstLine="200"/>
              <w:jc w:val="center"/>
              <w:outlineLvl w:val="9"/>
              <w:rPr>
                <w:rFonts w:hint="eastAsia" w:ascii="宋体" w:hAnsi="宋体" w:eastAsia="宋体" w:cs="宋体"/>
                <w:color w:val="auto"/>
                <w:kern w:val="2"/>
                <w:sz w:val="24"/>
                <w:szCs w:val="24"/>
                <w:highlight w:val="none"/>
                <w:lang w:val="en-US" w:eastAsia="zh-CN" w:bidi="ar-SA"/>
              </w:rPr>
            </w:pPr>
          </w:p>
        </w:tc>
        <w:tc>
          <w:tcPr>
            <w:tcW w:w="2803" w:type="dxa"/>
            <w:vAlign w:val="center"/>
          </w:tcPr>
          <w:p>
            <w:pPr>
              <w:widowControl w:val="0"/>
              <w:spacing w:line="360" w:lineRule="exact"/>
              <w:ind w:firstLine="200"/>
              <w:jc w:val="center"/>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057" w:type="dxa"/>
            <w:gridSpan w:val="2"/>
            <w:vAlign w:val="center"/>
          </w:tcPr>
          <w:p>
            <w:pPr>
              <w:widowControl w:val="0"/>
              <w:spacing w:line="360" w:lineRule="exact"/>
              <w:ind w:firstLine="200"/>
              <w:jc w:val="center"/>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总价</w:t>
            </w:r>
          </w:p>
        </w:tc>
        <w:tc>
          <w:tcPr>
            <w:tcW w:w="2803" w:type="dxa"/>
            <w:vAlign w:val="center"/>
          </w:tcPr>
          <w:p>
            <w:pPr>
              <w:widowControl w:val="0"/>
              <w:spacing w:line="360" w:lineRule="exact"/>
              <w:ind w:firstLine="200"/>
              <w:jc w:val="center"/>
              <w:outlineLvl w:val="9"/>
              <w:rPr>
                <w:rFonts w:hint="eastAsia" w:ascii="宋体" w:hAnsi="宋体" w:eastAsia="宋体" w:cs="宋体"/>
                <w:color w:val="auto"/>
                <w:kern w:val="2"/>
                <w:sz w:val="24"/>
                <w:szCs w:val="24"/>
                <w:highlight w:val="none"/>
                <w:lang w:val="en-US" w:eastAsia="zh-CN" w:bidi="ar-SA"/>
              </w:rPr>
            </w:pPr>
          </w:p>
        </w:tc>
      </w:tr>
    </w:tbl>
    <w:p>
      <w:pPr>
        <w:spacing w:line="360" w:lineRule="exact"/>
        <w:ind w:firstLine="482" w:firstLineChars="200"/>
        <w:outlineLvl w:val="9"/>
        <w:rPr>
          <w:rFonts w:hint="eastAsia" w:ascii="宋体" w:hAnsi="宋体" w:eastAsia="宋体" w:cs="宋体"/>
          <w:b/>
          <w:bCs/>
          <w:color w:val="auto"/>
          <w:sz w:val="24"/>
          <w:szCs w:val="24"/>
          <w:highlight w:val="none"/>
        </w:rPr>
      </w:pPr>
      <w:bookmarkStart w:id="1794" w:name="_Toc11775"/>
      <w:bookmarkStart w:id="1795" w:name="_Toc30507"/>
      <w:bookmarkStart w:id="1796" w:name="_Toc28773"/>
      <w:bookmarkStart w:id="1797" w:name="_Toc21349"/>
      <w:bookmarkStart w:id="1798" w:name="_Toc7801"/>
      <w:bookmarkStart w:id="1799" w:name="_Toc11737"/>
      <w:bookmarkStart w:id="1800" w:name="_Toc7458"/>
      <w:bookmarkStart w:id="1801" w:name="_Toc16902"/>
      <w:bookmarkStart w:id="1802" w:name="_Toc26470"/>
      <w:bookmarkStart w:id="1803" w:name="_Toc673"/>
      <w:bookmarkStart w:id="1804" w:name="_Toc4585"/>
      <w:bookmarkStart w:id="1805" w:name="_Toc28499"/>
      <w:bookmarkStart w:id="1806" w:name="_Toc44"/>
      <w:bookmarkStart w:id="1807" w:name="_Toc8933"/>
      <w:bookmarkStart w:id="1808" w:name="_Toc19838"/>
      <w:bookmarkStart w:id="1809" w:name="_Toc27817"/>
      <w:bookmarkStart w:id="1810" w:name="_Toc2285"/>
      <w:bookmarkStart w:id="1811" w:name="_Toc15287"/>
      <w:bookmarkStart w:id="1812" w:name="_Toc24781"/>
      <w:bookmarkStart w:id="1813" w:name="_Toc25914"/>
      <w:bookmarkStart w:id="1814" w:name="_Toc27654"/>
      <w:bookmarkStart w:id="1815" w:name="_Toc10340"/>
      <w:bookmarkStart w:id="1816" w:name="_Toc10086"/>
      <w:bookmarkStart w:id="1817" w:name="_Toc27709"/>
      <w:bookmarkStart w:id="1818" w:name="_Toc5736"/>
      <w:bookmarkStart w:id="1819" w:name="_Toc26112"/>
      <w:bookmarkStart w:id="1820" w:name="_Toc6274"/>
      <w:bookmarkStart w:id="1821" w:name="_Toc30643"/>
      <w:bookmarkStart w:id="1822" w:name="_Toc16769"/>
      <w:bookmarkStart w:id="1823" w:name="_Toc6614"/>
      <w:bookmarkStart w:id="1824" w:name="_Toc8276"/>
      <w:bookmarkStart w:id="1825" w:name="_Toc5065"/>
      <w:bookmarkStart w:id="1826" w:name="_Toc21104"/>
      <w:bookmarkStart w:id="1827" w:name="_Toc27908"/>
      <w:bookmarkStart w:id="1828" w:name="_Toc23603"/>
      <w:bookmarkStart w:id="1829" w:name="_Toc1814"/>
      <w:r>
        <w:rPr>
          <w:rFonts w:hint="eastAsia" w:ascii="宋体" w:hAnsi="宋体" w:eastAsia="宋体" w:cs="宋体"/>
          <w:b/>
          <w:bCs/>
          <w:color w:val="auto"/>
          <w:sz w:val="24"/>
          <w:szCs w:val="24"/>
          <w:highlight w:val="none"/>
        </w:rPr>
        <w:t>1.4 付款方式和发票开具方式</w:t>
      </w:r>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 付款方式：</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 发票开具方式：</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line="360" w:lineRule="exact"/>
        <w:ind w:firstLine="482" w:firstLineChars="200"/>
        <w:outlineLvl w:val="9"/>
        <w:rPr>
          <w:rFonts w:hint="eastAsia" w:ascii="宋体" w:hAnsi="宋体" w:eastAsia="宋体" w:cs="宋体"/>
          <w:b/>
          <w:bCs/>
          <w:color w:val="auto"/>
          <w:sz w:val="24"/>
          <w:szCs w:val="24"/>
          <w:highlight w:val="none"/>
        </w:rPr>
      </w:pPr>
      <w:bookmarkStart w:id="1830" w:name="_Toc19304"/>
      <w:bookmarkStart w:id="1831" w:name="_Toc26187"/>
      <w:bookmarkStart w:id="1832" w:name="_Toc30563"/>
      <w:bookmarkStart w:id="1833" w:name="_Toc8167"/>
      <w:bookmarkStart w:id="1834" w:name="_Toc28343"/>
      <w:bookmarkStart w:id="1835" w:name="_Toc5673"/>
      <w:bookmarkStart w:id="1836" w:name="_Toc23862"/>
      <w:bookmarkStart w:id="1837" w:name="_Toc4501"/>
      <w:bookmarkStart w:id="1838" w:name="_Toc4058"/>
      <w:bookmarkStart w:id="1839" w:name="_Toc17179"/>
      <w:bookmarkStart w:id="1840" w:name="_Toc16823"/>
      <w:bookmarkStart w:id="1841" w:name="_Toc2083"/>
      <w:bookmarkStart w:id="1842" w:name="_Toc32071"/>
      <w:bookmarkStart w:id="1843" w:name="_Toc4651"/>
      <w:bookmarkStart w:id="1844" w:name="_Toc25278"/>
      <w:bookmarkStart w:id="1845" w:name="_Toc25427"/>
      <w:bookmarkStart w:id="1846" w:name="_Toc4377"/>
      <w:bookmarkStart w:id="1847" w:name="_Toc6106"/>
      <w:bookmarkStart w:id="1848" w:name="_Toc30447"/>
      <w:bookmarkStart w:id="1849" w:name="_Toc29557"/>
      <w:bookmarkStart w:id="1850" w:name="_Toc2750"/>
      <w:bookmarkStart w:id="1851" w:name="_Toc17060"/>
      <w:bookmarkStart w:id="1852" w:name="_Toc11682"/>
      <w:bookmarkStart w:id="1853" w:name="_Toc17448"/>
      <w:bookmarkStart w:id="1854" w:name="_Toc26681"/>
      <w:bookmarkStart w:id="1855" w:name="_Toc2846"/>
      <w:bookmarkStart w:id="1856" w:name="_Toc15376"/>
      <w:bookmarkStart w:id="1857" w:name="_Toc6466"/>
      <w:bookmarkStart w:id="1858" w:name="_Toc31237"/>
      <w:bookmarkStart w:id="1859" w:name="_Toc30894"/>
      <w:bookmarkStart w:id="1860" w:name="_Toc19529"/>
      <w:bookmarkStart w:id="1861" w:name="_Toc2852"/>
      <w:bookmarkStart w:id="1862" w:name="_Toc19914"/>
      <w:bookmarkStart w:id="1863" w:name="_Toc29863"/>
      <w:bookmarkStart w:id="1864" w:name="_Toc9478"/>
      <w:bookmarkStart w:id="1865" w:name="_Toc32641"/>
      <w:bookmarkStart w:id="1866" w:name="_Toc10276"/>
      <w:bookmarkStart w:id="1867" w:name="_Toc22861"/>
      <w:bookmarkStart w:id="1868" w:name="_Toc8997"/>
      <w:r>
        <w:rPr>
          <w:rFonts w:hint="eastAsia" w:ascii="宋体" w:hAnsi="宋体" w:eastAsia="宋体" w:cs="宋体"/>
          <w:b/>
          <w:bCs/>
          <w:color w:val="auto"/>
          <w:sz w:val="24"/>
          <w:szCs w:val="24"/>
          <w:highlight w:val="none"/>
        </w:rPr>
        <w:t>1.5 货物交付期限、地点和方式</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pPr>
        <w:spacing w:line="360" w:lineRule="exact"/>
        <w:ind w:firstLine="480" w:firstLineChars="200"/>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1.5.1 交付期限：</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1.5.2 交付地点：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 交付方式：</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line="360" w:lineRule="exact"/>
        <w:ind w:firstLine="482" w:firstLineChars="200"/>
        <w:outlineLvl w:val="9"/>
        <w:rPr>
          <w:rFonts w:hint="eastAsia" w:ascii="宋体" w:hAnsi="宋体" w:eastAsia="宋体" w:cs="宋体"/>
          <w:b/>
          <w:bCs/>
          <w:color w:val="auto"/>
          <w:sz w:val="24"/>
          <w:szCs w:val="24"/>
          <w:highlight w:val="none"/>
        </w:rPr>
      </w:pPr>
      <w:bookmarkStart w:id="1869" w:name="_Toc29769"/>
      <w:bookmarkStart w:id="1870" w:name="_Toc1835"/>
      <w:bookmarkStart w:id="1871" w:name="_Toc23854"/>
      <w:bookmarkStart w:id="1872" w:name="_Toc21406"/>
      <w:bookmarkStart w:id="1873" w:name="_Toc10320"/>
      <w:bookmarkStart w:id="1874" w:name="_Toc10614"/>
      <w:bookmarkStart w:id="1875" w:name="_Toc7978"/>
      <w:bookmarkStart w:id="1876" w:name="_Toc13799"/>
      <w:bookmarkStart w:id="1877" w:name="_Toc19923"/>
      <w:bookmarkStart w:id="1878" w:name="_Toc32387"/>
      <w:bookmarkStart w:id="1879" w:name="_Toc6841"/>
      <w:bookmarkStart w:id="1880" w:name="_Toc23693"/>
      <w:bookmarkStart w:id="1881" w:name="_Toc32228"/>
      <w:bookmarkStart w:id="1882" w:name="_Toc25694"/>
      <w:bookmarkStart w:id="1883" w:name="_Toc22802"/>
      <w:bookmarkStart w:id="1884" w:name="_Toc3320"/>
      <w:bookmarkStart w:id="1885" w:name="_Toc5694"/>
      <w:bookmarkStart w:id="1886" w:name="_Toc12629"/>
      <w:bookmarkStart w:id="1887" w:name="_Toc28455"/>
      <w:bookmarkStart w:id="1888" w:name="_Toc8754"/>
      <w:bookmarkStart w:id="1889" w:name="_Toc27250"/>
      <w:bookmarkStart w:id="1890" w:name="_Toc8569"/>
      <w:bookmarkStart w:id="1891" w:name="_Toc10321"/>
      <w:bookmarkStart w:id="1892" w:name="_Toc15865"/>
      <w:bookmarkStart w:id="1893" w:name="_Toc12424"/>
      <w:bookmarkStart w:id="1894" w:name="_Toc13569"/>
      <w:bookmarkStart w:id="1895" w:name="_Toc27247"/>
      <w:bookmarkStart w:id="1896" w:name="_Toc21423"/>
      <w:bookmarkStart w:id="1897" w:name="_Toc15668"/>
      <w:bookmarkStart w:id="1898" w:name="_Toc12988"/>
      <w:bookmarkStart w:id="1899" w:name="_Toc4190"/>
      <w:bookmarkStart w:id="1900" w:name="_Toc11237"/>
      <w:bookmarkStart w:id="1901" w:name="_Toc12753"/>
      <w:bookmarkStart w:id="1902" w:name="_Toc19554"/>
      <w:bookmarkStart w:id="1903" w:name="_Toc855"/>
      <w:bookmarkStart w:id="1904" w:name="_Toc12679"/>
      <w:bookmarkStart w:id="1905" w:name="_Toc26850"/>
      <w:r>
        <w:rPr>
          <w:rFonts w:hint="eastAsia" w:ascii="宋体" w:hAnsi="宋体" w:eastAsia="宋体" w:cs="宋体"/>
          <w:b/>
          <w:bCs/>
          <w:color w:val="auto"/>
          <w:sz w:val="24"/>
          <w:szCs w:val="24"/>
          <w:highlight w:val="none"/>
        </w:rPr>
        <w:t>1.6 违约责任</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1.6.1 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%计算，最高限额为本合同总价的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%；迟延交付货物的违约金计算数额达到前述最高限额之日起，甲方有权在要求乙方支付违约金的同时，书面通知乙方解除本合同；</w:t>
      </w:r>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1.6.2 除不可抗力外，如果甲方没有按照本合同约定的付款方式付款，那么乙方可要求甲方支付违约金，违约金按每迟延付款一日的应付而未付款的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%计算，最高限额为本合同总价的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%；迟延付款的违约金计算数额达到前述最高限额之日起，乙方有权在要求甲方支付违约金的同时，书面通知甲方解除本合同；</w:t>
      </w:r>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spacing w:line="360" w:lineRule="exact"/>
        <w:ind w:firstLine="482" w:firstLineChars="200"/>
        <w:outlineLvl w:val="9"/>
        <w:rPr>
          <w:rFonts w:hint="eastAsia" w:ascii="宋体" w:hAnsi="宋体" w:eastAsia="宋体" w:cs="宋体"/>
          <w:b/>
          <w:bCs/>
          <w:color w:val="auto"/>
          <w:sz w:val="24"/>
          <w:szCs w:val="24"/>
          <w:highlight w:val="none"/>
        </w:rPr>
      </w:pPr>
      <w:bookmarkStart w:id="1906" w:name="_Toc30551"/>
      <w:bookmarkStart w:id="1907" w:name="_Toc16021"/>
      <w:bookmarkStart w:id="1908" w:name="_Toc4242"/>
      <w:bookmarkStart w:id="1909" w:name="_Toc21643"/>
      <w:bookmarkStart w:id="1910" w:name="_Toc8914"/>
      <w:bookmarkStart w:id="1911" w:name="_Toc13284"/>
      <w:bookmarkStart w:id="1912" w:name="_Toc27927"/>
      <w:bookmarkStart w:id="1913" w:name="_Toc9069"/>
      <w:bookmarkStart w:id="1914" w:name="_Toc28375"/>
      <w:bookmarkStart w:id="1915" w:name="_Toc1244"/>
      <w:bookmarkStart w:id="1916" w:name="_Toc29447"/>
      <w:bookmarkStart w:id="1917" w:name="_Toc2053"/>
      <w:bookmarkStart w:id="1918" w:name="_Toc31145"/>
      <w:bookmarkStart w:id="1919" w:name="_Toc12021"/>
      <w:bookmarkStart w:id="1920" w:name="_Toc6344"/>
      <w:bookmarkStart w:id="1921" w:name="_Toc4900"/>
      <w:bookmarkStart w:id="1922" w:name="_Toc19011"/>
      <w:bookmarkStart w:id="1923" w:name="_Toc23173"/>
      <w:bookmarkStart w:id="1924" w:name="_Toc7216"/>
      <w:bookmarkStart w:id="1925" w:name="_Toc2369"/>
      <w:bookmarkStart w:id="1926" w:name="_Toc17508"/>
      <w:bookmarkStart w:id="1927" w:name="_Toc3403"/>
      <w:bookmarkStart w:id="1928" w:name="_Toc23654"/>
      <w:bookmarkStart w:id="1929" w:name="_Toc23177"/>
      <w:bookmarkStart w:id="1930" w:name="_Toc25915"/>
      <w:bookmarkStart w:id="1931" w:name="_Toc9202"/>
      <w:bookmarkStart w:id="1932" w:name="_Toc22341"/>
      <w:bookmarkStart w:id="1933" w:name="_Toc12769"/>
      <w:bookmarkStart w:id="1934" w:name="_Toc5482"/>
      <w:bookmarkStart w:id="1935" w:name="_Toc23438"/>
      <w:bookmarkStart w:id="1936" w:name="_Toc29338"/>
      <w:bookmarkStart w:id="1937" w:name="_Toc20497"/>
      <w:bookmarkStart w:id="1938" w:name="_Toc12178"/>
      <w:bookmarkStart w:id="1939" w:name="_Toc16341"/>
      <w:bookmarkStart w:id="1940" w:name="_Toc24393"/>
      <w:bookmarkStart w:id="1941" w:name="_Toc15583"/>
      <w:bookmarkStart w:id="1942" w:name="_Toc27762"/>
      <w:bookmarkStart w:id="1943" w:name="_Toc20610"/>
      <w:r>
        <w:rPr>
          <w:rFonts w:hint="eastAsia" w:ascii="宋体" w:hAnsi="宋体" w:eastAsia="宋体" w:cs="宋体"/>
          <w:b/>
          <w:bCs/>
          <w:color w:val="auto"/>
          <w:sz w:val="24"/>
          <w:szCs w:val="24"/>
          <w:highlight w:val="none"/>
        </w:rPr>
        <w:t>1.7 合同争议的解决</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本合同履行过程中发生的任何争议，双方当事人均可通过和解或者调解解决；不愿和解、调解或者和解、调解不成的，可以选择下列第</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种方式解决：</w:t>
      </w:r>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1.7.1 将争议提交</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仲裁委员会依申请仲裁时其现行有效的仲裁规则裁决；</w:t>
      </w:r>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1.7.2 向</w:t>
      </w:r>
      <w:r>
        <w:rPr>
          <w:rFonts w:hint="eastAsia" w:ascii="宋体" w:hAnsi="宋体" w:eastAsia="宋体" w:cs="宋体"/>
          <w:color w:val="auto"/>
          <w:sz w:val="24"/>
          <w:szCs w:val="24"/>
          <w:highlight w:val="none"/>
          <w:u w:val="single"/>
        </w:rPr>
        <w:t xml:space="preserve">   （被告住所地、合同履行地、合同签订地、原告住所地、标的物所在地等与争议有实际联系的地点中选出的人民法院名称）    </w:t>
      </w:r>
      <w:r>
        <w:rPr>
          <w:rFonts w:hint="eastAsia" w:ascii="宋体" w:hAnsi="宋体" w:eastAsia="宋体" w:cs="宋体"/>
          <w:color w:val="auto"/>
          <w:sz w:val="24"/>
          <w:szCs w:val="24"/>
          <w:highlight w:val="none"/>
        </w:rPr>
        <w:t>人民法院起诉。</w:t>
      </w:r>
    </w:p>
    <w:p>
      <w:pPr>
        <w:spacing w:line="360" w:lineRule="exact"/>
        <w:ind w:firstLine="482" w:firstLineChars="200"/>
        <w:outlineLvl w:val="9"/>
        <w:rPr>
          <w:rFonts w:hint="eastAsia" w:ascii="宋体" w:hAnsi="宋体" w:eastAsia="宋体" w:cs="宋体"/>
          <w:b/>
          <w:bCs/>
          <w:color w:val="auto"/>
          <w:sz w:val="24"/>
          <w:szCs w:val="24"/>
          <w:highlight w:val="none"/>
        </w:rPr>
      </w:pPr>
      <w:bookmarkStart w:id="1944" w:name="_Toc31964"/>
      <w:bookmarkStart w:id="1945" w:name="_Toc2894"/>
      <w:bookmarkStart w:id="1946" w:name="_Toc11173"/>
      <w:bookmarkStart w:id="1947" w:name="_Toc19138"/>
      <w:bookmarkStart w:id="1948" w:name="_Toc8975"/>
      <w:bookmarkStart w:id="1949" w:name="_Toc5077"/>
      <w:bookmarkStart w:id="1950" w:name="_Toc10429"/>
      <w:bookmarkStart w:id="1951" w:name="_Toc5641"/>
      <w:bookmarkStart w:id="1952" w:name="_Toc32578"/>
      <w:bookmarkStart w:id="1953" w:name="_Toc10043"/>
      <w:bookmarkStart w:id="1954" w:name="_Toc17113"/>
      <w:bookmarkStart w:id="1955" w:name="_Toc26464"/>
      <w:bookmarkStart w:id="1956" w:name="_Toc9329"/>
      <w:bookmarkStart w:id="1957" w:name="_Toc30340"/>
      <w:bookmarkStart w:id="1958" w:name="_Toc518"/>
      <w:bookmarkStart w:id="1959" w:name="_Toc17196"/>
      <w:bookmarkStart w:id="1960" w:name="_Toc16410"/>
      <w:bookmarkStart w:id="1961" w:name="_Toc1647"/>
      <w:bookmarkStart w:id="1962" w:name="_Toc14796"/>
      <w:bookmarkStart w:id="1963" w:name="_Toc20305"/>
      <w:bookmarkStart w:id="1964" w:name="_Toc30260"/>
      <w:bookmarkStart w:id="1965" w:name="_Toc12054"/>
      <w:bookmarkStart w:id="1966" w:name="_Toc20192"/>
      <w:bookmarkStart w:id="1967" w:name="_Toc18371"/>
      <w:bookmarkStart w:id="1968" w:name="_Toc7245"/>
      <w:bookmarkStart w:id="1969" w:name="_Toc4338"/>
      <w:bookmarkStart w:id="1970" w:name="_Toc12946"/>
      <w:bookmarkStart w:id="1971" w:name="_Toc6411"/>
      <w:bookmarkStart w:id="1972" w:name="_Toc15322"/>
      <w:bookmarkStart w:id="1973" w:name="_Toc31819"/>
      <w:bookmarkStart w:id="1974" w:name="_Toc2901"/>
      <w:bookmarkStart w:id="1975" w:name="_Toc32374"/>
      <w:bookmarkStart w:id="1976" w:name="_Toc21408"/>
      <w:bookmarkStart w:id="1977" w:name="_Toc4516"/>
      <w:bookmarkStart w:id="1978" w:name="_Toc20501"/>
      <w:bookmarkStart w:id="1979" w:name="_Toc10255"/>
      <w:bookmarkStart w:id="1980" w:name="_Toc28492"/>
      <w:bookmarkStart w:id="1981" w:name="_Toc13086"/>
      <w:r>
        <w:rPr>
          <w:rFonts w:hint="eastAsia" w:ascii="宋体" w:hAnsi="宋体" w:eastAsia="宋体" w:cs="宋体"/>
          <w:b/>
          <w:bCs/>
          <w:color w:val="auto"/>
          <w:sz w:val="24"/>
          <w:szCs w:val="24"/>
          <w:highlight w:val="none"/>
        </w:rPr>
        <w:t>1.8 合同生效</w:t>
      </w:r>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p>
    <w:p>
      <w:pPr>
        <w:spacing w:line="360" w:lineRule="exact"/>
        <w:ind w:firstLine="480" w:firstLineChars="200"/>
        <w:outlineLvl w:val="9"/>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本合同自双方当事人盖章或者签字时生效。</w:t>
      </w:r>
    </w:p>
    <w:p>
      <w:pPr>
        <w:autoSpaceDE w:val="0"/>
        <w:autoSpaceDN w:val="0"/>
        <w:adjustRightInd w:val="0"/>
        <w:spacing w:line="360" w:lineRule="exact"/>
        <w:outlineLvl w:val="9"/>
        <w:rPr>
          <w:rFonts w:hint="eastAsia" w:ascii="宋体" w:hAnsi="宋体" w:eastAsia="宋体" w:cs="宋体"/>
          <w:color w:val="auto"/>
          <w:sz w:val="24"/>
          <w:szCs w:val="24"/>
          <w:highlight w:val="none"/>
          <w:lang w:val="zh-CN"/>
        </w:rPr>
      </w:pPr>
    </w:p>
    <w:p>
      <w:pPr>
        <w:autoSpaceDE w:val="0"/>
        <w:autoSpaceDN w:val="0"/>
        <w:adjustRightInd w:val="0"/>
        <w:spacing w:line="360" w:lineRule="exact"/>
        <w:outlineLvl w:val="9"/>
        <w:rPr>
          <w:rFonts w:hint="eastAsia" w:ascii="宋体" w:hAnsi="宋体" w:eastAsia="宋体" w:cs="宋体"/>
          <w:color w:val="auto"/>
          <w:sz w:val="24"/>
          <w:szCs w:val="24"/>
          <w:highlight w:val="none"/>
          <w:lang w:val="zh-CN"/>
        </w:rPr>
      </w:pPr>
      <w:r>
        <w:rPr>
          <w:rFonts w:hint="eastAsia" w:ascii="宋体" w:hAnsi="宋体" w:eastAsia="宋体" w:cs="宋体"/>
          <w:b/>
          <w:bCs/>
          <w:color w:val="auto"/>
          <w:sz w:val="24"/>
          <w:szCs w:val="24"/>
          <w:highlight w:val="none"/>
          <w:lang w:val="zh-CN"/>
        </w:rPr>
        <w:t>甲方</w:t>
      </w:r>
      <w:r>
        <w:rPr>
          <w:rFonts w:hint="eastAsia" w:ascii="宋体" w:hAnsi="宋体" w:eastAsia="宋体" w:cs="宋体"/>
          <w:color w:val="auto"/>
          <w:sz w:val="24"/>
          <w:szCs w:val="24"/>
          <w:highlight w:val="none"/>
          <w:lang w:val="zh-CN"/>
        </w:rPr>
        <w:t xml:space="preserve">：                             </w:t>
      </w:r>
      <w:r>
        <w:rPr>
          <w:rFonts w:hint="eastAsia" w:ascii="宋体" w:hAnsi="宋体" w:eastAsia="宋体" w:cs="宋体"/>
          <w:b/>
          <w:bCs/>
          <w:color w:val="auto"/>
          <w:sz w:val="24"/>
          <w:szCs w:val="24"/>
          <w:highlight w:val="none"/>
          <w:lang w:val="zh-CN"/>
        </w:rPr>
        <w:t xml:space="preserve">      乙方</w:t>
      </w:r>
      <w:r>
        <w:rPr>
          <w:rFonts w:hint="eastAsia" w:ascii="宋体" w:hAnsi="宋体" w:eastAsia="宋体" w:cs="宋体"/>
          <w:color w:val="auto"/>
          <w:sz w:val="24"/>
          <w:szCs w:val="24"/>
          <w:highlight w:val="none"/>
          <w:lang w:val="zh-CN"/>
        </w:rPr>
        <w:t>：</w:t>
      </w:r>
    </w:p>
    <w:p>
      <w:pPr>
        <w:autoSpaceDE w:val="0"/>
        <w:autoSpaceDN w:val="0"/>
        <w:adjustRightInd w:val="0"/>
        <w:spacing w:line="360" w:lineRule="exact"/>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统一社会信用代码：                        统一社会信用代码或身份证号码：</w:t>
      </w:r>
    </w:p>
    <w:p>
      <w:pPr>
        <w:autoSpaceDE w:val="0"/>
        <w:autoSpaceDN w:val="0"/>
        <w:adjustRightInd w:val="0"/>
        <w:spacing w:line="360" w:lineRule="exact"/>
        <w:outlineLvl w:val="9"/>
        <w:rPr>
          <w:rFonts w:hint="eastAsia" w:ascii="宋体" w:hAnsi="宋体" w:eastAsia="宋体" w:cs="宋体"/>
          <w:color w:val="auto"/>
          <w:sz w:val="24"/>
          <w:szCs w:val="24"/>
          <w:highlight w:val="none"/>
          <w:lang w:val="zh-CN"/>
        </w:rPr>
      </w:pPr>
    </w:p>
    <w:p>
      <w:pPr>
        <w:autoSpaceDE w:val="0"/>
        <w:autoSpaceDN w:val="0"/>
        <w:adjustRightInd w:val="0"/>
        <w:spacing w:line="360" w:lineRule="exact"/>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住所：                                   住所：</w:t>
      </w:r>
    </w:p>
    <w:p>
      <w:pPr>
        <w:autoSpaceDE w:val="0"/>
        <w:autoSpaceDN w:val="0"/>
        <w:adjustRightInd w:val="0"/>
        <w:spacing w:line="360" w:lineRule="exact"/>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法定代表人或                             法定代表人</w:t>
      </w:r>
    </w:p>
    <w:p>
      <w:pPr>
        <w:autoSpaceDE w:val="0"/>
        <w:autoSpaceDN w:val="0"/>
        <w:adjustRightInd w:val="0"/>
        <w:spacing w:line="360" w:lineRule="exact"/>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 xml:space="preserve">授权代表（签字）：                       或授权代表（签字）: </w:t>
      </w:r>
    </w:p>
    <w:p>
      <w:pPr>
        <w:autoSpaceDE w:val="0"/>
        <w:autoSpaceDN w:val="0"/>
        <w:adjustRightInd w:val="0"/>
        <w:spacing w:line="360" w:lineRule="exact"/>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联系人：                                 联系人：</w:t>
      </w:r>
    </w:p>
    <w:p>
      <w:pPr>
        <w:autoSpaceDE w:val="0"/>
        <w:autoSpaceDN w:val="0"/>
        <w:adjustRightInd w:val="0"/>
        <w:spacing w:line="360" w:lineRule="exact"/>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约定送达地址：                           约定送达地址：</w:t>
      </w:r>
    </w:p>
    <w:p>
      <w:pPr>
        <w:autoSpaceDE w:val="0"/>
        <w:autoSpaceDN w:val="0"/>
        <w:adjustRightInd w:val="0"/>
        <w:spacing w:line="360" w:lineRule="exact"/>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邮政编码：                               邮政编码：</w:t>
      </w:r>
    </w:p>
    <w:p>
      <w:pPr>
        <w:autoSpaceDE w:val="0"/>
        <w:autoSpaceDN w:val="0"/>
        <w:adjustRightInd w:val="0"/>
        <w:spacing w:line="360" w:lineRule="exact"/>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 xml:space="preserve">电话:                                    电话: </w:t>
      </w:r>
    </w:p>
    <w:p>
      <w:pPr>
        <w:autoSpaceDE w:val="0"/>
        <w:autoSpaceDN w:val="0"/>
        <w:adjustRightInd w:val="0"/>
        <w:spacing w:line="360" w:lineRule="exact"/>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传真:                                    传真:</w:t>
      </w:r>
    </w:p>
    <w:p>
      <w:pPr>
        <w:autoSpaceDE w:val="0"/>
        <w:autoSpaceDN w:val="0"/>
        <w:adjustRightInd w:val="0"/>
        <w:spacing w:line="360" w:lineRule="exac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电子邮箱：                               电子邮箱：</w:t>
      </w:r>
    </w:p>
    <w:p>
      <w:pPr>
        <w:autoSpaceDE w:val="0"/>
        <w:autoSpaceDN w:val="0"/>
        <w:adjustRightInd w:val="0"/>
        <w:spacing w:line="360" w:lineRule="exac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开户银行：                               开户银行： </w:t>
      </w:r>
    </w:p>
    <w:p>
      <w:pPr>
        <w:autoSpaceDE w:val="0"/>
        <w:autoSpaceDN w:val="0"/>
        <w:adjustRightInd w:val="0"/>
        <w:spacing w:line="360" w:lineRule="exac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开户名称：                               开户名称： </w:t>
      </w:r>
    </w:p>
    <w:p>
      <w:pPr>
        <w:autoSpaceDE w:val="0"/>
        <w:autoSpaceDN w:val="0"/>
        <w:adjustRightInd w:val="0"/>
        <w:spacing w:line="360" w:lineRule="exac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开户账号：</w:t>
      </w:r>
      <w:r>
        <w:rPr>
          <w:rFonts w:hint="eastAsia" w:ascii="宋体" w:hAnsi="宋体" w:eastAsia="宋体" w:cs="宋体"/>
          <w:color w:val="auto"/>
          <w:sz w:val="24"/>
          <w:szCs w:val="24"/>
          <w:highlight w:val="none"/>
          <w:lang w:val="zh-CN"/>
        </w:rPr>
        <w:t xml:space="preserve">                               </w:t>
      </w:r>
      <w:r>
        <w:rPr>
          <w:rFonts w:hint="eastAsia" w:ascii="宋体" w:hAnsi="宋体" w:eastAsia="宋体" w:cs="宋体"/>
          <w:color w:val="auto"/>
          <w:sz w:val="24"/>
          <w:szCs w:val="24"/>
          <w:highlight w:val="none"/>
        </w:rPr>
        <w:t>开户账号：</w:t>
      </w:r>
    </w:p>
    <w:p>
      <w:pPr>
        <w:widowControl/>
        <w:spacing w:line="360" w:lineRule="exact"/>
        <w:jc w:val="left"/>
        <w:outlineLvl w:val="9"/>
        <w:rPr>
          <w:rFonts w:hint="eastAsia" w:ascii="宋体" w:hAnsi="宋体" w:eastAsia="宋体" w:cs="宋体"/>
          <w:b/>
          <w:bCs/>
          <w:color w:val="auto"/>
          <w:highlight w:val="none"/>
        </w:rPr>
      </w:pPr>
      <w:bookmarkStart w:id="1982" w:name="_Toc331685783"/>
    </w:p>
    <w:p>
      <w:pPr>
        <w:widowControl/>
        <w:spacing w:line="360" w:lineRule="exact"/>
        <w:jc w:val="left"/>
        <w:outlineLvl w:val="9"/>
        <w:rPr>
          <w:rFonts w:hint="eastAsia" w:ascii="宋体" w:hAnsi="宋体" w:eastAsia="宋体" w:cs="宋体"/>
          <w:b/>
          <w:bCs/>
          <w:color w:val="auto"/>
          <w:highlight w:val="none"/>
        </w:rPr>
      </w:pPr>
    </w:p>
    <w:p>
      <w:pPr>
        <w:widowControl w:val="0"/>
        <w:autoSpaceDE w:val="0"/>
        <w:autoSpaceDN w:val="0"/>
        <w:adjustRightInd w:val="0"/>
        <w:spacing w:line="360" w:lineRule="exact"/>
        <w:ind w:firstLine="200"/>
        <w:jc w:val="center"/>
        <w:outlineLvl w:val="9"/>
        <w:rPr>
          <w:rFonts w:hint="eastAsia" w:ascii="宋体" w:hAnsi="宋体" w:eastAsia="宋体" w:cs="宋体"/>
          <w:b/>
          <w:bCs/>
          <w:color w:val="auto"/>
          <w:kern w:val="0"/>
          <w:sz w:val="24"/>
          <w:szCs w:val="20"/>
          <w:highlight w:val="none"/>
          <w:lang w:val="en-US" w:eastAsia="zh-CN" w:bidi="ar-SA"/>
        </w:rPr>
      </w:pPr>
      <w:r>
        <w:rPr>
          <w:rFonts w:hint="eastAsia" w:ascii="宋体" w:hAnsi="宋体" w:eastAsia="宋体" w:cs="宋体"/>
          <w:b/>
          <w:bCs/>
          <w:color w:val="auto"/>
          <w:kern w:val="0"/>
          <w:sz w:val="24"/>
          <w:szCs w:val="20"/>
          <w:highlight w:val="none"/>
          <w:lang w:val="en-US" w:eastAsia="zh-CN" w:bidi="ar-SA"/>
        </w:rPr>
        <w:t>第二部分 合同一般条款</w:t>
      </w:r>
      <w:bookmarkEnd w:id="1982"/>
    </w:p>
    <w:p>
      <w:pPr>
        <w:spacing w:line="360" w:lineRule="exact"/>
        <w:ind w:firstLine="482" w:firstLineChars="200"/>
        <w:outlineLvl w:val="9"/>
        <w:rPr>
          <w:rFonts w:hint="eastAsia" w:ascii="宋体" w:hAnsi="宋体" w:eastAsia="宋体" w:cs="宋体"/>
          <w:b/>
          <w:bCs/>
          <w:color w:val="auto"/>
          <w:sz w:val="24"/>
          <w:szCs w:val="24"/>
          <w:highlight w:val="none"/>
        </w:rPr>
      </w:pPr>
      <w:bookmarkStart w:id="1983" w:name="_Toc23427"/>
      <w:bookmarkStart w:id="1984" w:name="_Toc17226"/>
      <w:bookmarkStart w:id="1985" w:name="_Toc4252"/>
      <w:bookmarkStart w:id="1986" w:name="_Toc13484"/>
      <w:bookmarkStart w:id="1987" w:name="_Toc6788"/>
      <w:bookmarkStart w:id="1988" w:name="_Toc26415"/>
      <w:bookmarkStart w:id="1989" w:name="_Toc6142"/>
      <w:bookmarkStart w:id="1990" w:name="_Ref467379195"/>
      <w:bookmarkStart w:id="1991" w:name="_Toc23094"/>
      <w:bookmarkStart w:id="1992" w:name="_Ref467379214"/>
      <w:bookmarkStart w:id="1993" w:name="_Toc17718"/>
      <w:bookmarkStart w:id="1994" w:name="_Toc28763"/>
      <w:bookmarkStart w:id="1995" w:name="_Toc32624"/>
      <w:bookmarkStart w:id="1996" w:name="_Toc29659"/>
      <w:bookmarkStart w:id="1997" w:name="_Toc28547"/>
      <w:bookmarkStart w:id="1998" w:name="_Ref467379101"/>
      <w:bookmarkStart w:id="1999" w:name="_Toc14827"/>
      <w:bookmarkStart w:id="2000" w:name="_Toc28865"/>
      <w:bookmarkStart w:id="2001" w:name="_Toc25100"/>
      <w:bookmarkStart w:id="2002" w:name="_Ref467378404"/>
      <w:bookmarkStart w:id="2003" w:name="_Ref467379225"/>
      <w:bookmarkStart w:id="2004" w:name="_Toc404"/>
      <w:bookmarkStart w:id="2005" w:name="_Toc26936"/>
      <w:bookmarkStart w:id="2006" w:name="_Ref467379109"/>
      <w:bookmarkStart w:id="2007" w:name="_Toc24677"/>
      <w:bookmarkStart w:id="2008" w:name="_Toc2034"/>
      <w:bookmarkStart w:id="2009" w:name="_Toc5579"/>
      <w:bookmarkStart w:id="2010" w:name="_Toc24453"/>
      <w:bookmarkStart w:id="2011" w:name="_Toc2854"/>
      <w:bookmarkStart w:id="2012" w:name="_Toc31417"/>
      <w:bookmarkStart w:id="2013" w:name="_Ref467378463"/>
      <w:bookmarkStart w:id="2014" w:name="_Toc279701240"/>
      <w:bookmarkStart w:id="2015" w:name="_Toc19614"/>
      <w:bookmarkStart w:id="2016" w:name="_Toc510"/>
      <w:bookmarkStart w:id="2017" w:name="_Toc18085"/>
      <w:bookmarkStart w:id="2018" w:name="_Toc10245"/>
      <w:bookmarkStart w:id="2019" w:name="_Toc3091"/>
      <w:bookmarkStart w:id="2020" w:name="_Toc16917"/>
      <w:bookmarkStart w:id="2021" w:name="_Ref467378499"/>
      <w:bookmarkStart w:id="2022" w:name="_Toc20709"/>
      <w:bookmarkStart w:id="2023" w:name="_Toc7464"/>
      <w:bookmarkStart w:id="2024" w:name="_Ref467379094"/>
      <w:bookmarkStart w:id="2025" w:name="_Toc24879"/>
      <w:bookmarkStart w:id="2026" w:name="_Toc18089"/>
      <w:bookmarkStart w:id="2027" w:name="_Ref467379205"/>
      <w:bookmarkStart w:id="2028" w:name="_Toc259093669"/>
      <w:bookmarkStart w:id="2029" w:name="_Toc25554"/>
      <w:bookmarkStart w:id="2030" w:name="_Toc487900349"/>
      <w:bookmarkStart w:id="2031" w:name="_Toc15647"/>
      <w:bookmarkStart w:id="2032" w:name="_Toc26015"/>
      <w:r>
        <w:rPr>
          <w:rFonts w:hint="eastAsia" w:ascii="宋体" w:hAnsi="宋体" w:eastAsia="宋体" w:cs="宋体"/>
          <w:b/>
          <w:bCs/>
          <w:color w:val="auto"/>
          <w:sz w:val="24"/>
          <w:szCs w:val="24"/>
          <w:highlight w:val="none"/>
        </w:rPr>
        <w:t>2.1 定义</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本合同中的下列词语应按以下内容进行解释：</w:t>
      </w:r>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 “合同”系指采购人和中标供应商签订的载明双方当事人所达成的协议，并包括所有的附件、附录和构成合同的其他文件。</w:t>
      </w:r>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2.1.2 “合同价”系指根据合同约定，中标供应商在完全履行合同义务后，采购人应支付给中标供应商的价格。</w:t>
      </w:r>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2.1.3 “货物”系指中标供应商根据合同约定应向采购人交付的一切各种形态和种类的物品，包括原材料、燃料、设备、机械、仪表、备件、计算机软件、产品等，并包括工具、手册等其他相关资料。</w:t>
      </w:r>
    </w:p>
    <w:p>
      <w:pPr>
        <w:spacing w:line="360" w:lineRule="exact"/>
        <w:ind w:firstLine="480" w:firstLineChars="200"/>
        <w:outlineLvl w:val="9"/>
        <w:rPr>
          <w:rFonts w:hint="eastAsia" w:ascii="宋体" w:hAnsi="宋体" w:eastAsia="宋体" w:cs="宋体"/>
          <w:color w:val="auto"/>
          <w:sz w:val="24"/>
          <w:szCs w:val="24"/>
          <w:highlight w:val="none"/>
        </w:rPr>
      </w:pPr>
      <w:bookmarkStart w:id="2033" w:name="_Ref467378840"/>
      <w:r>
        <w:rPr>
          <w:rFonts w:hint="eastAsia" w:ascii="宋体" w:hAnsi="宋体" w:eastAsia="宋体" w:cs="宋体"/>
          <w:color w:val="auto"/>
          <w:sz w:val="24"/>
          <w:szCs w:val="24"/>
          <w:highlight w:val="none"/>
        </w:rPr>
        <w:t>2.1.4 “甲方”系指与中标供应商签署合同的采购人</w:t>
      </w:r>
      <w:bookmarkEnd w:id="2033"/>
      <w:r>
        <w:rPr>
          <w:rFonts w:hint="eastAsia" w:ascii="宋体" w:hAnsi="宋体" w:eastAsia="宋体" w:cs="宋体"/>
          <w:color w:val="auto"/>
          <w:sz w:val="24"/>
          <w:szCs w:val="24"/>
          <w:highlight w:val="none"/>
        </w:rPr>
        <w:t>；采购人委托采购代理机构代表其与乙方签订合同的，采购人的授权委托书作为合同附件。</w:t>
      </w:r>
    </w:p>
    <w:p>
      <w:pPr>
        <w:spacing w:line="360" w:lineRule="exact"/>
        <w:ind w:firstLine="480" w:firstLineChars="200"/>
        <w:outlineLvl w:val="9"/>
        <w:rPr>
          <w:rFonts w:hint="eastAsia" w:ascii="宋体" w:hAnsi="宋体" w:eastAsia="宋体" w:cs="宋体"/>
          <w:color w:val="auto"/>
          <w:sz w:val="24"/>
          <w:szCs w:val="24"/>
          <w:highlight w:val="none"/>
        </w:rPr>
      </w:pPr>
      <w:bookmarkStart w:id="2034" w:name="_Ref467379400"/>
      <w:r>
        <w:rPr>
          <w:rFonts w:hint="eastAsia" w:ascii="宋体" w:hAnsi="宋体" w:eastAsia="宋体" w:cs="宋体"/>
          <w:color w:val="auto"/>
          <w:sz w:val="24"/>
          <w:szCs w:val="24"/>
          <w:highlight w:val="none"/>
        </w:rPr>
        <w:t>2.1.5 “乙方”系指根据合同约定交付货物的中标供应商</w:t>
      </w:r>
      <w:bookmarkEnd w:id="2034"/>
      <w:r>
        <w:rPr>
          <w:rFonts w:hint="eastAsia" w:ascii="宋体" w:hAnsi="宋体" w:eastAsia="宋体" w:cs="宋体"/>
          <w:color w:val="auto"/>
          <w:sz w:val="24"/>
          <w:szCs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exact"/>
        <w:ind w:firstLine="480" w:firstLineChars="200"/>
        <w:outlineLvl w:val="9"/>
        <w:rPr>
          <w:rFonts w:hint="eastAsia" w:ascii="宋体" w:hAnsi="宋体" w:eastAsia="宋体" w:cs="宋体"/>
          <w:color w:val="auto"/>
          <w:sz w:val="24"/>
          <w:szCs w:val="24"/>
          <w:highlight w:val="none"/>
        </w:rPr>
      </w:pPr>
      <w:bookmarkStart w:id="2035" w:name="_Ref467379436"/>
      <w:r>
        <w:rPr>
          <w:rFonts w:hint="eastAsia" w:ascii="宋体" w:hAnsi="宋体" w:eastAsia="宋体" w:cs="宋体"/>
          <w:color w:val="auto"/>
          <w:sz w:val="24"/>
          <w:szCs w:val="24"/>
          <w:highlight w:val="none"/>
        </w:rPr>
        <w:t>2.1.6 “现场”系指合同约定货物将要运至或者安装的地点。</w:t>
      </w:r>
      <w:bookmarkEnd w:id="2035"/>
    </w:p>
    <w:p>
      <w:pPr>
        <w:spacing w:line="360" w:lineRule="exact"/>
        <w:ind w:firstLine="482" w:firstLineChars="200"/>
        <w:outlineLvl w:val="9"/>
        <w:rPr>
          <w:rFonts w:hint="eastAsia" w:ascii="宋体" w:hAnsi="宋体" w:eastAsia="宋体" w:cs="宋体"/>
          <w:b/>
          <w:bCs/>
          <w:color w:val="auto"/>
          <w:sz w:val="24"/>
          <w:szCs w:val="24"/>
          <w:highlight w:val="none"/>
        </w:rPr>
      </w:pPr>
      <w:bookmarkStart w:id="2036" w:name="_Toc30246"/>
      <w:bookmarkStart w:id="2037" w:name="_Toc259093670"/>
      <w:bookmarkStart w:id="2038" w:name="_Toc487900350"/>
      <w:bookmarkStart w:id="2039" w:name="_Toc25269"/>
      <w:bookmarkStart w:id="2040" w:name="_Toc9308"/>
      <w:bookmarkStart w:id="2041" w:name="_Toc24792"/>
      <w:bookmarkStart w:id="2042" w:name="_Toc7048"/>
      <w:bookmarkStart w:id="2043" w:name="_Toc1221"/>
      <w:bookmarkStart w:id="2044" w:name="_Toc19892"/>
      <w:bookmarkStart w:id="2045" w:name="_Toc27635"/>
      <w:bookmarkStart w:id="2046" w:name="_Toc25266"/>
      <w:bookmarkStart w:id="2047" w:name="_Toc18471"/>
      <w:bookmarkStart w:id="2048" w:name="_Toc32504"/>
      <w:bookmarkStart w:id="2049" w:name="_Toc3949"/>
      <w:bookmarkStart w:id="2050" w:name="_Toc10950"/>
      <w:bookmarkStart w:id="2051" w:name="_Toc25958"/>
      <w:bookmarkStart w:id="2052" w:name="_Toc3193"/>
      <w:bookmarkStart w:id="2053" w:name="_Toc18137"/>
      <w:bookmarkStart w:id="2054" w:name="_Toc24322"/>
      <w:bookmarkStart w:id="2055" w:name="_Toc29022"/>
      <w:bookmarkStart w:id="2056" w:name="_Toc17151"/>
      <w:bookmarkStart w:id="2057" w:name="_Toc24523"/>
      <w:bookmarkStart w:id="2058" w:name="_Toc5592"/>
      <w:bookmarkStart w:id="2059" w:name="_Toc7416"/>
      <w:bookmarkStart w:id="2060" w:name="_Toc1183"/>
      <w:bookmarkStart w:id="2061" w:name="_Toc279701241"/>
      <w:bookmarkStart w:id="2062" w:name="_Toc22769"/>
      <w:bookmarkStart w:id="2063" w:name="_Toc1447"/>
      <w:bookmarkStart w:id="2064" w:name="_Toc6595"/>
      <w:bookmarkStart w:id="2065" w:name="_Toc1002"/>
      <w:bookmarkStart w:id="2066" w:name="_Toc13336"/>
      <w:bookmarkStart w:id="2067" w:name="_Toc22122"/>
      <w:bookmarkStart w:id="2068" w:name="_Toc1352"/>
      <w:bookmarkStart w:id="2069" w:name="_Toc16926"/>
      <w:bookmarkStart w:id="2070" w:name="_Toc23689"/>
      <w:bookmarkStart w:id="2071" w:name="_Toc32570"/>
      <w:bookmarkStart w:id="2072" w:name="_Toc1833"/>
      <w:bookmarkStart w:id="2073" w:name="_Toc22131"/>
      <w:bookmarkStart w:id="2074" w:name="_Toc22104"/>
      <w:bookmarkStart w:id="2075" w:name="_Toc11142"/>
      <w:bookmarkStart w:id="2076" w:name="_Toc1865"/>
      <w:bookmarkStart w:id="2077" w:name="_Toc16405"/>
      <w:r>
        <w:rPr>
          <w:rFonts w:hint="eastAsia" w:ascii="宋体" w:hAnsi="宋体" w:eastAsia="宋体" w:cs="宋体"/>
          <w:b/>
          <w:bCs/>
          <w:color w:val="auto"/>
          <w:sz w:val="24"/>
          <w:szCs w:val="24"/>
          <w:highlight w:val="none"/>
        </w:rPr>
        <w:t>2.2 技术规范</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exact"/>
        <w:ind w:firstLine="482" w:firstLineChars="200"/>
        <w:outlineLvl w:val="9"/>
        <w:rPr>
          <w:rFonts w:hint="eastAsia" w:ascii="宋体" w:hAnsi="宋体" w:eastAsia="宋体" w:cs="宋体"/>
          <w:b/>
          <w:bCs/>
          <w:color w:val="auto"/>
          <w:sz w:val="24"/>
          <w:szCs w:val="24"/>
          <w:highlight w:val="none"/>
        </w:rPr>
      </w:pPr>
      <w:bookmarkStart w:id="2078" w:name="_Toc29951"/>
      <w:bookmarkStart w:id="2079" w:name="_Toc11837"/>
      <w:bookmarkStart w:id="2080" w:name="_Toc10688"/>
      <w:bookmarkStart w:id="2081" w:name="_Toc3854"/>
      <w:bookmarkStart w:id="2082" w:name="_Toc4029"/>
      <w:bookmarkStart w:id="2083" w:name="_Toc31634"/>
      <w:bookmarkStart w:id="2084" w:name="_Toc28946"/>
      <w:bookmarkStart w:id="2085" w:name="_Toc24537"/>
      <w:bookmarkStart w:id="2086" w:name="_Toc4916"/>
      <w:bookmarkStart w:id="2087" w:name="_Toc259093671"/>
      <w:bookmarkStart w:id="2088" w:name="_Toc23791"/>
      <w:bookmarkStart w:id="2089" w:name="_Toc30552"/>
      <w:bookmarkStart w:id="2090" w:name="_Toc1649"/>
      <w:bookmarkStart w:id="2091" w:name="_Toc20130"/>
      <w:bookmarkStart w:id="2092" w:name="_Toc30700"/>
      <w:bookmarkStart w:id="2093" w:name="_Toc32048"/>
      <w:bookmarkStart w:id="2094" w:name="_Toc3879"/>
      <w:bookmarkStart w:id="2095" w:name="_Toc6835"/>
      <w:bookmarkStart w:id="2096" w:name="_Toc279701242"/>
      <w:bookmarkStart w:id="2097" w:name="_Toc15733"/>
      <w:bookmarkStart w:id="2098" w:name="_Toc6121"/>
      <w:bookmarkStart w:id="2099" w:name="_Toc2878"/>
      <w:bookmarkStart w:id="2100" w:name="_Toc28662"/>
      <w:bookmarkStart w:id="2101" w:name="_Toc14632"/>
      <w:bookmarkStart w:id="2102" w:name="_Toc18486"/>
      <w:bookmarkStart w:id="2103" w:name="_Toc17383"/>
      <w:bookmarkStart w:id="2104" w:name="_Toc8958"/>
      <w:bookmarkStart w:id="2105" w:name="_Toc975"/>
      <w:bookmarkStart w:id="2106" w:name="_Toc7722"/>
      <w:bookmarkStart w:id="2107" w:name="_Toc18092"/>
      <w:bookmarkStart w:id="2108" w:name="_Toc24588"/>
      <w:bookmarkStart w:id="2109" w:name="_Toc18332"/>
      <w:bookmarkStart w:id="2110" w:name="_Toc5787"/>
      <w:bookmarkStart w:id="2111" w:name="_Toc15099"/>
      <w:bookmarkStart w:id="2112" w:name="_Toc10461"/>
      <w:bookmarkStart w:id="2113" w:name="_Toc10999"/>
      <w:bookmarkStart w:id="2114" w:name="_Toc9829"/>
      <w:bookmarkStart w:id="2115" w:name="_Toc487900351"/>
      <w:bookmarkStart w:id="2116" w:name="_Toc23649"/>
      <w:bookmarkStart w:id="2117" w:name="_Toc10032"/>
      <w:bookmarkStart w:id="2118" w:name="_Toc27853"/>
      <w:r>
        <w:rPr>
          <w:rFonts w:hint="eastAsia" w:ascii="宋体" w:hAnsi="宋体" w:eastAsia="宋体" w:cs="宋体"/>
          <w:b/>
          <w:bCs/>
          <w:color w:val="auto"/>
          <w:sz w:val="24"/>
          <w:szCs w:val="24"/>
          <w:highlight w:val="none"/>
        </w:rPr>
        <w:t>2.3 知识产权</w:t>
      </w:r>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2.3.2具有知识产权的计算机软件等货物的知识产权归属，详见</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w:t>
      </w:r>
    </w:p>
    <w:p>
      <w:pPr>
        <w:spacing w:line="360" w:lineRule="exact"/>
        <w:ind w:firstLine="482" w:firstLineChars="200"/>
        <w:outlineLvl w:val="9"/>
        <w:rPr>
          <w:rFonts w:hint="eastAsia" w:ascii="宋体" w:hAnsi="宋体" w:eastAsia="宋体" w:cs="宋体"/>
          <w:b/>
          <w:bCs/>
          <w:color w:val="auto"/>
          <w:sz w:val="24"/>
          <w:szCs w:val="24"/>
          <w:highlight w:val="none"/>
        </w:rPr>
      </w:pPr>
      <w:bookmarkStart w:id="2119" w:name="_Toc684"/>
      <w:bookmarkStart w:id="2120" w:name="_Toc9470"/>
      <w:bookmarkStart w:id="2121" w:name="_Toc17080"/>
      <w:bookmarkStart w:id="2122" w:name="_Toc19638"/>
      <w:bookmarkStart w:id="2123" w:name="_Toc28714"/>
      <w:bookmarkStart w:id="2124" w:name="_Toc10546"/>
      <w:bookmarkStart w:id="2125" w:name="_Toc8795"/>
      <w:bookmarkStart w:id="2126" w:name="_Toc677"/>
      <w:bookmarkStart w:id="2127" w:name="_Toc20620"/>
      <w:bookmarkStart w:id="2128" w:name="_Toc10970"/>
      <w:bookmarkStart w:id="2129" w:name="_Toc30542"/>
      <w:bookmarkStart w:id="2130" w:name="_Toc24384"/>
      <w:bookmarkStart w:id="2131" w:name="_Toc11932"/>
      <w:bookmarkStart w:id="2132" w:name="_Toc9586"/>
      <w:bookmarkStart w:id="2133" w:name="_Toc25993"/>
      <w:bookmarkStart w:id="2134" w:name="_Toc27108"/>
      <w:bookmarkStart w:id="2135" w:name="_Toc1877"/>
      <w:bookmarkStart w:id="2136" w:name="_Toc18533"/>
      <w:bookmarkStart w:id="2137" w:name="_Toc28170"/>
      <w:bookmarkStart w:id="2138" w:name="_Toc6562"/>
      <w:bookmarkStart w:id="2139" w:name="_Toc9741"/>
      <w:bookmarkStart w:id="2140" w:name="_Toc25767"/>
      <w:bookmarkStart w:id="2141" w:name="_Toc17560"/>
      <w:bookmarkStart w:id="2142" w:name="_Toc18554"/>
      <w:bookmarkStart w:id="2143" w:name="_Toc3486"/>
      <w:bookmarkStart w:id="2144" w:name="_Toc2585"/>
      <w:bookmarkStart w:id="2145" w:name="_Toc455"/>
      <w:bookmarkStart w:id="2146" w:name="_Toc5395"/>
      <w:bookmarkStart w:id="2147" w:name="_Toc15409"/>
      <w:bookmarkStart w:id="2148" w:name="_Toc836"/>
      <w:bookmarkStart w:id="2149" w:name="_Toc29149"/>
      <w:bookmarkStart w:id="2150" w:name="_Toc27243"/>
      <w:bookmarkStart w:id="2151" w:name="_Toc4194"/>
      <w:bookmarkStart w:id="2152" w:name="_Toc19842"/>
      <w:bookmarkStart w:id="2153" w:name="_Toc12219"/>
      <w:bookmarkStart w:id="2154" w:name="_Toc6781"/>
      <w:bookmarkStart w:id="2155" w:name="_Toc23105"/>
      <w:bookmarkStart w:id="2156" w:name="_Toc26731"/>
      <w:r>
        <w:rPr>
          <w:rFonts w:hint="eastAsia" w:ascii="宋体" w:hAnsi="宋体" w:eastAsia="宋体" w:cs="宋体"/>
          <w:b/>
          <w:bCs/>
          <w:color w:val="auto"/>
          <w:sz w:val="24"/>
          <w:szCs w:val="24"/>
          <w:highlight w:val="none"/>
        </w:rPr>
        <w:t>2.4 包装和装运</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2.4.1除</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2.4.2 装运货物的要求和通知，详见</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w:t>
      </w:r>
    </w:p>
    <w:p>
      <w:pPr>
        <w:spacing w:line="360" w:lineRule="exact"/>
        <w:ind w:firstLine="482" w:firstLineChars="200"/>
        <w:outlineLvl w:val="9"/>
        <w:rPr>
          <w:rFonts w:hint="eastAsia" w:ascii="宋体" w:hAnsi="宋体" w:eastAsia="宋体" w:cs="宋体"/>
          <w:b/>
          <w:bCs/>
          <w:color w:val="auto"/>
          <w:sz w:val="24"/>
          <w:szCs w:val="24"/>
          <w:highlight w:val="none"/>
        </w:rPr>
      </w:pPr>
      <w:bookmarkStart w:id="2157" w:name="_Toc259093674"/>
      <w:bookmarkStart w:id="2158" w:name="_Ref467379536"/>
      <w:bookmarkStart w:id="2159" w:name="_Ref467379542"/>
      <w:bookmarkStart w:id="2160" w:name="_Toc487900354"/>
      <w:bookmarkStart w:id="2161" w:name="_Ref467379527"/>
      <w:bookmarkStart w:id="2162" w:name="_Ref467378541"/>
      <w:bookmarkStart w:id="2163" w:name="_Ref467378591"/>
      <w:bookmarkStart w:id="2164" w:name="_Toc279701245"/>
      <w:bookmarkStart w:id="2165" w:name="_Toc4182"/>
      <w:bookmarkStart w:id="2166" w:name="_Toc4153"/>
      <w:bookmarkStart w:id="2167" w:name="_Toc28658"/>
      <w:bookmarkStart w:id="2168" w:name="_Toc21198"/>
      <w:bookmarkStart w:id="2169" w:name="_Toc30516"/>
      <w:bookmarkStart w:id="2170" w:name="_Toc31437"/>
      <w:bookmarkStart w:id="2171" w:name="_Toc1580"/>
      <w:bookmarkStart w:id="2172" w:name="_Toc26182"/>
      <w:bookmarkStart w:id="2173" w:name="_Toc15680"/>
      <w:bookmarkStart w:id="2174" w:name="_Toc14100"/>
      <w:bookmarkStart w:id="2175" w:name="_Toc19993"/>
      <w:bookmarkStart w:id="2176" w:name="_Toc18307"/>
      <w:bookmarkStart w:id="2177" w:name="_Toc11773"/>
      <w:bookmarkStart w:id="2178" w:name="_Toc30272"/>
      <w:bookmarkStart w:id="2179" w:name="_Toc24935"/>
      <w:bookmarkStart w:id="2180" w:name="_Toc23561"/>
      <w:bookmarkStart w:id="2181" w:name="_Toc19074"/>
      <w:bookmarkStart w:id="2182" w:name="_Toc5927"/>
      <w:bookmarkStart w:id="2183" w:name="_Toc7299"/>
      <w:bookmarkStart w:id="2184" w:name="_Toc28324"/>
      <w:bookmarkStart w:id="2185" w:name="_Toc4396"/>
      <w:bookmarkStart w:id="2186" w:name="_Toc15512"/>
      <w:bookmarkStart w:id="2187" w:name="_Toc10209"/>
      <w:bookmarkStart w:id="2188" w:name="_Toc30610"/>
      <w:bookmarkStart w:id="2189" w:name="_Toc30291"/>
      <w:bookmarkStart w:id="2190" w:name="_Toc26084"/>
      <w:bookmarkStart w:id="2191" w:name="_Toc7379"/>
      <w:bookmarkStart w:id="2192" w:name="_Toc10071"/>
      <w:bookmarkStart w:id="2193" w:name="_Toc25016"/>
      <w:bookmarkStart w:id="2194" w:name="_Toc3408"/>
      <w:bookmarkStart w:id="2195" w:name="_Toc24299"/>
      <w:bookmarkStart w:id="2196" w:name="_Toc12428"/>
      <w:bookmarkStart w:id="2197" w:name="_Toc28937"/>
      <w:bookmarkStart w:id="2198" w:name="_Toc21410"/>
      <w:bookmarkStart w:id="2199" w:name="_Toc2815"/>
      <w:bookmarkStart w:id="2200" w:name="_Toc2174"/>
      <w:bookmarkStart w:id="2201" w:name="_Toc28582"/>
      <w:bookmarkStart w:id="2202" w:name="_Toc4831"/>
      <w:bookmarkStart w:id="2203" w:name="_Toc18515"/>
      <w:r>
        <w:rPr>
          <w:rFonts w:hint="eastAsia" w:ascii="宋体" w:hAnsi="宋体" w:eastAsia="宋体" w:cs="宋体"/>
          <w:b/>
          <w:bCs/>
          <w:color w:val="auto"/>
          <w:sz w:val="24"/>
          <w:szCs w:val="24"/>
          <w:highlight w:val="none"/>
        </w:rPr>
        <w:t>2.</w:t>
      </w:r>
      <w:bookmarkEnd w:id="2157"/>
      <w:bookmarkEnd w:id="2158"/>
      <w:bookmarkEnd w:id="2159"/>
      <w:bookmarkEnd w:id="2160"/>
      <w:bookmarkEnd w:id="2161"/>
      <w:bookmarkEnd w:id="2162"/>
      <w:bookmarkEnd w:id="2163"/>
      <w:bookmarkEnd w:id="2164"/>
      <w:r>
        <w:rPr>
          <w:rFonts w:hint="eastAsia" w:ascii="宋体" w:hAnsi="宋体" w:eastAsia="宋体" w:cs="宋体"/>
          <w:b/>
          <w:bCs/>
          <w:color w:val="auto"/>
          <w:sz w:val="24"/>
          <w:szCs w:val="24"/>
          <w:highlight w:val="none"/>
        </w:rPr>
        <w:t>5 履约检查和问题反馈</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p>
    <w:p>
      <w:pPr>
        <w:spacing w:line="360" w:lineRule="exact"/>
        <w:ind w:firstLine="480" w:firstLineChars="200"/>
        <w:outlineLvl w:val="9"/>
        <w:rPr>
          <w:rFonts w:hint="eastAsia" w:ascii="宋体" w:hAnsi="宋体" w:eastAsia="宋体" w:cs="宋体"/>
          <w:color w:val="auto"/>
          <w:sz w:val="24"/>
          <w:szCs w:val="24"/>
          <w:highlight w:val="none"/>
        </w:rPr>
      </w:pPr>
      <w:bookmarkStart w:id="2204" w:name="_Ref467379657"/>
      <w:r>
        <w:rPr>
          <w:rFonts w:hint="eastAsia" w:ascii="宋体" w:hAnsi="宋体" w:eastAsia="宋体" w:cs="宋体"/>
          <w:color w:val="auto"/>
          <w:sz w:val="24"/>
          <w:szCs w:val="24"/>
          <w:highlight w:val="none"/>
        </w:rPr>
        <w:t>2.5.1</w:t>
      </w:r>
      <w:bookmarkEnd w:id="2204"/>
      <w:bookmarkStart w:id="2205" w:name="_Toc186431854"/>
      <w:bookmarkStart w:id="2206" w:name="_Ref467379807"/>
      <w:bookmarkStart w:id="2207" w:name="_Ref467379793"/>
      <w:bookmarkStart w:id="2208" w:name="_Toc487900357"/>
      <w:bookmarkStart w:id="2209" w:name="_Toc279701247"/>
      <w:bookmarkStart w:id="2210" w:name="_Toc259093676"/>
      <w:r>
        <w:rPr>
          <w:rFonts w:hint="eastAsia" w:ascii="宋体" w:hAnsi="宋体" w:eastAsia="宋体" w:cs="宋体"/>
          <w:color w:val="auto"/>
          <w:sz w:val="24"/>
          <w:szCs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2.5.2 合同履行期间，甲方有权将履行过程中出现的问题反馈给乙方，双方当事人应以书面形式约定需要完善和改进的内容</w:t>
      </w:r>
      <w:bookmarkEnd w:id="2205"/>
      <w:bookmarkStart w:id="2211" w:name="_Toc186431855"/>
      <w:r>
        <w:rPr>
          <w:rFonts w:hint="eastAsia" w:ascii="宋体" w:hAnsi="宋体" w:eastAsia="宋体" w:cs="宋体"/>
          <w:color w:val="auto"/>
          <w:sz w:val="24"/>
          <w:szCs w:val="24"/>
          <w:highlight w:val="none"/>
        </w:rPr>
        <w:t>。</w:t>
      </w:r>
    </w:p>
    <w:bookmarkEnd w:id="2211"/>
    <w:p>
      <w:pPr>
        <w:spacing w:line="360" w:lineRule="exact"/>
        <w:ind w:firstLine="482" w:firstLineChars="200"/>
        <w:outlineLvl w:val="9"/>
        <w:rPr>
          <w:rFonts w:hint="eastAsia" w:ascii="宋体" w:hAnsi="宋体" w:eastAsia="宋体" w:cs="宋体"/>
          <w:b/>
          <w:bCs/>
          <w:color w:val="auto"/>
          <w:sz w:val="24"/>
          <w:szCs w:val="24"/>
          <w:highlight w:val="none"/>
        </w:rPr>
      </w:pPr>
      <w:bookmarkStart w:id="2212" w:name="_Toc7752"/>
      <w:bookmarkStart w:id="2213" w:name="_Toc19219"/>
      <w:bookmarkStart w:id="2214" w:name="_Toc17283"/>
      <w:bookmarkStart w:id="2215" w:name="_Toc26245"/>
      <w:bookmarkStart w:id="2216" w:name="_Toc22499"/>
      <w:bookmarkStart w:id="2217" w:name="_Toc11522"/>
      <w:bookmarkStart w:id="2218" w:name="_Toc18842"/>
      <w:bookmarkStart w:id="2219" w:name="_Toc28083"/>
      <w:bookmarkStart w:id="2220" w:name="_Toc7836"/>
      <w:bookmarkStart w:id="2221" w:name="_Toc27251"/>
      <w:bookmarkStart w:id="2222" w:name="_Toc18973"/>
      <w:bookmarkStart w:id="2223" w:name="_Toc14286"/>
      <w:bookmarkStart w:id="2224" w:name="_Toc2067"/>
      <w:bookmarkStart w:id="2225" w:name="_Toc234"/>
      <w:bookmarkStart w:id="2226" w:name="_Toc26298"/>
      <w:bookmarkStart w:id="2227" w:name="_Toc23261"/>
      <w:bookmarkStart w:id="2228" w:name="_Toc12360"/>
      <w:bookmarkStart w:id="2229" w:name="_Toc8845"/>
      <w:bookmarkStart w:id="2230" w:name="_Toc9092"/>
      <w:bookmarkStart w:id="2231" w:name="_Toc22032"/>
      <w:bookmarkStart w:id="2232" w:name="_Toc10980"/>
      <w:bookmarkStart w:id="2233" w:name="_Toc12377"/>
      <w:bookmarkStart w:id="2234" w:name="_Toc9241"/>
      <w:bookmarkStart w:id="2235" w:name="_Toc15854"/>
      <w:bookmarkStart w:id="2236" w:name="_Toc8058"/>
      <w:bookmarkStart w:id="2237" w:name="_Toc26232"/>
      <w:bookmarkStart w:id="2238" w:name="_Toc795"/>
      <w:bookmarkStart w:id="2239" w:name="_Toc10057"/>
      <w:bookmarkStart w:id="2240" w:name="_Toc582"/>
      <w:bookmarkStart w:id="2241" w:name="_Toc3057"/>
      <w:bookmarkStart w:id="2242" w:name="_Toc22718"/>
      <w:bookmarkStart w:id="2243" w:name="_Toc5304"/>
      <w:bookmarkStart w:id="2244" w:name="_Toc31520"/>
      <w:bookmarkStart w:id="2245" w:name="_Toc28451"/>
      <w:bookmarkStart w:id="2246" w:name="_Toc10470"/>
      <w:bookmarkStart w:id="2247" w:name="_Toc5363"/>
      <w:bookmarkStart w:id="2248" w:name="_Toc15712"/>
      <w:r>
        <w:rPr>
          <w:rFonts w:hint="eastAsia" w:ascii="宋体" w:hAnsi="宋体" w:eastAsia="宋体" w:cs="宋体"/>
          <w:b/>
          <w:bCs/>
          <w:color w:val="auto"/>
          <w:sz w:val="24"/>
          <w:szCs w:val="24"/>
          <w:highlight w:val="none"/>
        </w:rPr>
        <w:t>2.6 结算方式和付款条件</w:t>
      </w:r>
      <w:bookmarkEnd w:id="2206"/>
      <w:bookmarkEnd w:id="2207"/>
      <w:bookmarkEnd w:id="2208"/>
      <w:bookmarkEnd w:id="2209"/>
      <w:bookmarkEnd w:id="2210"/>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w:t>
      </w:r>
    </w:p>
    <w:p>
      <w:pPr>
        <w:spacing w:line="360" w:lineRule="exact"/>
        <w:ind w:firstLine="482" w:firstLineChars="200"/>
        <w:outlineLvl w:val="9"/>
        <w:rPr>
          <w:rFonts w:hint="eastAsia" w:ascii="宋体" w:hAnsi="宋体" w:eastAsia="宋体" w:cs="宋体"/>
          <w:b/>
          <w:bCs/>
          <w:color w:val="auto"/>
          <w:sz w:val="24"/>
          <w:szCs w:val="24"/>
          <w:highlight w:val="none"/>
        </w:rPr>
      </w:pPr>
      <w:bookmarkStart w:id="2249" w:name="_Ref467379923"/>
      <w:bookmarkStart w:id="2250" w:name="_Toc487900358"/>
      <w:bookmarkStart w:id="2251" w:name="_Toc279701248"/>
      <w:bookmarkStart w:id="2252" w:name="_Toc259093677"/>
      <w:bookmarkStart w:id="2253" w:name="_Ref467379852"/>
      <w:bookmarkStart w:id="2254" w:name="_Ref467379863"/>
      <w:bookmarkStart w:id="2255" w:name="_Toc16110"/>
      <w:bookmarkStart w:id="2256" w:name="_Toc5846"/>
      <w:bookmarkStart w:id="2257" w:name="_Toc3225"/>
      <w:bookmarkStart w:id="2258" w:name="_Toc8272"/>
      <w:bookmarkStart w:id="2259" w:name="_Toc15659"/>
      <w:bookmarkStart w:id="2260" w:name="_Toc11615"/>
      <w:bookmarkStart w:id="2261" w:name="_Toc29030"/>
      <w:bookmarkStart w:id="2262" w:name="_Toc2051"/>
      <w:bookmarkStart w:id="2263" w:name="_Toc25277"/>
      <w:bookmarkStart w:id="2264" w:name="_Toc14491"/>
      <w:bookmarkStart w:id="2265" w:name="_Toc6541"/>
      <w:bookmarkStart w:id="2266" w:name="_Toc774"/>
      <w:bookmarkStart w:id="2267" w:name="_Toc17136"/>
      <w:bookmarkStart w:id="2268" w:name="_Toc9815"/>
      <w:bookmarkStart w:id="2269" w:name="_Toc1963"/>
      <w:bookmarkStart w:id="2270" w:name="_Toc10114"/>
      <w:bookmarkStart w:id="2271" w:name="_Toc28781"/>
      <w:bookmarkStart w:id="2272" w:name="_Toc6635"/>
      <w:bookmarkStart w:id="2273" w:name="_Toc11236"/>
      <w:bookmarkStart w:id="2274" w:name="_Toc13023"/>
      <w:bookmarkStart w:id="2275" w:name="_Toc17051"/>
      <w:bookmarkStart w:id="2276" w:name="_Toc14432"/>
      <w:bookmarkStart w:id="2277" w:name="_Toc11937"/>
      <w:bookmarkStart w:id="2278" w:name="_Toc26835"/>
      <w:bookmarkStart w:id="2279" w:name="_Toc7000"/>
      <w:bookmarkStart w:id="2280" w:name="_Toc15067"/>
      <w:bookmarkStart w:id="2281" w:name="_Toc31971"/>
      <w:bookmarkStart w:id="2282" w:name="_Toc9845"/>
      <w:bookmarkStart w:id="2283" w:name="_Toc12537"/>
      <w:bookmarkStart w:id="2284" w:name="_Toc16303"/>
      <w:bookmarkStart w:id="2285" w:name="_Toc17607"/>
      <w:bookmarkStart w:id="2286" w:name="_Toc14801"/>
      <w:bookmarkStart w:id="2287" w:name="_Toc1200"/>
      <w:bookmarkStart w:id="2288" w:name="_Toc29616"/>
      <w:bookmarkStart w:id="2289" w:name="_Toc24083"/>
      <w:bookmarkStart w:id="2290" w:name="_Toc20160"/>
      <w:bookmarkStart w:id="2291" w:name="_Toc14341"/>
      <w:bookmarkStart w:id="2292" w:name="_Toc31305"/>
      <w:bookmarkStart w:id="2293" w:name="_Toc26147"/>
      <w:r>
        <w:rPr>
          <w:rFonts w:hint="eastAsia" w:ascii="宋体" w:hAnsi="宋体" w:eastAsia="宋体" w:cs="宋体"/>
          <w:b/>
          <w:bCs/>
          <w:color w:val="auto"/>
          <w:sz w:val="24"/>
          <w:szCs w:val="24"/>
          <w:highlight w:val="none"/>
        </w:rPr>
        <w:t>2.7 技术资料</w:t>
      </w:r>
      <w:bookmarkEnd w:id="2249"/>
      <w:bookmarkEnd w:id="2250"/>
      <w:bookmarkEnd w:id="2251"/>
      <w:bookmarkEnd w:id="2252"/>
      <w:bookmarkEnd w:id="2253"/>
      <w:bookmarkEnd w:id="2254"/>
      <w:r>
        <w:rPr>
          <w:rFonts w:hint="eastAsia" w:ascii="宋体" w:hAnsi="宋体" w:eastAsia="宋体" w:cs="宋体"/>
          <w:b/>
          <w:bCs/>
          <w:color w:val="auto"/>
          <w:sz w:val="24"/>
          <w:szCs w:val="24"/>
          <w:highlight w:val="none"/>
        </w:rPr>
        <w:t>和保密义务</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2.7.1 乙方有权依据合同约定和项目需要，向甲方了解有关情况，调阅有关资料等，甲方应予积极配合；</w:t>
      </w:r>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2.7.2 乙方有义务妥善保管和保护由甲方提供的前款信息和资料等；</w:t>
      </w:r>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exact"/>
        <w:ind w:firstLine="482" w:firstLineChars="200"/>
        <w:outlineLvl w:val="9"/>
        <w:rPr>
          <w:rFonts w:hint="eastAsia" w:ascii="宋体" w:hAnsi="宋体" w:eastAsia="宋体" w:cs="宋体"/>
          <w:b/>
          <w:bCs/>
          <w:color w:val="auto"/>
          <w:sz w:val="24"/>
          <w:szCs w:val="24"/>
          <w:highlight w:val="none"/>
        </w:rPr>
      </w:pPr>
      <w:bookmarkStart w:id="2294" w:name="_Toc11328"/>
      <w:bookmarkStart w:id="2295" w:name="_Toc27453"/>
      <w:bookmarkStart w:id="2296" w:name="_Toc16827"/>
      <w:bookmarkStart w:id="2297" w:name="_Toc26725"/>
      <w:bookmarkStart w:id="2298" w:name="_Toc7860"/>
      <w:bookmarkStart w:id="2299" w:name="_Toc10249"/>
      <w:bookmarkStart w:id="2300" w:name="_Toc8288"/>
      <w:bookmarkStart w:id="2301" w:name="_Toc18551"/>
      <w:bookmarkStart w:id="2302" w:name="_Toc25999"/>
      <w:bookmarkStart w:id="2303" w:name="_Toc25751"/>
      <w:bookmarkStart w:id="2304" w:name="_Toc21847"/>
      <w:bookmarkStart w:id="2305" w:name="_Toc26425"/>
      <w:bookmarkStart w:id="2306" w:name="_Toc30167"/>
      <w:bookmarkStart w:id="2307" w:name="_Toc11530"/>
      <w:bookmarkStart w:id="2308" w:name="_Toc5200"/>
      <w:bookmarkStart w:id="2309" w:name="_Toc31224"/>
      <w:bookmarkStart w:id="2310" w:name="_Toc21289"/>
      <w:bookmarkStart w:id="2311" w:name="_Toc30503"/>
      <w:bookmarkStart w:id="2312" w:name="_Toc13819"/>
      <w:bookmarkStart w:id="2313" w:name="_Toc122"/>
      <w:bookmarkStart w:id="2314" w:name="_Toc26067"/>
      <w:bookmarkStart w:id="2315" w:name="_Toc23081"/>
      <w:bookmarkStart w:id="2316" w:name="_Toc21267"/>
      <w:bookmarkStart w:id="2317" w:name="_Toc14045"/>
      <w:bookmarkStart w:id="2318" w:name="_Toc10326"/>
      <w:bookmarkStart w:id="2319" w:name="_Toc4873"/>
      <w:bookmarkStart w:id="2320" w:name="_Toc29383"/>
      <w:bookmarkStart w:id="2321" w:name="_Toc21231"/>
      <w:bookmarkStart w:id="2322" w:name="_Toc16190"/>
      <w:bookmarkStart w:id="2323" w:name="_Toc30477"/>
      <w:bookmarkStart w:id="2324" w:name="_Toc28998"/>
      <w:bookmarkStart w:id="2325" w:name="_Toc4779"/>
      <w:bookmarkStart w:id="2326" w:name="_Toc18231"/>
      <w:bookmarkStart w:id="2327" w:name="_Toc5556"/>
      <w:bookmarkStart w:id="2328" w:name="_Toc25676"/>
      <w:bookmarkStart w:id="2329" w:name="_Toc3156"/>
      <w:r>
        <w:rPr>
          <w:rFonts w:hint="eastAsia" w:ascii="宋体" w:hAnsi="宋体" w:eastAsia="宋体" w:cs="宋体"/>
          <w:b/>
          <w:bCs/>
          <w:color w:val="auto"/>
          <w:sz w:val="24"/>
          <w:szCs w:val="24"/>
          <w:highlight w:val="none"/>
        </w:rPr>
        <w:t>2.8 质量保证</w:t>
      </w:r>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2.8.1 乙方应建立和完善履行合同的内部质量保证体系，并提供相关内部规章制度给甲方，以便甲方进行监督检查；</w:t>
      </w:r>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2.8.2 乙方应保证履行合同的人员数量和素质、软件和硬件设备的配置、场地、环境和设施等满足全面履行合同的要求，并应接受甲方的监督检查。</w:t>
      </w:r>
    </w:p>
    <w:p>
      <w:pPr>
        <w:spacing w:line="360" w:lineRule="exact"/>
        <w:ind w:firstLine="482" w:firstLineChars="200"/>
        <w:outlineLvl w:val="9"/>
        <w:rPr>
          <w:rFonts w:hint="eastAsia" w:ascii="宋体" w:hAnsi="宋体" w:eastAsia="宋体" w:cs="宋体"/>
          <w:b/>
          <w:bCs/>
          <w:color w:val="auto"/>
          <w:sz w:val="24"/>
          <w:szCs w:val="24"/>
          <w:highlight w:val="none"/>
        </w:rPr>
      </w:pPr>
      <w:bookmarkStart w:id="2330" w:name="_Toc17244"/>
      <w:bookmarkStart w:id="2331" w:name="_Toc2241"/>
      <w:bookmarkStart w:id="2332" w:name="_Toc26555"/>
      <w:bookmarkStart w:id="2333" w:name="_Toc14663"/>
      <w:bookmarkStart w:id="2334" w:name="_Toc3300"/>
      <w:bookmarkStart w:id="2335" w:name="_Toc12010"/>
      <w:bookmarkStart w:id="2336" w:name="_Toc14596"/>
      <w:bookmarkStart w:id="2337" w:name="_Toc31920"/>
      <w:bookmarkStart w:id="2338" w:name="_Toc28147"/>
      <w:bookmarkStart w:id="2339" w:name="_Toc11638"/>
      <w:bookmarkStart w:id="2340" w:name="_Toc12408"/>
      <w:bookmarkStart w:id="2341" w:name="_Toc15929"/>
      <w:bookmarkStart w:id="2342" w:name="_Toc30593"/>
      <w:bookmarkStart w:id="2343" w:name="_Toc12966"/>
      <w:bookmarkStart w:id="2344" w:name="_Toc22016"/>
      <w:bookmarkStart w:id="2345" w:name="_Toc25101"/>
      <w:bookmarkStart w:id="2346" w:name="_Toc20506"/>
      <w:bookmarkStart w:id="2347" w:name="_Toc812"/>
      <w:bookmarkStart w:id="2348" w:name="_Toc2501"/>
      <w:bookmarkStart w:id="2349" w:name="_Toc15163"/>
      <w:bookmarkStart w:id="2350" w:name="_Toc20021"/>
      <w:bookmarkStart w:id="2351" w:name="_Toc10571"/>
      <w:bookmarkStart w:id="2352" w:name="_Toc25529"/>
      <w:bookmarkStart w:id="2353" w:name="_Toc28753"/>
      <w:bookmarkStart w:id="2354" w:name="_Toc15408"/>
      <w:bookmarkStart w:id="2355" w:name="_Toc18046"/>
      <w:bookmarkStart w:id="2356" w:name="_Toc17030"/>
      <w:bookmarkStart w:id="2357" w:name="_Toc5808"/>
      <w:bookmarkStart w:id="2358" w:name="_Toc11176"/>
      <w:bookmarkStart w:id="2359" w:name="_Toc17497"/>
      <w:bookmarkStart w:id="2360" w:name="_Toc27238"/>
      <w:bookmarkStart w:id="2361" w:name="_Toc23172"/>
      <w:bookmarkStart w:id="2362" w:name="_Toc27234"/>
      <w:bookmarkStart w:id="2363" w:name="_Toc27381"/>
      <w:bookmarkStart w:id="2364" w:name="_Toc18729"/>
      <w:bookmarkStart w:id="2365" w:name="_Toc13812"/>
      <w:bookmarkStart w:id="2366" w:name="_Toc259093681"/>
      <w:bookmarkStart w:id="2367" w:name="_Toc279701252"/>
      <w:bookmarkStart w:id="2368" w:name="_Toc487900362"/>
      <w:r>
        <w:rPr>
          <w:rFonts w:hint="eastAsia" w:ascii="宋体" w:hAnsi="宋体" w:eastAsia="宋体" w:cs="宋体"/>
          <w:b/>
          <w:bCs/>
          <w:color w:val="auto"/>
          <w:sz w:val="24"/>
          <w:szCs w:val="24"/>
          <w:highlight w:val="none"/>
        </w:rPr>
        <w:t>2.9 货物的风险负担</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p>
    <w:p>
      <w:pPr>
        <w:spacing w:line="360" w:lineRule="exact"/>
        <w:ind w:firstLine="480" w:firstLineChars="200"/>
        <w:outlineLvl w:val="9"/>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货物或者在途货物或者交付给第一承运人后的货物毁损、灭失的风险负担详见</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w:t>
      </w:r>
    </w:p>
    <w:p>
      <w:pPr>
        <w:spacing w:line="360" w:lineRule="exact"/>
        <w:ind w:firstLine="482" w:firstLineChars="200"/>
        <w:outlineLvl w:val="9"/>
        <w:rPr>
          <w:rFonts w:hint="eastAsia" w:ascii="宋体" w:hAnsi="宋体" w:eastAsia="宋体" w:cs="宋体"/>
          <w:b/>
          <w:bCs/>
          <w:color w:val="auto"/>
          <w:sz w:val="24"/>
          <w:szCs w:val="24"/>
          <w:highlight w:val="none"/>
        </w:rPr>
      </w:pPr>
      <w:bookmarkStart w:id="2369" w:name="_Toc15112"/>
      <w:bookmarkStart w:id="2370" w:name="_Toc1299"/>
      <w:bookmarkStart w:id="2371" w:name="_Toc16001"/>
      <w:bookmarkStart w:id="2372" w:name="_Toc17555"/>
      <w:bookmarkStart w:id="2373" w:name="_Toc6602"/>
      <w:bookmarkStart w:id="2374" w:name="_Toc15465"/>
      <w:bookmarkStart w:id="2375" w:name="_Toc29192"/>
      <w:bookmarkStart w:id="2376" w:name="_Toc19684"/>
      <w:bookmarkStart w:id="2377" w:name="_Toc7986"/>
      <w:bookmarkStart w:id="2378" w:name="_Toc26236"/>
      <w:bookmarkStart w:id="2379" w:name="_Toc12464"/>
      <w:bookmarkStart w:id="2380" w:name="_Toc20938"/>
      <w:bookmarkStart w:id="2381" w:name="_Toc9236"/>
      <w:bookmarkStart w:id="2382" w:name="_Toc20457"/>
      <w:bookmarkStart w:id="2383" w:name="_Toc31334"/>
      <w:bookmarkStart w:id="2384" w:name="_Toc1494"/>
      <w:bookmarkStart w:id="2385" w:name="_Toc23732"/>
      <w:bookmarkStart w:id="2386" w:name="_Toc2"/>
      <w:bookmarkStart w:id="2387" w:name="_Toc25663"/>
      <w:bookmarkStart w:id="2388" w:name="_Toc15972"/>
      <w:bookmarkStart w:id="2389" w:name="_Toc6054"/>
      <w:bookmarkStart w:id="2390" w:name="_Toc27988"/>
      <w:bookmarkStart w:id="2391" w:name="_Toc10918"/>
      <w:bookmarkStart w:id="2392" w:name="_Toc19541"/>
      <w:bookmarkStart w:id="2393" w:name="_Toc18952"/>
      <w:bookmarkStart w:id="2394" w:name="_Toc11963"/>
      <w:bookmarkStart w:id="2395" w:name="_Toc23512"/>
      <w:bookmarkStart w:id="2396" w:name="_Toc26567"/>
      <w:bookmarkStart w:id="2397" w:name="_Toc5196"/>
      <w:bookmarkStart w:id="2398" w:name="_Toc22674"/>
      <w:bookmarkStart w:id="2399" w:name="_Toc29837"/>
      <w:bookmarkStart w:id="2400" w:name="_Toc3191"/>
      <w:bookmarkStart w:id="2401" w:name="_Toc1108"/>
      <w:bookmarkStart w:id="2402" w:name="_Toc14055"/>
      <w:bookmarkStart w:id="2403" w:name="_Toc14698"/>
      <w:bookmarkStart w:id="2404" w:name="_Toc21842"/>
      <w:bookmarkStart w:id="2405" w:name="_Toc25095"/>
      <w:r>
        <w:rPr>
          <w:rFonts w:hint="eastAsia" w:ascii="宋体" w:hAnsi="宋体" w:eastAsia="宋体" w:cs="宋体"/>
          <w:b/>
          <w:bCs/>
          <w:color w:val="auto"/>
          <w:sz w:val="24"/>
          <w:szCs w:val="24"/>
          <w:highlight w:val="none"/>
        </w:rPr>
        <w:t>2.10 延迟交货</w:t>
      </w:r>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exact"/>
        <w:ind w:firstLine="482" w:firstLineChars="200"/>
        <w:outlineLvl w:val="9"/>
        <w:rPr>
          <w:rFonts w:hint="eastAsia" w:ascii="宋体" w:hAnsi="宋体" w:eastAsia="宋体" w:cs="宋体"/>
          <w:b/>
          <w:bCs/>
          <w:color w:val="auto"/>
          <w:sz w:val="24"/>
          <w:szCs w:val="24"/>
          <w:highlight w:val="none"/>
        </w:rPr>
      </w:pPr>
      <w:bookmarkStart w:id="2406" w:name="_Toc10956"/>
      <w:bookmarkStart w:id="2407" w:name="_Toc29075"/>
      <w:bookmarkStart w:id="2408" w:name="_Toc15143"/>
      <w:bookmarkStart w:id="2409" w:name="_Toc2860"/>
      <w:bookmarkStart w:id="2410" w:name="_Toc25592"/>
      <w:bookmarkStart w:id="2411" w:name="_Toc14851"/>
      <w:bookmarkStart w:id="2412" w:name="_Toc28850"/>
      <w:bookmarkStart w:id="2413" w:name="_Toc8441"/>
      <w:bookmarkStart w:id="2414" w:name="_Toc24683"/>
      <w:bookmarkStart w:id="2415" w:name="_Toc17237"/>
      <w:bookmarkStart w:id="2416" w:name="_Toc8126"/>
      <w:bookmarkStart w:id="2417" w:name="_Toc9706"/>
      <w:bookmarkStart w:id="2418" w:name="_Toc4586"/>
      <w:bookmarkStart w:id="2419" w:name="_Toc28327"/>
      <w:bookmarkStart w:id="2420" w:name="_Toc6627"/>
      <w:bookmarkStart w:id="2421" w:name="_Toc507"/>
      <w:bookmarkStart w:id="2422" w:name="_Toc16810"/>
      <w:bookmarkStart w:id="2423" w:name="_Toc23198"/>
      <w:bookmarkStart w:id="2424" w:name="_Toc31403"/>
      <w:bookmarkStart w:id="2425" w:name="_Toc31555"/>
      <w:bookmarkStart w:id="2426" w:name="_Toc29666"/>
      <w:bookmarkStart w:id="2427" w:name="_Toc26433"/>
      <w:bookmarkStart w:id="2428" w:name="_Toc5999"/>
      <w:bookmarkStart w:id="2429" w:name="_Toc25717"/>
      <w:bookmarkStart w:id="2430" w:name="_Toc12175"/>
      <w:bookmarkStart w:id="2431" w:name="_Toc16528"/>
      <w:bookmarkStart w:id="2432" w:name="_Toc13215"/>
      <w:bookmarkStart w:id="2433" w:name="_Toc18704"/>
      <w:bookmarkStart w:id="2434" w:name="_Toc7444"/>
      <w:bookmarkStart w:id="2435" w:name="_Toc16267"/>
      <w:bookmarkStart w:id="2436" w:name="_Toc21173"/>
      <w:bookmarkStart w:id="2437" w:name="_Toc2323"/>
      <w:bookmarkStart w:id="2438" w:name="_Toc9194"/>
      <w:bookmarkStart w:id="2439" w:name="_Toc3064"/>
      <w:bookmarkStart w:id="2440" w:name="_Toc7502"/>
      <w:bookmarkStart w:id="2441" w:name="_Toc21616"/>
      <w:bookmarkStart w:id="2442" w:name="_Toc279701254"/>
      <w:bookmarkStart w:id="2443" w:name="_Toc487900364"/>
      <w:bookmarkStart w:id="2444" w:name="_Toc259093683"/>
      <w:bookmarkStart w:id="2445" w:name="_Ref467378121"/>
      <w:r>
        <w:rPr>
          <w:rFonts w:hint="eastAsia" w:ascii="宋体" w:hAnsi="宋体" w:eastAsia="宋体" w:cs="宋体"/>
          <w:b/>
          <w:bCs/>
          <w:color w:val="auto"/>
          <w:sz w:val="24"/>
          <w:szCs w:val="24"/>
          <w:highlight w:val="none"/>
        </w:rPr>
        <w:t>2.11 合同变更</w:t>
      </w:r>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2.11.2 合同继续履行将损害国家利益和社会公共利益的，双方当事人应当以书面形式变更合同。有过错的一方应当承担赔偿责任，双方当事人都有过错的，各自承担相应的责任。</w:t>
      </w:r>
      <w:bookmarkStart w:id="2446" w:name="_Toc259093688"/>
      <w:bookmarkStart w:id="2447" w:name="_Toc487900369"/>
      <w:bookmarkStart w:id="2448" w:name="_Toc279701259"/>
    </w:p>
    <w:p>
      <w:pPr>
        <w:spacing w:line="360" w:lineRule="exact"/>
        <w:ind w:firstLine="482" w:firstLineChars="200"/>
        <w:outlineLvl w:val="9"/>
        <w:rPr>
          <w:rFonts w:hint="eastAsia" w:ascii="宋体" w:hAnsi="宋体" w:eastAsia="宋体" w:cs="宋体"/>
          <w:b/>
          <w:bCs/>
          <w:color w:val="auto"/>
          <w:sz w:val="24"/>
          <w:szCs w:val="24"/>
          <w:highlight w:val="none"/>
        </w:rPr>
      </w:pPr>
      <w:bookmarkStart w:id="2449" w:name="_Toc4789"/>
      <w:bookmarkStart w:id="2450" w:name="_Toc32581"/>
      <w:bookmarkStart w:id="2451" w:name="_Toc27772"/>
      <w:bookmarkStart w:id="2452" w:name="_Toc18254"/>
      <w:bookmarkStart w:id="2453" w:name="_Toc2157"/>
      <w:bookmarkStart w:id="2454" w:name="_Toc6176"/>
      <w:bookmarkStart w:id="2455" w:name="_Toc23779"/>
      <w:bookmarkStart w:id="2456" w:name="_Toc3931"/>
      <w:bookmarkStart w:id="2457" w:name="_Toc22955"/>
      <w:bookmarkStart w:id="2458" w:name="_Toc3825"/>
      <w:bookmarkStart w:id="2459" w:name="_Toc25498"/>
      <w:bookmarkStart w:id="2460" w:name="_Toc20978"/>
      <w:bookmarkStart w:id="2461" w:name="_Toc26224"/>
      <w:bookmarkStart w:id="2462" w:name="_Toc9543"/>
      <w:bookmarkStart w:id="2463" w:name="_Toc21753"/>
      <w:bookmarkStart w:id="2464" w:name="_Toc25508"/>
      <w:bookmarkStart w:id="2465" w:name="_Toc1813"/>
      <w:bookmarkStart w:id="2466" w:name="_Toc26553"/>
      <w:bookmarkStart w:id="2467" w:name="_Toc11626"/>
      <w:bookmarkStart w:id="2468" w:name="_Toc15237"/>
      <w:bookmarkStart w:id="2469" w:name="_Toc14895"/>
      <w:bookmarkStart w:id="2470" w:name="_Toc18316"/>
      <w:bookmarkStart w:id="2471" w:name="_Toc19380"/>
      <w:bookmarkStart w:id="2472" w:name="_Toc6051"/>
      <w:bookmarkStart w:id="2473" w:name="_Toc23079"/>
      <w:bookmarkStart w:id="2474" w:name="_Toc22645"/>
      <w:bookmarkStart w:id="2475" w:name="_Toc3928"/>
      <w:bookmarkStart w:id="2476" w:name="_Toc10313"/>
      <w:bookmarkStart w:id="2477" w:name="_Toc8679"/>
      <w:bookmarkStart w:id="2478" w:name="_Toc6334"/>
      <w:bookmarkStart w:id="2479" w:name="_Toc3484"/>
      <w:bookmarkStart w:id="2480" w:name="_Toc10537"/>
      <w:bookmarkStart w:id="2481" w:name="_Toc30957"/>
      <w:bookmarkStart w:id="2482" w:name="_Toc32309"/>
      <w:bookmarkStart w:id="2483" w:name="_Toc24511"/>
      <w:bookmarkStart w:id="2484" w:name="_Toc26864"/>
      <w:bookmarkStart w:id="2485" w:name="_Toc20836"/>
      <w:r>
        <w:rPr>
          <w:rFonts w:hint="eastAsia" w:ascii="宋体" w:hAnsi="宋体" w:eastAsia="宋体" w:cs="宋体"/>
          <w:b/>
          <w:bCs/>
          <w:color w:val="auto"/>
          <w:sz w:val="24"/>
          <w:szCs w:val="24"/>
          <w:highlight w:val="none"/>
        </w:rPr>
        <w:t>2.12 合同转让</w:t>
      </w:r>
      <w:bookmarkEnd w:id="2446"/>
      <w:bookmarkEnd w:id="2447"/>
      <w:bookmarkEnd w:id="2448"/>
      <w:r>
        <w:rPr>
          <w:rFonts w:hint="eastAsia" w:ascii="宋体" w:hAnsi="宋体" w:eastAsia="宋体" w:cs="宋体"/>
          <w:b/>
          <w:bCs/>
          <w:color w:val="auto"/>
          <w:sz w:val="24"/>
          <w:szCs w:val="24"/>
          <w:highlight w:val="none"/>
        </w:rPr>
        <w:t>和分包</w:t>
      </w:r>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exact"/>
        <w:ind w:firstLine="482" w:firstLineChars="200"/>
        <w:outlineLvl w:val="9"/>
        <w:rPr>
          <w:rFonts w:hint="eastAsia" w:ascii="宋体" w:hAnsi="宋体" w:eastAsia="宋体" w:cs="宋体"/>
          <w:b/>
          <w:bCs/>
          <w:color w:val="auto"/>
          <w:sz w:val="24"/>
          <w:szCs w:val="24"/>
          <w:highlight w:val="none"/>
        </w:rPr>
      </w:pPr>
      <w:bookmarkStart w:id="2486" w:name="_Toc14063"/>
      <w:bookmarkStart w:id="2487" w:name="_Toc3533"/>
      <w:bookmarkStart w:id="2488" w:name="_Toc11104"/>
      <w:bookmarkStart w:id="2489" w:name="_Toc22326"/>
      <w:bookmarkStart w:id="2490" w:name="_Toc24741"/>
      <w:bookmarkStart w:id="2491" w:name="_Toc14564"/>
      <w:bookmarkStart w:id="2492" w:name="_Toc8114"/>
      <w:bookmarkStart w:id="2493" w:name="_Toc7608"/>
      <w:bookmarkStart w:id="2494" w:name="_Toc14752"/>
      <w:bookmarkStart w:id="2495" w:name="_Toc14066"/>
      <w:bookmarkStart w:id="2496" w:name="_Toc219"/>
      <w:bookmarkStart w:id="2497" w:name="_Toc20647"/>
      <w:bookmarkStart w:id="2498" w:name="_Toc9493"/>
      <w:bookmarkStart w:id="2499" w:name="_Toc32515"/>
      <w:bookmarkStart w:id="2500" w:name="_Toc32426"/>
      <w:bookmarkStart w:id="2501" w:name="_Toc10863"/>
      <w:bookmarkStart w:id="2502" w:name="_Toc15741"/>
      <w:bookmarkStart w:id="2503" w:name="_Toc12165"/>
      <w:bookmarkStart w:id="2504" w:name="_Toc16508"/>
      <w:bookmarkStart w:id="2505" w:name="_Toc2586"/>
      <w:bookmarkStart w:id="2506" w:name="_Toc19750"/>
      <w:bookmarkStart w:id="2507" w:name="_Toc17498"/>
      <w:bookmarkStart w:id="2508" w:name="_Toc13557"/>
      <w:bookmarkStart w:id="2509" w:name="_Toc13184"/>
      <w:bookmarkStart w:id="2510" w:name="_Toc12809"/>
      <w:bookmarkStart w:id="2511" w:name="_Toc4540"/>
      <w:bookmarkStart w:id="2512" w:name="_Toc9374"/>
      <w:bookmarkStart w:id="2513" w:name="_Toc5484"/>
      <w:bookmarkStart w:id="2514" w:name="_Toc29366"/>
      <w:bookmarkStart w:id="2515" w:name="_Toc22232"/>
      <w:bookmarkStart w:id="2516" w:name="_Toc134"/>
      <w:bookmarkStart w:id="2517" w:name="_Toc31984"/>
      <w:bookmarkStart w:id="2518" w:name="_Toc13022"/>
      <w:bookmarkStart w:id="2519" w:name="_Toc16893"/>
      <w:bookmarkStart w:id="2520" w:name="_Toc3177"/>
      <w:bookmarkStart w:id="2521" w:name="_Toc24457"/>
      <w:bookmarkStart w:id="2522" w:name="_Toc9855"/>
      <w:r>
        <w:rPr>
          <w:rFonts w:hint="eastAsia" w:ascii="宋体" w:hAnsi="宋体" w:eastAsia="宋体" w:cs="宋体"/>
          <w:b/>
          <w:bCs/>
          <w:color w:val="auto"/>
          <w:sz w:val="24"/>
          <w:szCs w:val="24"/>
          <w:highlight w:val="none"/>
        </w:rPr>
        <w:t>2.13 不可抗力</w:t>
      </w:r>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2.13.1如果任何一方遭遇法律规定的不可抗力，致使合同履行受阻时，履行合同的期限应予延长，延长的期限应相当于不可抗力所影响的时间；</w:t>
      </w:r>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2.13.2 因不可抗力致使不能实现合同目的的，当事人可以解除合同；</w:t>
      </w:r>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2.13.3 因不可抗力致使合同有变更必要的，双方当事人应在</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约定时间内以书面形式变更合同；</w:t>
      </w:r>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2.13.4受不可抗力影响的一方在不可抗力发生后，应在</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约定时间内以书面形式通知对方当事人，并在</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约定时间内，将有关部门出具的证明文件送达对方当事人。</w:t>
      </w:r>
    </w:p>
    <w:p>
      <w:pPr>
        <w:spacing w:line="360" w:lineRule="exact"/>
        <w:ind w:firstLine="482" w:firstLineChars="200"/>
        <w:outlineLvl w:val="9"/>
        <w:rPr>
          <w:rFonts w:hint="eastAsia" w:ascii="宋体" w:hAnsi="宋体" w:eastAsia="宋体" w:cs="宋体"/>
          <w:b/>
          <w:bCs/>
          <w:color w:val="auto"/>
          <w:sz w:val="24"/>
          <w:szCs w:val="24"/>
          <w:highlight w:val="none"/>
        </w:rPr>
      </w:pPr>
      <w:bookmarkStart w:id="2523" w:name="_Toc26085"/>
      <w:bookmarkStart w:id="2524" w:name="_Toc5884"/>
      <w:bookmarkStart w:id="2525" w:name="_Toc7145"/>
      <w:bookmarkStart w:id="2526" w:name="_Toc8460"/>
      <w:bookmarkStart w:id="2527" w:name="_Toc25124"/>
      <w:bookmarkStart w:id="2528" w:name="_Toc11876"/>
      <w:bookmarkStart w:id="2529" w:name="_Toc487900365"/>
      <w:bookmarkStart w:id="2530" w:name="_Toc13910"/>
      <w:bookmarkStart w:id="2531" w:name="_Toc32764"/>
      <w:bookmarkStart w:id="2532" w:name="_Toc689"/>
      <w:bookmarkStart w:id="2533" w:name="_Toc22873"/>
      <w:bookmarkStart w:id="2534" w:name="_Toc20688"/>
      <w:bookmarkStart w:id="2535" w:name="_Toc14748"/>
      <w:bookmarkStart w:id="2536" w:name="_Toc279701255"/>
      <w:bookmarkStart w:id="2537" w:name="_Toc21260"/>
      <w:bookmarkStart w:id="2538" w:name="_Toc6288"/>
      <w:bookmarkStart w:id="2539" w:name="_Toc28117"/>
      <w:bookmarkStart w:id="2540" w:name="_Toc16229"/>
      <w:bookmarkStart w:id="2541" w:name="_Toc7175"/>
      <w:bookmarkStart w:id="2542" w:name="_Toc4006"/>
      <w:bookmarkStart w:id="2543" w:name="_Toc2511"/>
      <w:bookmarkStart w:id="2544" w:name="_Toc17299"/>
      <w:bookmarkStart w:id="2545" w:name="_Toc30676"/>
      <w:bookmarkStart w:id="2546" w:name="_Toc8016"/>
      <w:bookmarkStart w:id="2547" w:name="_Toc5015"/>
      <w:bookmarkStart w:id="2548" w:name="_Toc6969"/>
      <w:bookmarkStart w:id="2549" w:name="_Toc11423"/>
      <w:bookmarkStart w:id="2550" w:name="_Toc12959"/>
      <w:bookmarkStart w:id="2551" w:name="_Toc1584"/>
      <w:bookmarkStart w:id="2552" w:name="_Toc32452"/>
      <w:bookmarkStart w:id="2553" w:name="_Toc14303"/>
      <w:bookmarkStart w:id="2554" w:name="_Toc10528"/>
      <w:bookmarkStart w:id="2555" w:name="_Toc6047"/>
      <w:bookmarkStart w:id="2556" w:name="_Toc18785"/>
      <w:bookmarkStart w:id="2557" w:name="_Toc28340"/>
      <w:bookmarkStart w:id="2558" w:name="_Toc6676"/>
      <w:bookmarkStart w:id="2559" w:name="_Toc7785"/>
      <w:bookmarkStart w:id="2560" w:name="_Toc259093684"/>
      <w:bookmarkStart w:id="2561" w:name="_Toc19677"/>
      <w:bookmarkStart w:id="2562" w:name="_Toc6308"/>
      <w:bookmarkStart w:id="2563" w:name="_Toc31597"/>
      <w:r>
        <w:rPr>
          <w:rFonts w:hint="eastAsia" w:ascii="宋体" w:hAnsi="宋体" w:eastAsia="宋体" w:cs="宋体"/>
          <w:b/>
          <w:bCs/>
          <w:color w:val="auto"/>
          <w:sz w:val="24"/>
          <w:szCs w:val="24"/>
          <w:highlight w:val="none"/>
        </w:rPr>
        <w:t>2.14 税费</w:t>
      </w:r>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与合同有关的一切税费，均按照中华人民共和国法律的相关规定。</w:t>
      </w:r>
    </w:p>
    <w:p>
      <w:pPr>
        <w:spacing w:line="360" w:lineRule="exact"/>
        <w:ind w:firstLine="482" w:firstLineChars="200"/>
        <w:outlineLvl w:val="9"/>
        <w:rPr>
          <w:rFonts w:hint="eastAsia" w:ascii="宋体" w:hAnsi="宋体" w:eastAsia="宋体" w:cs="宋体"/>
          <w:b/>
          <w:bCs/>
          <w:color w:val="auto"/>
          <w:sz w:val="24"/>
          <w:szCs w:val="24"/>
          <w:highlight w:val="none"/>
        </w:rPr>
      </w:pPr>
      <w:bookmarkStart w:id="2564" w:name="_Toc10359"/>
      <w:bookmarkStart w:id="2565" w:name="_Toc14403"/>
      <w:bookmarkStart w:id="2566" w:name="_Toc12356"/>
      <w:bookmarkStart w:id="2567" w:name="_Toc487900368"/>
      <w:bookmarkStart w:id="2568" w:name="_Toc14463"/>
      <w:bookmarkStart w:id="2569" w:name="_Toc7102"/>
      <w:bookmarkStart w:id="2570" w:name="_Toc27541"/>
      <w:bookmarkStart w:id="2571" w:name="_Toc7572"/>
      <w:bookmarkStart w:id="2572" w:name="_Toc3611"/>
      <w:bookmarkStart w:id="2573" w:name="_Toc5733"/>
      <w:bookmarkStart w:id="2574" w:name="_Toc29869"/>
      <w:bookmarkStart w:id="2575" w:name="_Toc27950"/>
      <w:bookmarkStart w:id="2576" w:name="_Toc4812"/>
      <w:bookmarkStart w:id="2577" w:name="_Toc9909"/>
      <w:bookmarkStart w:id="2578" w:name="_Toc15527"/>
      <w:bookmarkStart w:id="2579" w:name="_Toc13626"/>
      <w:bookmarkStart w:id="2580" w:name="_Toc13488"/>
      <w:bookmarkStart w:id="2581" w:name="_Toc22239"/>
      <w:bookmarkStart w:id="2582" w:name="_Toc23266"/>
      <w:bookmarkStart w:id="2583" w:name="_Toc16959"/>
      <w:bookmarkStart w:id="2584" w:name="_Toc20594"/>
      <w:bookmarkStart w:id="2585" w:name="_Toc12141"/>
      <w:bookmarkStart w:id="2586" w:name="_Toc25055"/>
      <w:bookmarkStart w:id="2587" w:name="_Toc29993"/>
      <w:bookmarkStart w:id="2588" w:name="_Toc8420"/>
      <w:bookmarkStart w:id="2589" w:name="_Toc8298"/>
      <w:bookmarkStart w:id="2590" w:name="_Toc8934"/>
      <w:bookmarkStart w:id="2591" w:name="_Toc3172"/>
      <w:bookmarkStart w:id="2592" w:name="_Toc24701"/>
      <w:bookmarkStart w:id="2593" w:name="_Toc17523"/>
      <w:bookmarkStart w:id="2594" w:name="_Toc279701258"/>
      <w:bookmarkStart w:id="2595" w:name="_Toc7117"/>
      <w:bookmarkStart w:id="2596" w:name="_Toc7999"/>
      <w:bookmarkStart w:id="2597" w:name="_Toc20395"/>
      <w:bookmarkStart w:id="2598" w:name="_Toc25260"/>
      <w:bookmarkStart w:id="2599" w:name="_Toc21290"/>
      <w:bookmarkStart w:id="2600" w:name="_Toc259093687"/>
      <w:bookmarkStart w:id="2601" w:name="_Toc21332"/>
      <w:bookmarkStart w:id="2602" w:name="_Toc11308"/>
      <w:bookmarkStart w:id="2603" w:name="_Toc24862"/>
      <w:r>
        <w:rPr>
          <w:rFonts w:hint="eastAsia" w:ascii="宋体" w:hAnsi="宋体" w:eastAsia="宋体" w:cs="宋体"/>
          <w:b/>
          <w:bCs/>
          <w:color w:val="auto"/>
          <w:sz w:val="24"/>
          <w:szCs w:val="24"/>
          <w:highlight w:val="none"/>
        </w:rPr>
        <w:t>2.15 乙方破产</w:t>
      </w:r>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exact"/>
        <w:ind w:firstLine="482" w:firstLineChars="200"/>
        <w:outlineLvl w:val="9"/>
        <w:rPr>
          <w:rFonts w:hint="eastAsia" w:ascii="宋体" w:hAnsi="宋体" w:eastAsia="宋体" w:cs="宋体"/>
          <w:b/>
          <w:bCs/>
          <w:color w:val="auto"/>
          <w:sz w:val="24"/>
          <w:szCs w:val="24"/>
          <w:highlight w:val="none"/>
        </w:rPr>
      </w:pPr>
      <w:bookmarkStart w:id="2604" w:name="_Toc12781"/>
      <w:bookmarkStart w:id="2605" w:name="_Toc26255"/>
      <w:bookmarkStart w:id="2606" w:name="_Toc30362"/>
      <w:bookmarkStart w:id="2607" w:name="_Toc25273"/>
      <w:bookmarkStart w:id="2608" w:name="_Toc24976"/>
      <w:bookmarkStart w:id="2609" w:name="_Toc13706"/>
      <w:bookmarkStart w:id="2610" w:name="_Toc26083"/>
      <w:bookmarkStart w:id="2611" w:name="_Toc27106"/>
      <w:bookmarkStart w:id="2612" w:name="_Toc9318"/>
      <w:bookmarkStart w:id="2613" w:name="_Toc16840"/>
      <w:bookmarkStart w:id="2614" w:name="_Toc818"/>
      <w:bookmarkStart w:id="2615" w:name="_Toc2978"/>
      <w:bookmarkStart w:id="2616" w:name="_Toc15387"/>
      <w:bookmarkStart w:id="2617" w:name="_Toc12113"/>
      <w:bookmarkStart w:id="2618" w:name="_Toc3039"/>
      <w:bookmarkStart w:id="2619" w:name="_Toc1942"/>
      <w:bookmarkStart w:id="2620" w:name="_Toc29764"/>
      <w:bookmarkStart w:id="2621" w:name="_Toc15445"/>
      <w:bookmarkStart w:id="2622" w:name="_Toc1970"/>
      <w:bookmarkStart w:id="2623" w:name="_Toc29333"/>
      <w:bookmarkStart w:id="2624" w:name="_Toc6134"/>
      <w:bookmarkStart w:id="2625" w:name="_Toc23040"/>
      <w:bookmarkStart w:id="2626" w:name="_Toc5634"/>
      <w:bookmarkStart w:id="2627" w:name="_Toc1303"/>
      <w:bookmarkStart w:id="2628" w:name="_Toc9361"/>
      <w:bookmarkStart w:id="2629" w:name="_Toc11435"/>
      <w:bookmarkStart w:id="2630" w:name="_Toc110"/>
      <w:bookmarkStart w:id="2631" w:name="_Toc24066"/>
      <w:bookmarkStart w:id="2632" w:name="_Toc11812"/>
      <w:bookmarkStart w:id="2633" w:name="_Toc12606"/>
      <w:bookmarkStart w:id="2634" w:name="_Toc12567"/>
      <w:bookmarkStart w:id="2635" w:name="_Toc24867"/>
      <w:bookmarkStart w:id="2636" w:name="_Toc32508"/>
      <w:bookmarkStart w:id="2637" w:name="_Toc11521"/>
      <w:bookmarkStart w:id="2638" w:name="_Toc31639"/>
      <w:bookmarkStart w:id="2639" w:name="_Toc7009"/>
      <w:bookmarkStart w:id="2640" w:name="_Toc4013"/>
      <w:bookmarkStart w:id="2641" w:name="_Toc4227"/>
      <w:bookmarkStart w:id="2642" w:name="_Toc15605"/>
      <w:r>
        <w:rPr>
          <w:rFonts w:hint="eastAsia" w:ascii="宋体" w:hAnsi="宋体" w:eastAsia="宋体" w:cs="宋体"/>
          <w:b/>
          <w:bCs/>
          <w:color w:val="auto"/>
          <w:sz w:val="24"/>
          <w:szCs w:val="24"/>
          <w:highlight w:val="none"/>
        </w:rPr>
        <w:t>2.16 合同中止、终止</w:t>
      </w:r>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2.16.1 双方当事人不得擅自中止或者终止合同；</w:t>
      </w:r>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2.16.2合同继续履行将损害国家利益和社会公共利益的，双方当事人应当中止或者终止合同。有过错的一方应当承担赔偿责任，双方当事人都有过错的，各自承担相应的责任。</w:t>
      </w:r>
    </w:p>
    <w:p>
      <w:pPr>
        <w:spacing w:line="360" w:lineRule="exact"/>
        <w:ind w:firstLine="482" w:firstLineChars="200"/>
        <w:outlineLvl w:val="9"/>
        <w:rPr>
          <w:rFonts w:hint="eastAsia" w:ascii="宋体" w:hAnsi="宋体" w:eastAsia="宋体" w:cs="宋体"/>
          <w:b/>
          <w:bCs/>
          <w:color w:val="auto"/>
          <w:sz w:val="24"/>
          <w:szCs w:val="24"/>
          <w:highlight w:val="none"/>
        </w:rPr>
      </w:pPr>
      <w:bookmarkStart w:id="2643" w:name="_Toc1125"/>
      <w:bookmarkStart w:id="2644" w:name="_Toc30958"/>
      <w:bookmarkStart w:id="2645" w:name="_Toc21194"/>
      <w:bookmarkStart w:id="2646" w:name="_Toc13848"/>
      <w:bookmarkStart w:id="2647" w:name="_Toc4111"/>
      <w:bookmarkStart w:id="2648" w:name="_Toc9310"/>
      <w:bookmarkStart w:id="2649" w:name="_Toc21636"/>
      <w:bookmarkStart w:id="2650" w:name="_Toc13316"/>
      <w:bookmarkStart w:id="2651" w:name="_Toc25710"/>
      <w:bookmarkStart w:id="2652" w:name="_Toc11074"/>
      <w:bookmarkStart w:id="2653" w:name="_Toc19755"/>
      <w:bookmarkStart w:id="2654" w:name="_Toc6596"/>
      <w:bookmarkStart w:id="2655" w:name="_Toc7243"/>
      <w:bookmarkStart w:id="2656" w:name="_Toc29926"/>
      <w:bookmarkStart w:id="2657" w:name="_Toc25149"/>
      <w:bookmarkStart w:id="2658" w:name="_Toc30476"/>
      <w:bookmarkStart w:id="2659" w:name="_Toc22335"/>
      <w:bookmarkStart w:id="2660" w:name="_Toc3441"/>
      <w:bookmarkStart w:id="2661" w:name="_Toc20145"/>
      <w:bookmarkStart w:id="2662" w:name="_Toc13669"/>
      <w:bookmarkStart w:id="2663" w:name="_Toc31577"/>
      <w:bookmarkStart w:id="2664" w:name="_Toc14563"/>
      <w:bookmarkStart w:id="2665" w:name="_Toc11995"/>
      <w:bookmarkStart w:id="2666" w:name="_Toc24481"/>
      <w:bookmarkStart w:id="2667" w:name="_Toc6704"/>
      <w:bookmarkStart w:id="2668" w:name="_Toc30133"/>
      <w:bookmarkStart w:id="2669" w:name="_Toc25358"/>
      <w:bookmarkStart w:id="2670" w:name="_Toc25230"/>
      <w:bookmarkStart w:id="2671" w:name="_Toc28047"/>
      <w:bookmarkStart w:id="2672" w:name="_Toc14890"/>
      <w:bookmarkStart w:id="2673" w:name="_Toc11352"/>
      <w:bookmarkStart w:id="2674" w:name="_Toc11658"/>
      <w:bookmarkStart w:id="2675" w:name="_Toc28303"/>
      <w:bookmarkStart w:id="2676" w:name="_Toc13150"/>
      <w:bookmarkStart w:id="2677" w:name="_Toc24731"/>
      <w:bookmarkStart w:id="2678" w:name="_Toc12595"/>
      <w:bookmarkStart w:id="2679" w:name="_Toc27311"/>
      <w:bookmarkStart w:id="2680" w:name="_Toc11637"/>
      <w:r>
        <w:rPr>
          <w:rFonts w:hint="eastAsia" w:ascii="宋体" w:hAnsi="宋体" w:eastAsia="宋体" w:cs="宋体"/>
          <w:b/>
          <w:bCs/>
          <w:color w:val="auto"/>
          <w:sz w:val="24"/>
          <w:szCs w:val="24"/>
          <w:highlight w:val="none"/>
        </w:rPr>
        <w:t>2.17 检验和验收</w:t>
      </w:r>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p>
    <w:p>
      <w:pPr>
        <w:tabs>
          <w:tab w:val="left" w:pos="360"/>
          <w:tab w:val="left" w:pos="540"/>
          <w:tab w:val="left" w:pos="1080"/>
        </w:tabs>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2.17.1货物交付前，乙方应对货物的质量、数量等方面进行详细、全面的检验，并向甲方出具证明货物符合合同约定的文件；货物交付时，乙方在</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约定时间内组织验收，并可依法邀请相关方参加，验收应出具验收书。</w:t>
      </w:r>
    </w:p>
    <w:p>
      <w:pPr>
        <w:tabs>
          <w:tab w:val="left" w:pos="360"/>
          <w:tab w:val="left" w:pos="540"/>
          <w:tab w:val="left" w:pos="1080"/>
        </w:tabs>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2.17.3 检验和验收标准、程序等具体内容以及前述验收书的效力详见</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i/>
          <w:iCs/>
          <w:color w:val="auto"/>
          <w:sz w:val="24"/>
          <w:szCs w:val="24"/>
          <w:highlight w:val="none"/>
        </w:rPr>
        <w:t>。</w:t>
      </w:r>
    </w:p>
    <w:bookmarkEnd w:id="2442"/>
    <w:bookmarkEnd w:id="2443"/>
    <w:bookmarkEnd w:id="2444"/>
    <w:bookmarkEnd w:id="2445"/>
    <w:p>
      <w:pPr>
        <w:spacing w:line="360" w:lineRule="exact"/>
        <w:ind w:firstLine="482" w:firstLineChars="200"/>
        <w:outlineLvl w:val="9"/>
        <w:rPr>
          <w:rFonts w:hint="eastAsia" w:ascii="宋体" w:hAnsi="宋体" w:eastAsia="宋体" w:cs="宋体"/>
          <w:b/>
          <w:bCs/>
          <w:color w:val="auto"/>
          <w:sz w:val="24"/>
          <w:szCs w:val="24"/>
          <w:highlight w:val="none"/>
        </w:rPr>
      </w:pPr>
      <w:bookmarkStart w:id="2681" w:name="_Toc279701261"/>
      <w:bookmarkStart w:id="2682" w:name="_Toc259093690"/>
      <w:bookmarkStart w:id="2683" w:name="_Toc487900371"/>
      <w:bookmarkStart w:id="2684" w:name="_Toc2025"/>
      <w:bookmarkStart w:id="2685" w:name="_Toc26892"/>
      <w:bookmarkStart w:id="2686" w:name="_Toc14242"/>
      <w:bookmarkStart w:id="2687" w:name="_Toc17270"/>
      <w:bookmarkStart w:id="2688" w:name="_Toc15037"/>
      <w:bookmarkStart w:id="2689" w:name="_Toc4983"/>
      <w:bookmarkStart w:id="2690" w:name="_Toc14193"/>
      <w:bookmarkStart w:id="2691" w:name="_Toc9266"/>
      <w:bookmarkStart w:id="2692" w:name="_Toc26823"/>
      <w:bookmarkStart w:id="2693" w:name="_Toc17336"/>
      <w:bookmarkStart w:id="2694" w:name="_Toc7641"/>
      <w:bookmarkStart w:id="2695" w:name="_Toc5435"/>
      <w:bookmarkStart w:id="2696" w:name="_Toc22092"/>
      <w:bookmarkStart w:id="2697" w:name="_Toc27621"/>
      <w:bookmarkStart w:id="2698" w:name="_Toc20551"/>
      <w:bookmarkStart w:id="2699" w:name="_Toc25182"/>
      <w:bookmarkStart w:id="2700" w:name="_Toc29267"/>
      <w:bookmarkStart w:id="2701" w:name="_Toc14412"/>
      <w:bookmarkStart w:id="2702" w:name="_Toc32221"/>
      <w:bookmarkStart w:id="2703" w:name="_Toc23678"/>
      <w:bookmarkStart w:id="2704" w:name="_Toc19604"/>
      <w:bookmarkStart w:id="2705" w:name="_Toc30713"/>
      <w:bookmarkStart w:id="2706" w:name="_Toc17313"/>
      <w:bookmarkStart w:id="2707" w:name="_Toc32473"/>
      <w:bookmarkStart w:id="2708" w:name="_Toc13220"/>
      <w:bookmarkStart w:id="2709" w:name="_Toc12493"/>
      <w:bookmarkStart w:id="2710" w:name="_Toc21687"/>
      <w:bookmarkStart w:id="2711" w:name="_Toc725"/>
      <w:bookmarkStart w:id="2712" w:name="_Toc10130"/>
      <w:bookmarkStart w:id="2713" w:name="_Toc29082"/>
      <w:bookmarkStart w:id="2714" w:name="_Toc7660"/>
      <w:bookmarkStart w:id="2715" w:name="_Toc20377"/>
      <w:bookmarkStart w:id="2716" w:name="_Toc8096"/>
      <w:bookmarkStart w:id="2717" w:name="_Toc11284"/>
      <w:bookmarkStart w:id="2718" w:name="_Toc14665"/>
      <w:bookmarkStart w:id="2719" w:name="_Toc8125"/>
      <w:bookmarkStart w:id="2720" w:name="_Toc8998"/>
      <w:bookmarkStart w:id="2721" w:name="_Toc31945"/>
      <w:r>
        <w:rPr>
          <w:rFonts w:hint="eastAsia" w:ascii="宋体" w:hAnsi="宋体" w:eastAsia="宋体" w:cs="宋体"/>
          <w:b/>
          <w:bCs/>
          <w:color w:val="auto"/>
          <w:sz w:val="24"/>
          <w:szCs w:val="24"/>
          <w:highlight w:val="none"/>
        </w:rPr>
        <w:t>2.18 通知</w:t>
      </w:r>
      <w:bookmarkEnd w:id="2681"/>
      <w:bookmarkEnd w:id="2682"/>
      <w:bookmarkEnd w:id="2683"/>
      <w:r>
        <w:rPr>
          <w:rFonts w:hint="eastAsia" w:ascii="宋体" w:hAnsi="宋体" w:eastAsia="宋体" w:cs="宋体"/>
          <w:b/>
          <w:bCs/>
          <w:color w:val="auto"/>
          <w:sz w:val="24"/>
          <w:szCs w:val="24"/>
          <w:highlight w:val="none"/>
        </w:rPr>
        <w:t>和送达</w:t>
      </w:r>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p>
    <w:p>
      <w:pPr>
        <w:spacing w:line="360" w:lineRule="exact"/>
        <w:ind w:firstLine="480" w:firstLineChars="200"/>
        <w:outlineLvl w:val="9"/>
        <w:rPr>
          <w:rFonts w:hint="eastAsia" w:ascii="宋体" w:hAnsi="宋体" w:eastAsia="宋体" w:cs="宋体"/>
          <w:color w:val="auto"/>
          <w:sz w:val="24"/>
          <w:szCs w:val="24"/>
          <w:highlight w:val="none"/>
        </w:rPr>
      </w:pPr>
      <w:bookmarkStart w:id="2722" w:name="_Toc6698"/>
      <w:bookmarkStart w:id="2723" w:name="_Toc3135"/>
      <w:bookmarkStart w:id="2724" w:name="_Toc259093691"/>
      <w:bookmarkStart w:id="2725" w:name="_Toc487900372"/>
      <w:bookmarkStart w:id="2726" w:name="_Toc279701262"/>
      <w:r>
        <w:rPr>
          <w:rFonts w:hint="eastAsia" w:ascii="宋体" w:hAnsi="宋体" w:eastAsia="宋体" w:cs="宋体"/>
          <w:color w:val="auto"/>
          <w:sz w:val="24"/>
          <w:szCs w:val="24"/>
          <w:highlight w:val="none"/>
        </w:rPr>
        <w:t>2.18.1 任何一方因履行合同而以合同第一部分尾部所列明的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发出的所有通知、文件、材料，均视为已向对方当事人送达；任何一方变更上述送达方式或者地址的，应于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个工作日内书面通知对方当事人，在对方当事人收到有关变更通知之前，变更前的约定送达方式或者地址仍视为有效。</w:t>
      </w:r>
      <w:bookmarkEnd w:id="2722"/>
      <w:bookmarkEnd w:id="2723"/>
    </w:p>
    <w:p>
      <w:pPr>
        <w:spacing w:line="360" w:lineRule="exact"/>
        <w:ind w:firstLine="480" w:firstLineChars="200"/>
        <w:outlineLvl w:val="9"/>
        <w:rPr>
          <w:rFonts w:hint="eastAsia" w:ascii="宋体" w:hAnsi="宋体" w:eastAsia="宋体" w:cs="宋体"/>
          <w:color w:val="auto"/>
          <w:sz w:val="24"/>
          <w:szCs w:val="24"/>
          <w:highlight w:val="none"/>
        </w:rPr>
      </w:pPr>
      <w:bookmarkStart w:id="2727" w:name="_Toc23294"/>
      <w:bookmarkStart w:id="2728" w:name="_Toc23128"/>
      <w:r>
        <w:rPr>
          <w:rFonts w:hint="eastAsia" w:ascii="宋体" w:hAnsi="宋体" w:eastAsia="宋体" w:cs="宋体"/>
          <w:color w:val="auto"/>
          <w:sz w:val="24"/>
          <w:szCs w:val="24"/>
          <w:highlight w:val="none"/>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2727"/>
      <w:bookmarkEnd w:id="2728"/>
    </w:p>
    <w:p>
      <w:pPr>
        <w:spacing w:line="360" w:lineRule="exact"/>
        <w:ind w:firstLine="482" w:firstLineChars="200"/>
        <w:outlineLvl w:val="9"/>
        <w:rPr>
          <w:rFonts w:hint="eastAsia" w:ascii="宋体" w:hAnsi="宋体" w:eastAsia="宋体" w:cs="宋体"/>
          <w:b/>
          <w:bCs/>
          <w:color w:val="auto"/>
          <w:sz w:val="24"/>
          <w:szCs w:val="24"/>
          <w:highlight w:val="none"/>
        </w:rPr>
      </w:pPr>
      <w:bookmarkStart w:id="2729" w:name="_Toc1114"/>
      <w:bookmarkStart w:id="2730" w:name="_Toc20309"/>
      <w:bookmarkStart w:id="2731" w:name="_Toc20914"/>
      <w:bookmarkStart w:id="2732" w:name="_Toc13624"/>
      <w:bookmarkStart w:id="2733" w:name="_Toc4747"/>
      <w:bookmarkStart w:id="2734" w:name="_Toc4241"/>
      <w:bookmarkStart w:id="2735" w:name="_Toc2986"/>
      <w:bookmarkStart w:id="2736" w:name="_Toc2439"/>
      <w:bookmarkStart w:id="2737" w:name="_Toc18621"/>
      <w:bookmarkStart w:id="2738" w:name="_Toc20763"/>
      <w:bookmarkStart w:id="2739" w:name="_Toc10932"/>
      <w:bookmarkStart w:id="2740" w:name="_Toc1414"/>
      <w:bookmarkStart w:id="2741" w:name="_Toc30497"/>
      <w:bookmarkStart w:id="2742" w:name="_Toc31861"/>
      <w:bookmarkStart w:id="2743" w:name="_Toc4355"/>
      <w:bookmarkStart w:id="2744" w:name="_Toc27038"/>
      <w:bookmarkStart w:id="2745" w:name="_Toc596"/>
      <w:bookmarkStart w:id="2746" w:name="_Toc30599"/>
      <w:bookmarkStart w:id="2747" w:name="_Toc21034"/>
      <w:bookmarkStart w:id="2748" w:name="_Toc10954"/>
      <w:bookmarkStart w:id="2749" w:name="_Toc20837"/>
      <w:bookmarkStart w:id="2750" w:name="_Toc15273"/>
      <w:bookmarkStart w:id="2751" w:name="_Toc5141"/>
      <w:bookmarkStart w:id="2752" w:name="_Toc2100"/>
      <w:bookmarkStart w:id="2753" w:name="_Toc21464"/>
      <w:bookmarkStart w:id="2754" w:name="_Toc11892"/>
      <w:bookmarkStart w:id="2755" w:name="_Toc29312"/>
      <w:bookmarkStart w:id="2756" w:name="_Toc18983"/>
      <w:bookmarkStart w:id="2757" w:name="_Toc12721"/>
      <w:bookmarkStart w:id="2758" w:name="_Toc3295"/>
      <w:bookmarkStart w:id="2759" w:name="_Toc29339"/>
      <w:bookmarkStart w:id="2760" w:name="_Toc9371"/>
      <w:bookmarkStart w:id="2761" w:name="_Toc14810"/>
      <w:bookmarkStart w:id="2762" w:name="_Toc18540"/>
      <w:bookmarkStart w:id="2763" w:name="_Toc21923"/>
      <w:bookmarkStart w:id="2764" w:name="_Toc21141"/>
      <w:bookmarkStart w:id="2765" w:name="_Toc24062"/>
      <w:bookmarkStart w:id="2766" w:name="_Toc13466"/>
      <w:r>
        <w:rPr>
          <w:rFonts w:hint="eastAsia" w:ascii="宋体" w:hAnsi="宋体" w:eastAsia="宋体" w:cs="宋体"/>
          <w:b/>
          <w:bCs/>
          <w:color w:val="auto"/>
          <w:sz w:val="24"/>
          <w:szCs w:val="24"/>
          <w:highlight w:val="none"/>
        </w:rPr>
        <w:t>2.19 计量单位</w:t>
      </w:r>
      <w:bookmarkEnd w:id="2724"/>
      <w:bookmarkEnd w:id="2725"/>
      <w:bookmarkEnd w:id="2726"/>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除技术规范中另有规定外,合同的计量单位均使用国家法定计量单位。</w:t>
      </w:r>
    </w:p>
    <w:p>
      <w:pPr>
        <w:spacing w:line="360" w:lineRule="exact"/>
        <w:ind w:firstLine="482" w:firstLineChars="200"/>
        <w:outlineLvl w:val="9"/>
        <w:rPr>
          <w:rFonts w:hint="eastAsia" w:ascii="宋体" w:hAnsi="宋体" w:eastAsia="宋体" w:cs="宋体"/>
          <w:b/>
          <w:bCs/>
          <w:color w:val="auto"/>
          <w:sz w:val="24"/>
          <w:szCs w:val="24"/>
          <w:highlight w:val="none"/>
        </w:rPr>
      </w:pPr>
      <w:bookmarkStart w:id="2767" w:name="_Toc26158"/>
      <w:bookmarkStart w:id="2768" w:name="_Toc776"/>
      <w:bookmarkStart w:id="2769" w:name="_Toc19154"/>
      <w:bookmarkStart w:id="2770" w:name="_Toc5796"/>
      <w:bookmarkStart w:id="2771" w:name="_Toc21748"/>
      <w:bookmarkStart w:id="2772" w:name="_Toc16880"/>
      <w:bookmarkStart w:id="2773" w:name="_Toc279701263"/>
      <w:bookmarkStart w:id="2774" w:name="_Toc487900373"/>
      <w:bookmarkStart w:id="2775" w:name="_Toc26757"/>
      <w:bookmarkStart w:id="2776" w:name="_Toc13131"/>
      <w:bookmarkStart w:id="2777" w:name="_Toc16663"/>
      <w:bookmarkStart w:id="2778" w:name="_Toc18567"/>
      <w:bookmarkStart w:id="2779" w:name="_Toc17517"/>
      <w:bookmarkStart w:id="2780" w:name="_Toc27589"/>
      <w:bookmarkStart w:id="2781" w:name="_Toc30404"/>
      <w:bookmarkStart w:id="2782" w:name="_Toc4693"/>
      <w:bookmarkStart w:id="2783" w:name="_Toc32583"/>
      <w:bookmarkStart w:id="2784" w:name="_Toc7915"/>
      <w:bookmarkStart w:id="2785" w:name="_Toc24319"/>
      <w:bookmarkStart w:id="2786" w:name="_Toc15428"/>
      <w:bookmarkStart w:id="2787" w:name="_Toc1728"/>
      <w:bookmarkStart w:id="2788" w:name="_Toc9178"/>
      <w:bookmarkStart w:id="2789" w:name="_Toc27059"/>
      <w:bookmarkStart w:id="2790" w:name="_Toc10330"/>
      <w:bookmarkStart w:id="2791" w:name="_Toc27072"/>
      <w:bookmarkStart w:id="2792" w:name="_Toc14099"/>
      <w:bookmarkStart w:id="2793" w:name="_Toc10536"/>
      <w:bookmarkStart w:id="2794" w:name="_Toc10830"/>
      <w:bookmarkStart w:id="2795" w:name="_Toc6555"/>
      <w:bookmarkStart w:id="2796" w:name="_Toc29846"/>
      <w:bookmarkStart w:id="2797" w:name="_Toc19522"/>
      <w:bookmarkStart w:id="2798" w:name="_Toc9626"/>
      <w:bookmarkStart w:id="2799" w:name="_Toc11130"/>
      <w:bookmarkStart w:id="2800" w:name="_Toc20624"/>
      <w:bookmarkStart w:id="2801" w:name="_Toc22826"/>
      <w:bookmarkStart w:id="2802" w:name="_Toc28784"/>
      <w:bookmarkStart w:id="2803" w:name="_Toc15868"/>
      <w:bookmarkStart w:id="2804" w:name="_Toc13041"/>
      <w:bookmarkStart w:id="2805" w:name="_Toc15261"/>
      <w:bookmarkStart w:id="2806" w:name="_Toc18634"/>
      <w:bookmarkStart w:id="2807" w:name="_Toc259093692"/>
      <w:bookmarkStart w:id="2808" w:name="_Toc12773"/>
      <w:r>
        <w:rPr>
          <w:rFonts w:hint="eastAsia" w:ascii="宋体" w:hAnsi="宋体" w:eastAsia="宋体" w:cs="宋体"/>
          <w:b/>
          <w:bCs/>
          <w:color w:val="auto"/>
          <w:sz w:val="24"/>
          <w:szCs w:val="24"/>
          <w:highlight w:val="none"/>
        </w:rPr>
        <w:t>2.20 合同使用的文字和适用的法律</w:t>
      </w:r>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2.20.1 合同使用汉语书就、变更和解释；</w:t>
      </w:r>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2.20.2 合同适用中华人民共和国法律。</w:t>
      </w:r>
    </w:p>
    <w:p>
      <w:pPr>
        <w:spacing w:line="360" w:lineRule="exact"/>
        <w:ind w:firstLine="482" w:firstLineChars="200"/>
        <w:outlineLvl w:val="9"/>
        <w:rPr>
          <w:rFonts w:hint="eastAsia" w:ascii="宋体" w:hAnsi="宋体" w:eastAsia="宋体" w:cs="宋体"/>
          <w:b/>
          <w:bCs/>
          <w:color w:val="auto"/>
          <w:sz w:val="24"/>
          <w:szCs w:val="24"/>
          <w:highlight w:val="none"/>
        </w:rPr>
      </w:pPr>
      <w:bookmarkStart w:id="2809" w:name="_Toc4611"/>
      <w:bookmarkStart w:id="2810" w:name="_Toc3148"/>
      <w:bookmarkStart w:id="2811" w:name="_Toc1670"/>
      <w:bookmarkStart w:id="2812" w:name="_Toc32497"/>
      <w:bookmarkStart w:id="2813" w:name="_Toc29073"/>
      <w:bookmarkStart w:id="2814" w:name="_Toc5000"/>
      <w:bookmarkStart w:id="2815" w:name="_Toc638"/>
      <w:bookmarkStart w:id="2816" w:name="_Toc25551"/>
      <w:bookmarkStart w:id="2817" w:name="_Toc11201"/>
      <w:bookmarkStart w:id="2818" w:name="_Toc26372"/>
      <w:bookmarkStart w:id="2819" w:name="_Toc16479"/>
      <w:bookmarkStart w:id="2820" w:name="_Toc11254"/>
      <w:bookmarkStart w:id="2821" w:name="_Toc30675"/>
      <w:bookmarkStart w:id="2822" w:name="_Toc11628"/>
      <w:bookmarkStart w:id="2823" w:name="_Toc14308"/>
      <w:bookmarkStart w:id="2824" w:name="_Toc18845"/>
      <w:bookmarkStart w:id="2825" w:name="_Toc31421"/>
      <w:bookmarkStart w:id="2826" w:name="_Toc20252"/>
      <w:bookmarkStart w:id="2827" w:name="_Toc16673"/>
      <w:bookmarkStart w:id="2828" w:name="_Toc15434"/>
      <w:bookmarkStart w:id="2829" w:name="_Toc30511"/>
      <w:bookmarkStart w:id="2830" w:name="_Toc14964"/>
      <w:bookmarkStart w:id="2831" w:name="_Toc259093693"/>
      <w:bookmarkStart w:id="2832" w:name="_Toc8602"/>
      <w:bookmarkStart w:id="2833" w:name="_Toc25929"/>
      <w:bookmarkStart w:id="2834" w:name="_Toc12004"/>
      <w:bookmarkStart w:id="2835" w:name="_Toc29572"/>
      <w:bookmarkStart w:id="2836" w:name="_Toc3838"/>
      <w:bookmarkStart w:id="2837" w:name="_Toc5571"/>
      <w:bookmarkStart w:id="2838" w:name="_Toc6225"/>
      <w:bookmarkStart w:id="2839" w:name="_Toc9739"/>
      <w:bookmarkStart w:id="2840" w:name="_Toc279701264"/>
      <w:bookmarkStart w:id="2841" w:name="_Toc10811"/>
      <w:bookmarkStart w:id="2842" w:name="_Toc31790"/>
      <w:bookmarkStart w:id="2843" w:name="_Toc24883"/>
      <w:bookmarkStart w:id="2844" w:name="_Toc22858"/>
      <w:bookmarkStart w:id="2845" w:name="_Toc29455"/>
      <w:bookmarkStart w:id="2846" w:name="_Toc3536"/>
      <w:bookmarkStart w:id="2847" w:name="_Toc24280"/>
      <w:bookmarkStart w:id="2848" w:name="_Toc13040"/>
      <w:bookmarkStart w:id="2849" w:name="_Toc15437"/>
      <w:bookmarkStart w:id="2850" w:name="_Toc487900374"/>
      <w:r>
        <w:rPr>
          <w:rFonts w:hint="eastAsia" w:ascii="宋体" w:hAnsi="宋体" w:eastAsia="宋体" w:cs="宋体"/>
          <w:b/>
          <w:bCs/>
          <w:color w:val="auto"/>
          <w:sz w:val="24"/>
          <w:szCs w:val="24"/>
          <w:highlight w:val="none"/>
        </w:rPr>
        <w:t>2.21 履约保证金</w:t>
      </w:r>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2.21.1 采购文件要求乙方提交履约保证金的，乙方应按</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约定的方式，以支票、汇票、本票或者金融机构、担保机构出具的保函等非现金形式，提交不超过合同价</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%的履约保证金；</w:t>
      </w:r>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2.21.2  履约保证金在</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约定期间内或者货物质量保证期内不予退还或者应完全有效，前述约定期间届满或者货物质量保证期届满之日起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个工作日内，甲方应将履约保证金退还乙方；</w:t>
      </w:r>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2850"/>
    <w:p>
      <w:pPr>
        <w:spacing w:line="360" w:lineRule="exact"/>
        <w:ind w:firstLine="482" w:firstLineChars="200"/>
        <w:outlineLvl w:val="9"/>
        <w:rPr>
          <w:rFonts w:hint="eastAsia" w:ascii="宋体" w:hAnsi="宋体" w:eastAsia="宋体" w:cs="宋体"/>
          <w:b/>
          <w:bCs/>
          <w:color w:val="auto"/>
          <w:sz w:val="24"/>
          <w:szCs w:val="24"/>
          <w:highlight w:val="none"/>
        </w:rPr>
      </w:pPr>
      <w:bookmarkStart w:id="2851" w:name="_Toc6774"/>
      <w:bookmarkStart w:id="2852" w:name="_Toc32643"/>
      <w:bookmarkStart w:id="2853" w:name="_Toc24307"/>
      <w:bookmarkStart w:id="2854" w:name="_Toc20802"/>
      <w:bookmarkStart w:id="2855" w:name="_Toc22496"/>
      <w:bookmarkStart w:id="2856" w:name="_Toc8867"/>
      <w:bookmarkStart w:id="2857" w:name="_Toc16431"/>
      <w:bookmarkStart w:id="2858" w:name="_Toc17856"/>
      <w:bookmarkStart w:id="2859" w:name="_Toc30847"/>
      <w:bookmarkStart w:id="2860" w:name="_Toc32536"/>
      <w:bookmarkStart w:id="2861" w:name="_Toc21120"/>
      <w:bookmarkStart w:id="2862" w:name="_Toc4198"/>
      <w:bookmarkStart w:id="2863" w:name="_Toc21762"/>
      <w:bookmarkStart w:id="2864" w:name="_Toc16450"/>
      <w:bookmarkStart w:id="2865" w:name="_Toc11472"/>
      <w:bookmarkStart w:id="2866" w:name="_Toc32408"/>
      <w:bookmarkStart w:id="2867" w:name="_Toc14001"/>
      <w:bookmarkStart w:id="2868" w:name="_Toc19890"/>
      <w:bookmarkStart w:id="2869" w:name="_Toc21934"/>
      <w:bookmarkStart w:id="2870" w:name="_Toc20428"/>
      <w:bookmarkStart w:id="2871" w:name="_Toc28525"/>
      <w:bookmarkStart w:id="2872" w:name="_Toc8894"/>
      <w:bookmarkStart w:id="2873" w:name="_Toc27563"/>
      <w:bookmarkStart w:id="2874" w:name="_Toc14217"/>
      <w:bookmarkStart w:id="2875" w:name="_Toc24006"/>
      <w:bookmarkStart w:id="2876" w:name="_Toc8495"/>
      <w:bookmarkStart w:id="2877" w:name="_Toc2720"/>
      <w:bookmarkStart w:id="2878" w:name="_Toc22821"/>
      <w:bookmarkStart w:id="2879" w:name="_Toc25691"/>
      <w:bookmarkStart w:id="2880" w:name="_Toc12034"/>
      <w:bookmarkStart w:id="2881" w:name="_Toc5379"/>
      <w:bookmarkStart w:id="2882" w:name="_Toc30496"/>
      <w:bookmarkStart w:id="2883" w:name="_Toc3038"/>
      <w:bookmarkStart w:id="2884" w:name="_Toc11103"/>
      <w:bookmarkStart w:id="2885" w:name="_Toc17310"/>
      <w:bookmarkStart w:id="2886" w:name="_Toc10801"/>
      <w:bookmarkStart w:id="2887" w:name="_Toc25049"/>
      <w:r>
        <w:rPr>
          <w:rFonts w:hint="eastAsia" w:ascii="宋体" w:hAnsi="宋体" w:eastAsia="宋体" w:cs="宋体"/>
          <w:b/>
          <w:bCs/>
          <w:color w:val="auto"/>
          <w:sz w:val="24"/>
          <w:szCs w:val="24"/>
          <w:highlight w:val="none"/>
        </w:rPr>
        <w:t>2.22 合同份数</w:t>
      </w:r>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合同份数按</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规定，每份均具有同等法律效力。</w:t>
      </w:r>
    </w:p>
    <w:p>
      <w:pPr>
        <w:widowControl w:val="0"/>
        <w:autoSpaceDE w:val="0"/>
        <w:autoSpaceDN w:val="0"/>
        <w:adjustRightInd w:val="0"/>
        <w:spacing w:line="360" w:lineRule="exact"/>
        <w:ind w:firstLine="0"/>
        <w:jc w:val="center"/>
        <w:outlineLvl w:val="9"/>
        <w:rPr>
          <w:rFonts w:hint="eastAsia" w:ascii="宋体" w:hAnsi="宋体" w:eastAsia="宋体" w:cs="宋体"/>
          <w:b/>
          <w:bCs/>
          <w:color w:val="auto"/>
          <w:kern w:val="0"/>
          <w:sz w:val="24"/>
          <w:szCs w:val="20"/>
          <w:highlight w:val="none"/>
          <w:lang w:val="en-US" w:eastAsia="zh-CN" w:bidi="ar-SA"/>
        </w:rPr>
      </w:pPr>
      <w:bookmarkStart w:id="2888" w:name="_Toc331685784"/>
    </w:p>
    <w:p>
      <w:pPr>
        <w:widowControl w:val="0"/>
        <w:autoSpaceDE w:val="0"/>
        <w:autoSpaceDN w:val="0"/>
        <w:adjustRightInd w:val="0"/>
        <w:spacing w:line="360" w:lineRule="exact"/>
        <w:ind w:firstLine="0"/>
        <w:jc w:val="center"/>
        <w:outlineLvl w:val="9"/>
        <w:rPr>
          <w:rFonts w:hint="eastAsia" w:ascii="宋体" w:hAnsi="宋体" w:eastAsia="宋体" w:cs="宋体"/>
          <w:b/>
          <w:bCs/>
          <w:color w:val="auto"/>
          <w:kern w:val="0"/>
          <w:sz w:val="24"/>
          <w:szCs w:val="20"/>
          <w:highlight w:val="none"/>
          <w:lang w:val="en-US" w:eastAsia="zh-CN" w:bidi="ar-SA"/>
        </w:rPr>
      </w:pPr>
    </w:p>
    <w:p>
      <w:pPr>
        <w:widowControl w:val="0"/>
        <w:autoSpaceDE w:val="0"/>
        <w:autoSpaceDN w:val="0"/>
        <w:adjustRightInd w:val="0"/>
        <w:spacing w:line="360" w:lineRule="exact"/>
        <w:ind w:firstLine="0"/>
        <w:jc w:val="center"/>
        <w:outlineLvl w:val="9"/>
        <w:rPr>
          <w:rFonts w:hint="eastAsia" w:ascii="宋体" w:hAnsi="宋体" w:eastAsia="宋体" w:cs="宋体"/>
          <w:b/>
          <w:bCs/>
          <w:color w:val="auto"/>
          <w:kern w:val="0"/>
          <w:sz w:val="24"/>
          <w:szCs w:val="20"/>
          <w:highlight w:val="none"/>
          <w:lang w:val="en-US" w:eastAsia="zh-CN" w:bidi="ar-SA"/>
        </w:rPr>
      </w:pPr>
    </w:p>
    <w:p>
      <w:pPr>
        <w:widowControl w:val="0"/>
        <w:autoSpaceDE w:val="0"/>
        <w:autoSpaceDN w:val="0"/>
        <w:adjustRightInd w:val="0"/>
        <w:spacing w:line="360" w:lineRule="exact"/>
        <w:ind w:firstLine="0"/>
        <w:jc w:val="center"/>
        <w:outlineLvl w:val="9"/>
        <w:rPr>
          <w:rFonts w:hint="eastAsia" w:ascii="宋体" w:hAnsi="宋体" w:eastAsia="宋体" w:cs="宋体"/>
          <w:b/>
          <w:bCs/>
          <w:color w:val="auto"/>
          <w:kern w:val="0"/>
          <w:sz w:val="24"/>
          <w:szCs w:val="20"/>
          <w:highlight w:val="none"/>
          <w:lang w:val="en-US" w:eastAsia="zh-CN" w:bidi="ar-SA"/>
        </w:rPr>
      </w:pPr>
    </w:p>
    <w:p>
      <w:pPr>
        <w:widowControl w:val="0"/>
        <w:autoSpaceDE w:val="0"/>
        <w:autoSpaceDN w:val="0"/>
        <w:adjustRightInd w:val="0"/>
        <w:spacing w:line="360" w:lineRule="exact"/>
        <w:ind w:firstLine="0"/>
        <w:jc w:val="center"/>
        <w:outlineLvl w:val="9"/>
        <w:rPr>
          <w:rFonts w:hint="eastAsia" w:ascii="宋体" w:hAnsi="宋体" w:eastAsia="宋体" w:cs="宋体"/>
          <w:b/>
          <w:bCs/>
          <w:color w:val="auto"/>
          <w:kern w:val="0"/>
          <w:sz w:val="24"/>
          <w:szCs w:val="20"/>
          <w:highlight w:val="none"/>
          <w:lang w:val="en-US" w:eastAsia="zh-CN" w:bidi="ar-SA"/>
        </w:rPr>
      </w:pPr>
    </w:p>
    <w:p>
      <w:pPr>
        <w:widowControl w:val="0"/>
        <w:autoSpaceDE w:val="0"/>
        <w:autoSpaceDN w:val="0"/>
        <w:adjustRightInd w:val="0"/>
        <w:spacing w:line="360" w:lineRule="exact"/>
        <w:ind w:firstLine="0"/>
        <w:jc w:val="center"/>
        <w:outlineLvl w:val="9"/>
        <w:rPr>
          <w:rFonts w:hint="eastAsia" w:ascii="宋体" w:hAnsi="宋体" w:eastAsia="宋体" w:cs="宋体"/>
          <w:b/>
          <w:bCs/>
          <w:color w:val="auto"/>
          <w:kern w:val="0"/>
          <w:sz w:val="24"/>
          <w:szCs w:val="20"/>
          <w:highlight w:val="none"/>
          <w:lang w:val="en-US" w:eastAsia="zh-CN" w:bidi="ar-SA"/>
        </w:rPr>
      </w:pPr>
    </w:p>
    <w:p>
      <w:pPr>
        <w:widowControl w:val="0"/>
        <w:autoSpaceDE w:val="0"/>
        <w:autoSpaceDN w:val="0"/>
        <w:adjustRightInd w:val="0"/>
        <w:spacing w:line="360" w:lineRule="exact"/>
        <w:ind w:firstLine="0"/>
        <w:jc w:val="center"/>
        <w:outlineLvl w:val="9"/>
        <w:rPr>
          <w:rFonts w:hint="eastAsia" w:ascii="宋体" w:hAnsi="宋体" w:eastAsia="宋体" w:cs="宋体"/>
          <w:b/>
          <w:bCs/>
          <w:color w:val="auto"/>
          <w:kern w:val="0"/>
          <w:sz w:val="24"/>
          <w:szCs w:val="20"/>
          <w:highlight w:val="none"/>
          <w:lang w:val="en-US" w:eastAsia="zh-CN" w:bidi="ar-SA"/>
        </w:rPr>
      </w:pPr>
      <w:r>
        <w:rPr>
          <w:rFonts w:hint="eastAsia" w:ascii="宋体" w:hAnsi="宋体" w:eastAsia="宋体" w:cs="宋体"/>
          <w:b/>
          <w:bCs/>
          <w:color w:val="auto"/>
          <w:kern w:val="0"/>
          <w:sz w:val="24"/>
          <w:szCs w:val="20"/>
          <w:highlight w:val="none"/>
          <w:lang w:val="en-US" w:eastAsia="zh-CN" w:bidi="ar-SA"/>
        </w:rPr>
        <w:t>第三部分  合同专用条款</w:t>
      </w:r>
      <w:bookmarkEnd w:id="2888"/>
    </w:p>
    <w:p>
      <w:pPr>
        <w:spacing w:line="3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7"/>
        <w:tblW w:w="8434" w:type="dxa"/>
        <w:tblInd w:w="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spacing w:line="360" w:lineRule="exact"/>
              <w:jc w:val="center"/>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条款号</w:t>
            </w:r>
          </w:p>
        </w:tc>
        <w:tc>
          <w:tcPr>
            <w:tcW w:w="7633" w:type="dxa"/>
            <w:vAlign w:val="center"/>
          </w:tcPr>
          <w:p>
            <w:pPr>
              <w:spacing w:line="360" w:lineRule="exact"/>
              <w:jc w:val="center"/>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spacing w:line="360" w:lineRule="exact"/>
              <w:outlineLvl w:val="9"/>
              <w:rPr>
                <w:rFonts w:hint="eastAsia" w:ascii="宋体" w:hAnsi="宋体" w:eastAsia="宋体" w:cs="宋体"/>
                <w:color w:val="auto"/>
                <w:sz w:val="24"/>
                <w:szCs w:val="24"/>
                <w:highlight w:val="none"/>
              </w:rPr>
            </w:pPr>
          </w:p>
        </w:tc>
        <w:tc>
          <w:tcPr>
            <w:tcW w:w="7633" w:type="dxa"/>
            <w:vAlign w:val="center"/>
          </w:tcPr>
          <w:p>
            <w:pPr>
              <w:spacing w:line="360" w:lineRule="exact"/>
              <w:outlineLvl w:val="9"/>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360" w:lineRule="exact"/>
              <w:outlineLvl w:val="9"/>
              <w:rPr>
                <w:rFonts w:hint="eastAsia" w:ascii="宋体" w:hAnsi="宋体" w:eastAsia="宋体" w:cs="宋体"/>
                <w:color w:val="auto"/>
                <w:sz w:val="24"/>
                <w:szCs w:val="24"/>
                <w:highlight w:val="none"/>
              </w:rPr>
            </w:pPr>
          </w:p>
        </w:tc>
        <w:tc>
          <w:tcPr>
            <w:tcW w:w="7633" w:type="dxa"/>
            <w:vAlign w:val="center"/>
          </w:tcPr>
          <w:p>
            <w:pPr>
              <w:spacing w:line="360" w:lineRule="exact"/>
              <w:outlineLvl w:val="9"/>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360" w:lineRule="exact"/>
              <w:outlineLvl w:val="9"/>
              <w:rPr>
                <w:rFonts w:hint="eastAsia" w:ascii="宋体" w:hAnsi="宋体" w:eastAsia="宋体" w:cs="宋体"/>
                <w:color w:val="auto"/>
                <w:sz w:val="24"/>
                <w:szCs w:val="24"/>
                <w:highlight w:val="none"/>
              </w:rPr>
            </w:pPr>
          </w:p>
        </w:tc>
        <w:tc>
          <w:tcPr>
            <w:tcW w:w="7633" w:type="dxa"/>
            <w:vAlign w:val="center"/>
          </w:tcPr>
          <w:p>
            <w:pPr>
              <w:spacing w:line="360" w:lineRule="exact"/>
              <w:outlineLvl w:val="9"/>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360" w:lineRule="exact"/>
              <w:outlineLvl w:val="9"/>
              <w:rPr>
                <w:rFonts w:hint="eastAsia" w:ascii="宋体" w:hAnsi="宋体" w:eastAsia="宋体" w:cs="宋体"/>
                <w:color w:val="auto"/>
                <w:sz w:val="24"/>
                <w:szCs w:val="24"/>
                <w:highlight w:val="none"/>
              </w:rPr>
            </w:pPr>
          </w:p>
        </w:tc>
        <w:tc>
          <w:tcPr>
            <w:tcW w:w="7633" w:type="dxa"/>
            <w:vAlign w:val="center"/>
          </w:tcPr>
          <w:p>
            <w:pPr>
              <w:spacing w:line="360" w:lineRule="exact"/>
              <w:outlineLvl w:val="9"/>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360" w:lineRule="exact"/>
              <w:outlineLvl w:val="9"/>
              <w:rPr>
                <w:rFonts w:hint="eastAsia" w:ascii="宋体" w:hAnsi="宋体" w:eastAsia="宋体" w:cs="宋体"/>
                <w:color w:val="auto"/>
                <w:sz w:val="24"/>
                <w:szCs w:val="24"/>
                <w:highlight w:val="none"/>
              </w:rPr>
            </w:pPr>
          </w:p>
        </w:tc>
        <w:tc>
          <w:tcPr>
            <w:tcW w:w="7633" w:type="dxa"/>
            <w:vAlign w:val="center"/>
          </w:tcPr>
          <w:p>
            <w:pPr>
              <w:spacing w:line="360" w:lineRule="exact"/>
              <w:outlineLvl w:val="9"/>
              <w:rPr>
                <w:rFonts w:hint="eastAsia" w:ascii="宋体" w:hAnsi="宋体" w:eastAsia="宋体" w:cs="宋体"/>
                <w:color w:val="auto"/>
                <w:sz w:val="24"/>
                <w:szCs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360" w:lineRule="exact"/>
              <w:outlineLvl w:val="9"/>
              <w:rPr>
                <w:rFonts w:hint="eastAsia" w:ascii="宋体" w:hAnsi="宋体" w:eastAsia="宋体" w:cs="宋体"/>
                <w:color w:val="auto"/>
                <w:sz w:val="24"/>
                <w:szCs w:val="24"/>
                <w:highlight w:val="none"/>
              </w:rPr>
            </w:pPr>
          </w:p>
        </w:tc>
        <w:tc>
          <w:tcPr>
            <w:tcW w:w="7633" w:type="dxa"/>
            <w:vAlign w:val="center"/>
          </w:tcPr>
          <w:p>
            <w:pPr>
              <w:spacing w:line="360" w:lineRule="exact"/>
              <w:outlineLvl w:val="9"/>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360" w:lineRule="exact"/>
              <w:outlineLvl w:val="9"/>
              <w:rPr>
                <w:rFonts w:hint="eastAsia" w:ascii="宋体" w:hAnsi="宋体" w:eastAsia="宋体" w:cs="宋体"/>
                <w:color w:val="auto"/>
                <w:sz w:val="24"/>
                <w:szCs w:val="24"/>
                <w:highlight w:val="none"/>
              </w:rPr>
            </w:pPr>
          </w:p>
        </w:tc>
        <w:tc>
          <w:tcPr>
            <w:tcW w:w="7633" w:type="dxa"/>
            <w:vAlign w:val="center"/>
          </w:tcPr>
          <w:p>
            <w:pPr>
              <w:spacing w:line="360" w:lineRule="exact"/>
              <w:outlineLvl w:val="9"/>
              <w:rPr>
                <w:rFonts w:hint="eastAsia" w:ascii="宋体" w:hAnsi="宋体" w:eastAsia="宋体" w:cs="宋体"/>
                <w:color w:val="auto"/>
                <w:sz w:val="24"/>
                <w:szCs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360" w:lineRule="exact"/>
              <w:outlineLvl w:val="9"/>
              <w:rPr>
                <w:rFonts w:hint="eastAsia" w:ascii="宋体" w:hAnsi="宋体" w:eastAsia="宋体" w:cs="宋体"/>
                <w:color w:val="auto"/>
                <w:sz w:val="24"/>
                <w:szCs w:val="24"/>
                <w:highlight w:val="none"/>
              </w:rPr>
            </w:pPr>
          </w:p>
        </w:tc>
        <w:tc>
          <w:tcPr>
            <w:tcW w:w="7633" w:type="dxa"/>
            <w:vAlign w:val="center"/>
          </w:tcPr>
          <w:p>
            <w:pPr>
              <w:spacing w:line="360" w:lineRule="exact"/>
              <w:outlineLvl w:val="9"/>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360" w:lineRule="exact"/>
              <w:outlineLvl w:val="9"/>
              <w:rPr>
                <w:rFonts w:hint="eastAsia" w:ascii="宋体" w:hAnsi="宋体" w:eastAsia="宋体" w:cs="宋体"/>
                <w:color w:val="auto"/>
                <w:sz w:val="24"/>
                <w:szCs w:val="24"/>
                <w:highlight w:val="none"/>
              </w:rPr>
            </w:pPr>
          </w:p>
        </w:tc>
        <w:tc>
          <w:tcPr>
            <w:tcW w:w="7633" w:type="dxa"/>
            <w:vAlign w:val="center"/>
          </w:tcPr>
          <w:p>
            <w:pPr>
              <w:spacing w:line="360" w:lineRule="exact"/>
              <w:outlineLvl w:val="9"/>
              <w:rPr>
                <w:rFonts w:hint="eastAsia" w:ascii="宋体" w:hAnsi="宋体" w:eastAsia="宋体" w:cs="宋体"/>
                <w:color w:val="auto"/>
                <w:sz w:val="24"/>
                <w:szCs w:val="24"/>
                <w:highlight w:val="none"/>
              </w:rPr>
            </w:pPr>
          </w:p>
        </w:tc>
      </w:tr>
    </w:tbl>
    <w:p>
      <w:pPr>
        <w:outlineLvl w:val="9"/>
        <w:rPr>
          <w:rFonts w:hint="eastAsia" w:ascii="宋体" w:hAnsi="宋体" w:eastAsia="宋体" w:cs="宋体"/>
          <w:color w:val="auto"/>
          <w:highlight w:val="none"/>
        </w:rPr>
      </w:pPr>
    </w:p>
    <w:p>
      <w:pPr>
        <w:outlineLvl w:val="9"/>
        <w:rPr>
          <w:rFonts w:hint="eastAsia" w:ascii="宋体" w:hAnsi="宋体" w:eastAsia="宋体" w:cs="宋体"/>
          <w:color w:val="auto"/>
          <w:sz w:val="24"/>
          <w:szCs w:val="24"/>
          <w:highlight w:val="none"/>
        </w:rPr>
      </w:pPr>
    </w:p>
    <w:sectPr>
      <w:footerReference r:id="rId5" w:type="default"/>
      <w:pgSz w:w="11907" w:h="16840"/>
      <w:pgMar w:top="1474" w:right="1814" w:bottom="1474" w:left="1814" w:header="851" w:footer="851" w:gutter="0"/>
      <w:pgBorders>
        <w:top w:val="none" w:sz="0" w:space="0"/>
        <w:left w:val="none" w:sz="0" w:space="0"/>
        <w:bottom w:val="none" w:sz="0" w:space="0"/>
        <w:right w:val="none" w:sz="0" w:space="0"/>
      </w:pgBorders>
      <w:pgNumType w:fmt="decimal"/>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embedRegular r:id="rId1" w:fontKey="{69C0D790-E1B1-469E-AD2F-24F56CE0966A}"/>
  </w:font>
  <w:font w:name="Arial Unicode MS">
    <w:altName w:val="宋体"/>
    <w:panose1 w:val="020B0604020202020204"/>
    <w:charset w:val="86"/>
    <w:family w:val="auto"/>
    <w:pitch w:val="default"/>
    <w:sig w:usb0="00000000" w:usb1="00000000" w:usb2="0000003F" w:usb3="00000000" w:csb0="603F01FF" w:csb1="FFFF0000"/>
  </w:font>
  <w:font w:name="pingfang sc">
    <w:altName w:val="宋体"/>
    <w:panose1 w:val="020B0400000000000000"/>
    <w:charset w:val="86"/>
    <w:family w:val="auto"/>
    <w:pitch w:val="default"/>
    <w:sig w:usb0="00000000" w:usb1="00000000" w:usb2="00000017" w:usb3="00000000" w:csb0="00040001" w:csb1="00000000"/>
  </w:font>
  <w:font w:name="Helvetica Neue">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Batang">
    <w:altName w:val="Malgun Gothic"/>
    <w:panose1 w:val="02030600000101010101"/>
    <w:charset w:val="81"/>
    <w:family w:val="roman"/>
    <w:pitch w:val="default"/>
    <w:sig w:usb0="00000000" w:usb1="00000000" w:usb2="00000030" w:usb3="00000000" w:csb0="4008009F" w:csb1="DFD7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adjustRightInd w:val="0"/>
      <w:snapToGrid w:val="0"/>
      <w:jc w:val="left"/>
      <w:rPr>
        <w:rFonts w:ascii="宋体" w:hAnsi="Times New Roman" w:eastAsia="宋体" w:cs="Times New Roman"/>
        <w:kern w:val="0"/>
        <w:sz w:val="18"/>
        <w:szCs w:val="20"/>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93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93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double" w:color="FF9900" w:sz="8" w:space="0"/>
      </w:pBdr>
      <w:jc w:val="left"/>
    </w:pPr>
    <w:r>
      <w:rPr>
        <w:rFonts w:hint="eastAsia" w:eastAsia="宋体"/>
        <w:lang w:eastAsia="zh-CN"/>
      </w:rPr>
      <w:drawing>
        <wp:inline distT="0" distB="0" distL="114300" distR="114300">
          <wp:extent cx="2625725" cy="344170"/>
          <wp:effectExtent l="0" t="0" r="0" b="17780"/>
          <wp:docPr id="5" name="图片 1" descr="6d1c33d3f8d5e2c99c49ea8cc88b898b_logo"/>
          <wp:cNvGraphicFramePr/>
          <a:graphic xmlns:a="http://schemas.openxmlformats.org/drawingml/2006/main">
            <a:graphicData uri="http://schemas.openxmlformats.org/drawingml/2006/picture">
              <pic:pic xmlns:pic="http://schemas.openxmlformats.org/drawingml/2006/picture">
                <pic:nvPicPr>
                  <pic:cNvPr id="5" name="图片 1" descr="6d1c33d3f8d5e2c99c49ea8cc88b898b_logo"/>
                  <pic:cNvPicPr/>
                </pic:nvPicPr>
                <pic:blipFill>
                  <a:blip r:embed="rId1"/>
                  <a:stretch>
                    <a:fillRect/>
                  </a:stretch>
                </pic:blipFill>
                <pic:spPr>
                  <a:xfrm>
                    <a:off x="0" y="0"/>
                    <a:ext cx="2625725" cy="3441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984100"/>
    <w:multiLevelType w:val="singleLevel"/>
    <w:tmpl w:val="86984100"/>
    <w:lvl w:ilvl="0" w:tentative="0">
      <w:start w:val="1"/>
      <w:numFmt w:val="decimal"/>
      <w:suff w:val="nothing"/>
      <w:lvlText w:val="（%1）"/>
      <w:lvlJc w:val="left"/>
    </w:lvl>
  </w:abstractNum>
  <w:abstractNum w:abstractNumId="1">
    <w:nsid w:val="00000001"/>
    <w:multiLevelType w:val="multilevel"/>
    <w:tmpl w:val="00000001"/>
    <w:lvl w:ilvl="0" w:tentative="0">
      <w:start w:val="1"/>
      <w:numFmt w:val="decimal"/>
      <w:suff w:val="space"/>
      <w:lvlText w:val="%1."/>
      <w:lvlJc w:val="left"/>
    </w:lvl>
    <w:lvl w:ilvl="1" w:tentative="0">
      <w:start w:val="1"/>
      <w:numFmt w:val="decimal"/>
      <w:lvlText w:val="%1.%2."/>
      <w:lvlJc w:val="left"/>
      <w:pPr>
        <w:tabs>
          <w:tab w:val="left" w:pos="312"/>
        </w:tabs>
        <w:ind w:left="0" w:firstLine="0"/>
      </w:pPr>
      <w:rPr>
        <w:rFonts w:hint="default"/>
      </w:rPr>
    </w:lvl>
    <w:lvl w:ilvl="2" w:tentative="0">
      <w:start w:val="1"/>
      <w:numFmt w:val="decimal"/>
      <w:lvlText w:val="%1.%2.%3."/>
      <w:lvlJc w:val="left"/>
      <w:pPr>
        <w:tabs>
          <w:tab w:val="left" w:pos="312"/>
        </w:tabs>
        <w:ind w:left="0" w:firstLine="0"/>
      </w:pPr>
      <w:rPr>
        <w:rFonts w:hint="default"/>
      </w:rPr>
    </w:lvl>
    <w:lvl w:ilvl="3" w:tentative="0">
      <w:start w:val="1"/>
      <w:numFmt w:val="decimal"/>
      <w:lvlText w:val="%1.%2.%3.%4."/>
      <w:lvlJc w:val="left"/>
      <w:pPr>
        <w:tabs>
          <w:tab w:val="left" w:pos="312"/>
        </w:tabs>
        <w:ind w:left="0" w:firstLine="0"/>
      </w:pPr>
      <w:rPr>
        <w:rFonts w:hint="default"/>
      </w:rPr>
    </w:lvl>
    <w:lvl w:ilvl="4" w:tentative="0">
      <w:start w:val="1"/>
      <w:numFmt w:val="decimal"/>
      <w:lvlText w:val="%1.%2.%3.%4.%5."/>
      <w:lvlJc w:val="left"/>
      <w:pPr>
        <w:tabs>
          <w:tab w:val="left" w:pos="312"/>
        </w:tabs>
        <w:ind w:left="0" w:firstLine="0"/>
      </w:pPr>
      <w:rPr>
        <w:rFonts w:hint="default"/>
      </w:rPr>
    </w:lvl>
    <w:lvl w:ilvl="5" w:tentative="0">
      <w:start w:val="1"/>
      <w:numFmt w:val="decimal"/>
      <w:lvlText w:val="%1.%2.%3.%4.%5.%6."/>
      <w:lvlJc w:val="left"/>
      <w:pPr>
        <w:tabs>
          <w:tab w:val="left" w:pos="312"/>
        </w:tabs>
        <w:ind w:left="0" w:firstLine="0"/>
      </w:pPr>
      <w:rPr>
        <w:rFonts w:hint="default"/>
      </w:rPr>
    </w:lvl>
    <w:lvl w:ilvl="6" w:tentative="0">
      <w:start w:val="1"/>
      <w:numFmt w:val="decimal"/>
      <w:lvlText w:val="%1.%2.%3.%4.%5.%6.%7."/>
      <w:lvlJc w:val="left"/>
      <w:pPr>
        <w:tabs>
          <w:tab w:val="left" w:pos="312"/>
        </w:tabs>
        <w:ind w:left="0" w:firstLine="0"/>
      </w:pPr>
      <w:rPr>
        <w:rFonts w:hint="default"/>
      </w:rPr>
    </w:lvl>
    <w:lvl w:ilvl="7" w:tentative="0">
      <w:start w:val="1"/>
      <w:numFmt w:val="decimal"/>
      <w:lvlText w:val="%1.%2.%3.%4.%5.%6.%7.%8."/>
      <w:lvlJc w:val="left"/>
      <w:pPr>
        <w:tabs>
          <w:tab w:val="left" w:pos="312"/>
        </w:tabs>
        <w:ind w:left="0" w:firstLine="0"/>
      </w:pPr>
      <w:rPr>
        <w:rFonts w:hint="default"/>
      </w:rPr>
    </w:lvl>
    <w:lvl w:ilvl="8" w:tentative="0">
      <w:start w:val="1"/>
      <w:numFmt w:val="decimal"/>
      <w:lvlText w:val="%1.%2.%3.%4.%5.%6.%7.%8.%9."/>
      <w:lvlJc w:val="left"/>
      <w:pPr>
        <w:tabs>
          <w:tab w:val="left" w:pos="312"/>
        </w:tabs>
        <w:ind w:left="0" w:firstLine="0"/>
      </w:pPr>
      <w:rPr>
        <w:rFonts w:hint="default"/>
      </w:rPr>
    </w:lvl>
  </w:abstractNum>
  <w:abstractNum w:abstractNumId="2">
    <w:nsid w:val="00000006"/>
    <w:multiLevelType w:val="multilevel"/>
    <w:tmpl w:val="00000006"/>
    <w:lvl w:ilvl="0" w:tentative="0">
      <w:start w:val="1"/>
      <w:numFmt w:val="upperLetter"/>
      <w:pStyle w:val="36"/>
      <w:lvlText w:val="%1."/>
      <w:lvlJc w:val="left"/>
      <w:pPr>
        <w:widowControl/>
        <w:tabs>
          <w:tab w:val="left" w:pos="752"/>
        </w:tabs>
        <w:ind w:left="752" w:hanging="468"/>
        <w:textAlignment w:val="baseline"/>
      </w:pPr>
    </w:lvl>
    <w:lvl w:ilvl="1" w:tentative="0">
      <w:start w:val="1"/>
      <w:numFmt w:val="decimal"/>
      <w:lvlText w:val="%1."/>
      <w:lvlJc w:val="left"/>
      <w:pPr>
        <w:widowControl/>
        <w:tabs>
          <w:tab w:val="left" w:pos="1724"/>
        </w:tabs>
        <w:ind w:left="1724" w:hanging="360"/>
        <w:textAlignment w:val="baseline"/>
      </w:pPr>
    </w:lvl>
    <w:lvl w:ilvl="2" w:tentative="0">
      <w:start w:val="1"/>
      <w:numFmt w:val="decimal"/>
      <w:lvlText w:val="%1."/>
      <w:lvlJc w:val="left"/>
      <w:pPr>
        <w:widowControl/>
        <w:tabs>
          <w:tab w:val="left" w:pos="644"/>
        </w:tabs>
        <w:ind w:left="644" w:hanging="360"/>
        <w:textAlignment w:val="baseline"/>
      </w:pPr>
    </w:lvl>
    <w:lvl w:ilvl="3" w:tentative="0">
      <w:start w:val="1"/>
      <w:numFmt w:val="decimal"/>
      <w:lvlText w:val="%1."/>
      <w:lvlJc w:val="left"/>
      <w:pPr>
        <w:widowControl/>
        <w:tabs>
          <w:tab w:val="left" w:pos="3164"/>
        </w:tabs>
        <w:ind w:left="3164" w:hanging="360"/>
        <w:textAlignment w:val="baseline"/>
      </w:pPr>
    </w:lvl>
    <w:lvl w:ilvl="4" w:tentative="0">
      <w:start w:val="1"/>
      <w:numFmt w:val="decimal"/>
      <w:lvlText w:val="%1."/>
      <w:lvlJc w:val="left"/>
      <w:pPr>
        <w:widowControl/>
        <w:tabs>
          <w:tab w:val="left" w:pos="3884"/>
        </w:tabs>
        <w:ind w:left="3884" w:hanging="360"/>
        <w:textAlignment w:val="baseline"/>
      </w:pPr>
    </w:lvl>
    <w:lvl w:ilvl="5" w:tentative="0">
      <w:start w:val="1"/>
      <w:numFmt w:val="decimal"/>
      <w:lvlText w:val="%1."/>
      <w:lvlJc w:val="left"/>
      <w:pPr>
        <w:widowControl/>
        <w:tabs>
          <w:tab w:val="left" w:pos="4604"/>
        </w:tabs>
        <w:ind w:left="4604" w:hanging="360"/>
        <w:textAlignment w:val="baseline"/>
      </w:pPr>
    </w:lvl>
    <w:lvl w:ilvl="6" w:tentative="0">
      <w:start w:val="1"/>
      <w:numFmt w:val="decimal"/>
      <w:lvlText w:val="%1."/>
      <w:lvlJc w:val="left"/>
      <w:pPr>
        <w:widowControl/>
        <w:tabs>
          <w:tab w:val="left" w:pos="5324"/>
        </w:tabs>
        <w:ind w:left="5324" w:hanging="360"/>
        <w:textAlignment w:val="baseline"/>
      </w:pPr>
    </w:lvl>
    <w:lvl w:ilvl="7" w:tentative="0">
      <w:start w:val="1"/>
      <w:numFmt w:val="decimal"/>
      <w:lvlText w:val="%1."/>
      <w:lvlJc w:val="left"/>
      <w:pPr>
        <w:widowControl/>
        <w:tabs>
          <w:tab w:val="left" w:pos="6044"/>
        </w:tabs>
        <w:ind w:left="6044" w:hanging="360"/>
        <w:textAlignment w:val="baseline"/>
      </w:pPr>
    </w:lvl>
    <w:lvl w:ilvl="8" w:tentative="0">
      <w:start w:val="1"/>
      <w:numFmt w:val="decimal"/>
      <w:lvlText w:val="%1."/>
      <w:lvlJc w:val="left"/>
      <w:pPr>
        <w:widowControl/>
        <w:tabs>
          <w:tab w:val="left" w:pos="6764"/>
        </w:tabs>
        <w:ind w:left="6764" w:hanging="360"/>
        <w:textAlignment w:val="baseline"/>
      </w:pPr>
    </w:lvl>
  </w:abstractNum>
  <w:abstractNum w:abstractNumId="3">
    <w:nsid w:val="00000008"/>
    <w:multiLevelType w:val="multilevel"/>
    <w:tmpl w:val="00000008"/>
    <w:lvl w:ilvl="0" w:tentative="0">
      <w:start w:val="1"/>
      <w:numFmt w:val="decimal"/>
      <w:lvlText w:val="%1"/>
      <w:lvlJc w:val="left"/>
      <w:pPr>
        <w:ind w:left="432" w:hanging="432"/>
      </w:pPr>
      <w:rPr>
        <w:rFonts w:hint="eastAsia"/>
      </w:rPr>
    </w:lvl>
    <w:lvl w:ilvl="1" w:tentative="0">
      <w:start w:val="1"/>
      <w:numFmt w:val="decimal"/>
      <w:pStyle w:val="77"/>
      <w:lvlText w:val="%1.%2"/>
      <w:lvlJc w:val="left"/>
      <w:pPr>
        <w:ind w:left="576" w:hanging="576"/>
      </w:pPr>
      <w:rPr>
        <w:rFonts w:hint="eastAsia"/>
        <w:b/>
        <w:i w:val="0"/>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4">
    <w:nsid w:val="02DCE725"/>
    <w:multiLevelType w:val="singleLevel"/>
    <w:tmpl w:val="02DCE725"/>
    <w:lvl w:ilvl="0" w:tentative="0">
      <w:start w:val="5"/>
      <w:numFmt w:val="decimal"/>
      <w:suff w:val="space"/>
      <w:lvlText w:val="第%1章"/>
      <w:lvlJc w:val="left"/>
    </w:lvl>
  </w:abstractNum>
  <w:abstractNum w:abstractNumId="5">
    <w:nsid w:val="16A08124"/>
    <w:multiLevelType w:val="singleLevel"/>
    <w:tmpl w:val="16A08124"/>
    <w:lvl w:ilvl="0" w:tentative="0">
      <w:start w:val="2"/>
      <w:numFmt w:val="chineseCounting"/>
      <w:suff w:val="nothing"/>
      <w:lvlText w:val="%1、"/>
      <w:lvlJc w:val="left"/>
      <w:rPr>
        <w:rFonts w:hint="eastAsia"/>
      </w:rPr>
    </w:lvl>
  </w:abstractNum>
  <w:abstractNum w:abstractNumId="6">
    <w:nsid w:val="32205D2A"/>
    <w:multiLevelType w:val="singleLevel"/>
    <w:tmpl w:val="32205D2A"/>
    <w:lvl w:ilvl="0" w:tentative="0">
      <w:start w:val="1"/>
      <w:numFmt w:val="decimal"/>
      <w:suff w:val="nothing"/>
      <w:lvlText w:val="%1、"/>
      <w:lvlJc w:val="left"/>
      <w:pPr>
        <w:ind w:left="-62"/>
      </w:pPr>
    </w:lvl>
  </w:abstractNum>
  <w:abstractNum w:abstractNumId="7">
    <w:nsid w:val="55828DFF"/>
    <w:multiLevelType w:val="multilevel"/>
    <w:tmpl w:val="55828DFF"/>
    <w:lvl w:ilvl="0" w:tentative="0">
      <w:start w:val="1"/>
      <w:numFmt w:val="decimal"/>
      <w:lvlText w:val="%1."/>
      <w:lvlJc w:val="left"/>
      <w:pPr>
        <w:tabs>
          <w:tab w:val="left" w:pos="432"/>
        </w:tabs>
        <w:ind w:left="432" w:hanging="432"/>
      </w:pPr>
      <w:rPr>
        <w:rFonts w:hint="default" w:ascii="Times New Roman" w:hAnsi="Times New Roman" w:cs="Times New Roman"/>
      </w:rPr>
    </w:lvl>
    <w:lvl w:ilvl="1" w:tentative="0">
      <w:start w:val="1"/>
      <w:numFmt w:val="decimal"/>
      <w:lvlText w:val="%1.%2."/>
      <w:lvlJc w:val="left"/>
      <w:pPr>
        <w:tabs>
          <w:tab w:val="left" w:pos="575"/>
        </w:tabs>
        <w:ind w:left="575" w:hanging="575"/>
      </w:pPr>
      <w:rPr>
        <w:rFonts w:hint="default" w:ascii="Times New Roman" w:hAnsi="Times New Roman" w:cs="Times New Roman"/>
        <w:lang w:val="en-US"/>
      </w:rPr>
    </w:lvl>
    <w:lvl w:ilvl="2" w:tentative="0">
      <w:start w:val="1"/>
      <w:numFmt w:val="decimal"/>
      <w:pStyle w:val="85"/>
      <w:lvlText w:val="%1.%2.%3."/>
      <w:lvlJc w:val="left"/>
      <w:pPr>
        <w:tabs>
          <w:tab w:val="left" w:pos="720"/>
        </w:tabs>
        <w:ind w:left="720" w:hanging="720"/>
      </w:pPr>
      <w:rPr>
        <w:rFonts w:hint="default" w:ascii="Times New Roman" w:hAnsi="Times New Roman" w:eastAsia="黑体" w:cs="Times New Roman"/>
        <w:b/>
        <w:bCs/>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86"/>
      <w:lvlText w:val="%1.%2.%3.%4."/>
      <w:lvlJc w:val="left"/>
      <w:pPr>
        <w:tabs>
          <w:tab w:val="left" w:pos="864"/>
        </w:tabs>
        <w:ind w:left="864" w:hanging="864"/>
      </w:pPr>
      <w:rPr>
        <w:rFonts w:hint="default" w:ascii="Times New Roman" w:hAnsi="Times New Roman" w:eastAsia="黑体" w:cs="Times New Roman"/>
        <w:lang w:val="en-US"/>
      </w:rPr>
    </w:lvl>
    <w:lvl w:ilvl="4" w:tentative="0">
      <w:start w:val="1"/>
      <w:numFmt w:val="decimal"/>
      <w:lvlText w:val="%1.%2.%3.%4.%5."/>
      <w:lvlJc w:val="left"/>
      <w:pPr>
        <w:tabs>
          <w:tab w:val="left" w:pos="1008"/>
        </w:tabs>
        <w:ind w:left="1008" w:hanging="1008"/>
      </w:pPr>
      <w:rPr>
        <w:rFonts w:hint="default" w:ascii="Times New Roman" w:hAnsi="Times New Roman" w:cs="Times New Roman"/>
      </w:rPr>
    </w:lvl>
    <w:lvl w:ilvl="5" w:tentative="0">
      <w:start w:val="1"/>
      <w:numFmt w:val="decimal"/>
      <w:lvlText w:val="%1.%2.%3.%4.%5.%6."/>
      <w:lvlJc w:val="left"/>
      <w:pPr>
        <w:tabs>
          <w:tab w:val="left" w:pos="1151"/>
        </w:tabs>
        <w:ind w:left="1151" w:hanging="1151"/>
      </w:pPr>
      <w:rPr>
        <w:rFonts w:hint="default" w:ascii="Times New Roman" w:hAnsi="Times New Roman" w:cs="Times New Roman"/>
      </w:rPr>
    </w:lvl>
    <w:lvl w:ilvl="6" w:tentative="0">
      <w:start w:val="1"/>
      <w:numFmt w:val="decimal"/>
      <w:lvlText w:val="%1.%2.%3.%4.%5.%6.%7."/>
      <w:lvlJc w:val="left"/>
      <w:pPr>
        <w:tabs>
          <w:tab w:val="left" w:pos="1296"/>
        </w:tabs>
        <w:ind w:left="1296" w:hanging="1296"/>
      </w:pPr>
      <w:rPr>
        <w:rFonts w:hint="default" w:ascii="Times New Roman" w:hAnsi="Times New Roman" w:cs="Times New Roman"/>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3"/>
        </w:tabs>
        <w:ind w:left="1583" w:hanging="1583"/>
      </w:pPr>
      <w:rPr>
        <w:rFonts w:hint="default"/>
      </w:rPr>
    </w:lvl>
  </w:abstractNum>
  <w:num w:numId="1">
    <w:abstractNumId w:val="2"/>
  </w:num>
  <w:num w:numId="2">
    <w:abstractNumId w:val="3"/>
  </w:num>
  <w:num w:numId="3">
    <w:abstractNumId w:val="7"/>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wN2VkYmUwNzMxMWIyZTYyMmE2NzkzY2EzMTJjNjQifQ=="/>
  </w:docVars>
  <w:rsids>
    <w:rsidRoot w:val="00000000"/>
    <w:rsid w:val="00081654"/>
    <w:rsid w:val="00186BF0"/>
    <w:rsid w:val="00320039"/>
    <w:rsid w:val="003A4DB8"/>
    <w:rsid w:val="00417EF4"/>
    <w:rsid w:val="006360BD"/>
    <w:rsid w:val="0073763C"/>
    <w:rsid w:val="008E53B2"/>
    <w:rsid w:val="00A010BF"/>
    <w:rsid w:val="00A20AC9"/>
    <w:rsid w:val="00B22F90"/>
    <w:rsid w:val="00B71F65"/>
    <w:rsid w:val="00CA58C6"/>
    <w:rsid w:val="00CD1788"/>
    <w:rsid w:val="00D81EC4"/>
    <w:rsid w:val="00DC7C1D"/>
    <w:rsid w:val="00DE5743"/>
    <w:rsid w:val="00E80370"/>
    <w:rsid w:val="00FB62F5"/>
    <w:rsid w:val="010C0502"/>
    <w:rsid w:val="01113BE8"/>
    <w:rsid w:val="01155CC0"/>
    <w:rsid w:val="012028B4"/>
    <w:rsid w:val="014632E9"/>
    <w:rsid w:val="014E721F"/>
    <w:rsid w:val="0160084E"/>
    <w:rsid w:val="01621A8C"/>
    <w:rsid w:val="017F2465"/>
    <w:rsid w:val="0192652E"/>
    <w:rsid w:val="019B7276"/>
    <w:rsid w:val="01AC75F0"/>
    <w:rsid w:val="01B36BD0"/>
    <w:rsid w:val="01B85F94"/>
    <w:rsid w:val="01D60B10"/>
    <w:rsid w:val="01E24E4B"/>
    <w:rsid w:val="020C008E"/>
    <w:rsid w:val="022528E9"/>
    <w:rsid w:val="023F0464"/>
    <w:rsid w:val="024535A0"/>
    <w:rsid w:val="0247556A"/>
    <w:rsid w:val="02714395"/>
    <w:rsid w:val="02720839"/>
    <w:rsid w:val="02775E4F"/>
    <w:rsid w:val="02782B63"/>
    <w:rsid w:val="0281282A"/>
    <w:rsid w:val="028265A2"/>
    <w:rsid w:val="029E27A3"/>
    <w:rsid w:val="02A00FF1"/>
    <w:rsid w:val="02AE7397"/>
    <w:rsid w:val="02C933CD"/>
    <w:rsid w:val="02CB1CF7"/>
    <w:rsid w:val="02CD36F4"/>
    <w:rsid w:val="02DD1F30"/>
    <w:rsid w:val="02E47996"/>
    <w:rsid w:val="02E910D4"/>
    <w:rsid w:val="02F86670"/>
    <w:rsid w:val="02FE3E7B"/>
    <w:rsid w:val="030D2310"/>
    <w:rsid w:val="032338E1"/>
    <w:rsid w:val="032923D9"/>
    <w:rsid w:val="032D29B2"/>
    <w:rsid w:val="032D4760"/>
    <w:rsid w:val="03413725"/>
    <w:rsid w:val="035937A7"/>
    <w:rsid w:val="03635BA2"/>
    <w:rsid w:val="036A59B4"/>
    <w:rsid w:val="039B2F0B"/>
    <w:rsid w:val="039B6747"/>
    <w:rsid w:val="039B791C"/>
    <w:rsid w:val="03A17621"/>
    <w:rsid w:val="03A63592"/>
    <w:rsid w:val="03B15391"/>
    <w:rsid w:val="03B24C65"/>
    <w:rsid w:val="03D472D2"/>
    <w:rsid w:val="03E00F19"/>
    <w:rsid w:val="04003C23"/>
    <w:rsid w:val="040C0819"/>
    <w:rsid w:val="041246D3"/>
    <w:rsid w:val="0418202A"/>
    <w:rsid w:val="042042C5"/>
    <w:rsid w:val="0422003D"/>
    <w:rsid w:val="042647B4"/>
    <w:rsid w:val="042F62B6"/>
    <w:rsid w:val="0442248D"/>
    <w:rsid w:val="0495080F"/>
    <w:rsid w:val="04956A61"/>
    <w:rsid w:val="04C64E6C"/>
    <w:rsid w:val="04DA0DAB"/>
    <w:rsid w:val="04E11CA6"/>
    <w:rsid w:val="05151950"/>
    <w:rsid w:val="05283431"/>
    <w:rsid w:val="052B035A"/>
    <w:rsid w:val="052E222C"/>
    <w:rsid w:val="05654685"/>
    <w:rsid w:val="05A473F7"/>
    <w:rsid w:val="05B918D7"/>
    <w:rsid w:val="05C3315A"/>
    <w:rsid w:val="05E74AEF"/>
    <w:rsid w:val="05F0727E"/>
    <w:rsid w:val="05F9301F"/>
    <w:rsid w:val="06043E9E"/>
    <w:rsid w:val="060A6FDB"/>
    <w:rsid w:val="062513A7"/>
    <w:rsid w:val="062E4A77"/>
    <w:rsid w:val="065169B7"/>
    <w:rsid w:val="065232F6"/>
    <w:rsid w:val="066E1317"/>
    <w:rsid w:val="06727711"/>
    <w:rsid w:val="068C3E93"/>
    <w:rsid w:val="06952D48"/>
    <w:rsid w:val="069D39AB"/>
    <w:rsid w:val="06A116ED"/>
    <w:rsid w:val="06A27213"/>
    <w:rsid w:val="06A905A2"/>
    <w:rsid w:val="06AE3898"/>
    <w:rsid w:val="06B82B89"/>
    <w:rsid w:val="06BF5690"/>
    <w:rsid w:val="06C13B3D"/>
    <w:rsid w:val="06C734E4"/>
    <w:rsid w:val="06CD0C1A"/>
    <w:rsid w:val="06DC4AF7"/>
    <w:rsid w:val="06E415DA"/>
    <w:rsid w:val="06ED4932"/>
    <w:rsid w:val="07043A2A"/>
    <w:rsid w:val="0705147D"/>
    <w:rsid w:val="070677A2"/>
    <w:rsid w:val="070E48A8"/>
    <w:rsid w:val="07155A8F"/>
    <w:rsid w:val="074C5C86"/>
    <w:rsid w:val="07577514"/>
    <w:rsid w:val="07623E5D"/>
    <w:rsid w:val="07666493"/>
    <w:rsid w:val="07735B4E"/>
    <w:rsid w:val="07876595"/>
    <w:rsid w:val="078F1CCE"/>
    <w:rsid w:val="07A11524"/>
    <w:rsid w:val="07A44D2D"/>
    <w:rsid w:val="07BC125F"/>
    <w:rsid w:val="07F43A9E"/>
    <w:rsid w:val="080B2B96"/>
    <w:rsid w:val="08493DEA"/>
    <w:rsid w:val="084B1AA8"/>
    <w:rsid w:val="08573CD6"/>
    <w:rsid w:val="085D1644"/>
    <w:rsid w:val="086C1BEB"/>
    <w:rsid w:val="08752E31"/>
    <w:rsid w:val="088F0C53"/>
    <w:rsid w:val="08C1200F"/>
    <w:rsid w:val="08D14FA8"/>
    <w:rsid w:val="08D2254A"/>
    <w:rsid w:val="08D60107"/>
    <w:rsid w:val="08D833C0"/>
    <w:rsid w:val="08E12275"/>
    <w:rsid w:val="08E317DD"/>
    <w:rsid w:val="08E477A1"/>
    <w:rsid w:val="08E55999"/>
    <w:rsid w:val="08E873D7"/>
    <w:rsid w:val="08E9737B"/>
    <w:rsid w:val="08F024B8"/>
    <w:rsid w:val="08F32F05"/>
    <w:rsid w:val="09016473"/>
    <w:rsid w:val="09033A4F"/>
    <w:rsid w:val="09045F63"/>
    <w:rsid w:val="090B72F2"/>
    <w:rsid w:val="090D0669"/>
    <w:rsid w:val="091C0C95"/>
    <w:rsid w:val="092E642F"/>
    <w:rsid w:val="09532A47"/>
    <w:rsid w:val="095D5673"/>
    <w:rsid w:val="096D3B08"/>
    <w:rsid w:val="097E3F67"/>
    <w:rsid w:val="097E5D15"/>
    <w:rsid w:val="0989582F"/>
    <w:rsid w:val="099870EA"/>
    <w:rsid w:val="099A0675"/>
    <w:rsid w:val="09A03C4E"/>
    <w:rsid w:val="09A07FFE"/>
    <w:rsid w:val="09A137B2"/>
    <w:rsid w:val="09C6146A"/>
    <w:rsid w:val="09C6272F"/>
    <w:rsid w:val="09E029B5"/>
    <w:rsid w:val="09E31E6F"/>
    <w:rsid w:val="0A4D1921"/>
    <w:rsid w:val="0A5359E5"/>
    <w:rsid w:val="0A560A40"/>
    <w:rsid w:val="0A960E3D"/>
    <w:rsid w:val="0AA00E18"/>
    <w:rsid w:val="0AB44861"/>
    <w:rsid w:val="0AB614DF"/>
    <w:rsid w:val="0ADA0003"/>
    <w:rsid w:val="0AE41BA8"/>
    <w:rsid w:val="0AF04068"/>
    <w:rsid w:val="0AF50259"/>
    <w:rsid w:val="0AF67B2D"/>
    <w:rsid w:val="0B0B182B"/>
    <w:rsid w:val="0B0C55A3"/>
    <w:rsid w:val="0B11176E"/>
    <w:rsid w:val="0B3D1979"/>
    <w:rsid w:val="0B432F08"/>
    <w:rsid w:val="0B544C74"/>
    <w:rsid w:val="0B6E381F"/>
    <w:rsid w:val="0B7A075E"/>
    <w:rsid w:val="0B8442F4"/>
    <w:rsid w:val="0B894DF9"/>
    <w:rsid w:val="0BAF5126"/>
    <w:rsid w:val="0BB05F2E"/>
    <w:rsid w:val="0BC07AD2"/>
    <w:rsid w:val="0BE27694"/>
    <w:rsid w:val="0BFE313E"/>
    <w:rsid w:val="0C063DA0"/>
    <w:rsid w:val="0C0727E4"/>
    <w:rsid w:val="0C1D5661"/>
    <w:rsid w:val="0C1E558E"/>
    <w:rsid w:val="0C291FD0"/>
    <w:rsid w:val="0C300E1D"/>
    <w:rsid w:val="0C4D19CF"/>
    <w:rsid w:val="0C522904"/>
    <w:rsid w:val="0C601702"/>
    <w:rsid w:val="0C6D153E"/>
    <w:rsid w:val="0C741652"/>
    <w:rsid w:val="0C7D0506"/>
    <w:rsid w:val="0C7F4408"/>
    <w:rsid w:val="0C8A49D1"/>
    <w:rsid w:val="0CA773D5"/>
    <w:rsid w:val="0CC638F0"/>
    <w:rsid w:val="0CCF6888"/>
    <w:rsid w:val="0CDF2F6F"/>
    <w:rsid w:val="0CE916F8"/>
    <w:rsid w:val="0CEF17A5"/>
    <w:rsid w:val="0CF602B9"/>
    <w:rsid w:val="0CF84031"/>
    <w:rsid w:val="0D065FC8"/>
    <w:rsid w:val="0D0E1995"/>
    <w:rsid w:val="0D374B59"/>
    <w:rsid w:val="0D4E3C51"/>
    <w:rsid w:val="0D5A43A4"/>
    <w:rsid w:val="0D6945E7"/>
    <w:rsid w:val="0D896A37"/>
    <w:rsid w:val="0D957AD2"/>
    <w:rsid w:val="0D9D2C7A"/>
    <w:rsid w:val="0DCD726B"/>
    <w:rsid w:val="0DCF1477"/>
    <w:rsid w:val="0DD203DE"/>
    <w:rsid w:val="0DDA1A7E"/>
    <w:rsid w:val="0DDA54E4"/>
    <w:rsid w:val="0E043EE4"/>
    <w:rsid w:val="0E0F38A2"/>
    <w:rsid w:val="0E105498"/>
    <w:rsid w:val="0E365F6B"/>
    <w:rsid w:val="0E55497A"/>
    <w:rsid w:val="0E5928AD"/>
    <w:rsid w:val="0E7C47EE"/>
    <w:rsid w:val="0EAA4EB7"/>
    <w:rsid w:val="0EB21FBD"/>
    <w:rsid w:val="0EEF72C3"/>
    <w:rsid w:val="0EF24390"/>
    <w:rsid w:val="0EFE3455"/>
    <w:rsid w:val="0F113188"/>
    <w:rsid w:val="0F143C29"/>
    <w:rsid w:val="0F16079E"/>
    <w:rsid w:val="0F1835DE"/>
    <w:rsid w:val="0F3853C5"/>
    <w:rsid w:val="0F4935D9"/>
    <w:rsid w:val="0F6E0014"/>
    <w:rsid w:val="0F723C8C"/>
    <w:rsid w:val="0F7617CD"/>
    <w:rsid w:val="0FB32592"/>
    <w:rsid w:val="0FB84D34"/>
    <w:rsid w:val="0FBE2B5A"/>
    <w:rsid w:val="0FC54741"/>
    <w:rsid w:val="0FD14C8B"/>
    <w:rsid w:val="0FD22917"/>
    <w:rsid w:val="0FD61CDB"/>
    <w:rsid w:val="0FDC1CEE"/>
    <w:rsid w:val="0FDD12BC"/>
    <w:rsid w:val="0FF652C6"/>
    <w:rsid w:val="10000D77"/>
    <w:rsid w:val="10120F66"/>
    <w:rsid w:val="10162528"/>
    <w:rsid w:val="10280789"/>
    <w:rsid w:val="104574EA"/>
    <w:rsid w:val="10616D58"/>
    <w:rsid w:val="108D101D"/>
    <w:rsid w:val="108D7DC6"/>
    <w:rsid w:val="10901321"/>
    <w:rsid w:val="109149C6"/>
    <w:rsid w:val="10A65B52"/>
    <w:rsid w:val="10B84B6F"/>
    <w:rsid w:val="10C7057C"/>
    <w:rsid w:val="10CF32FA"/>
    <w:rsid w:val="10EA3C90"/>
    <w:rsid w:val="10F62635"/>
    <w:rsid w:val="112A6783"/>
    <w:rsid w:val="11375FBE"/>
    <w:rsid w:val="114A3477"/>
    <w:rsid w:val="11503189"/>
    <w:rsid w:val="115B0FFA"/>
    <w:rsid w:val="115E5581"/>
    <w:rsid w:val="115F151F"/>
    <w:rsid w:val="116C28F7"/>
    <w:rsid w:val="117B00BB"/>
    <w:rsid w:val="11806BCC"/>
    <w:rsid w:val="118278EA"/>
    <w:rsid w:val="118572CC"/>
    <w:rsid w:val="119245C3"/>
    <w:rsid w:val="11A46535"/>
    <w:rsid w:val="11A71B81"/>
    <w:rsid w:val="11AA45C9"/>
    <w:rsid w:val="11AB4793"/>
    <w:rsid w:val="11AB78C4"/>
    <w:rsid w:val="11C50105"/>
    <w:rsid w:val="11CE678B"/>
    <w:rsid w:val="11CF74C4"/>
    <w:rsid w:val="11D30BC8"/>
    <w:rsid w:val="11D746F8"/>
    <w:rsid w:val="11DB182B"/>
    <w:rsid w:val="11FF376C"/>
    <w:rsid w:val="120875B7"/>
    <w:rsid w:val="123C051C"/>
    <w:rsid w:val="12525F91"/>
    <w:rsid w:val="12527D3F"/>
    <w:rsid w:val="12592360"/>
    <w:rsid w:val="126637EB"/>
    <w:rsid w:val="12690F71"/>
    <w:rsid w:val="128B14A3"/>
    <w:rsid w:val="12A460C1"/>
    <w:rsid w:val="12AC5303"/>
    <w:rsid w:val="12BB3B36"/>
    <w:rsid w:val="12C14EC5"/>
    <w:rsid w:val="12DD1CFF"/>
    <w:rsid w:val="12E12E71"/>
    <w:rsid w:val="12ED5CBA"/>
    <w:rsid w:val="12EF0959"/>
    <w:rsid w:val="12EF37E0"/>
    <w:rsid w:val="12F11306"/>
    <w:rsid w:val="12FC31D3"/>
    <w:rsid w:val="130D010A"/>
    <w:rsid w:val="13143247"/>
    <w:rsid w:val="132C6146"/>
    <w:rsid w:val="133631BD"/>
    <w:rsid w:val="133D5CF7"/>
    <w:rsid w:val="13453400"/>
    <w:rsid w:val="135F0966"/>
    <w:rsid w:val="136D5CBC"/>
    <w:rsid w:val="13702B73"/>
    <w:rsid w:val="1377365B"/>
    <w:rsid w:val="137A29E8"/>
    <w:rsid w:val="13857617"/>
    <w:rsid w:val="138B75FD"/>
    <w:rsid w:val="139A6651"/>
    <w:rsid w:val="13A16876"/>
    <w:rsid w:val="13B16CE7"/>
    <w:rsid w:val="13B642FE"/>
    <w:rsid w:val="13BA2040"/>
    <w:rsid w:val="13BB1914"/>
    <w:rsid w:val="13C44C6D"/>
    <w:rsid w:val="13D97F0D"/>
    <w:rsid w:val="13DB225F"/>
    <w:rsid w:val="13DD7ADC"/>
    <w:rsid w:val="13EB21F9"/>
    <w:rsid w:val="13F866C4"/>
    <w:rsid w:val="14027543"/>
    <w:rsid w:val="140530B1"/>
    <w:rsid w:val="140B0464"/>
    <w:rsid w:val="141C5039"/>
    <w:rsid w:val="141F155F"/>
    <w:rsid w:val="142A5FDC"/>
    <w:rsid w:val="142B2A40"/>
    <w:rsid w:val="142E0338"/>
    <w:rsid w:val="143B3D82"/>
    <w:rsid w:val="143D057B"/>
    <w:rsid w:val="144933C4"/>
    <w:rsid w:val="146E4BD8"/>
    <w:rsid w:val="14700951"/>
    <w:rsid w:val="14720B92"/>
    <w:rsid w:val="148651F0"/>
    <w:rsid w:val="148B7538"/>
    <w:rsid w:val="148F5561"/>
    <w:rsid w:val="149169E7"/>
    <w:rsid w:val="14AD5701"/>
    <w:rsid w:val="14B064D3"/>
    <w:rsid w:val="14D329F2"/>
    <w:rsid w:val="14E1184E"/>
    <w:rsid w:val="14E263D6"/>
    <w:rsid w:val="14E32ED1"/>
    <w:rsid w:val="150B2427"/>
    <w:rsid w:val="151439D2"/>
    <w:rsid w:val="151C1B9F"/>
    <w:rsid w:val="152628C2"/>
    <w:rsid w:val="15290693"/>
    <w:rsid w:val="15325C06"/>
    <w:rsid w:val="153D570D"/>
    <w:rsid w:val="154A13E4"/>
    <w:rsid w:val="156B673E"/>
    <w:rsid w:val="156F0C08"/>
    <w:rsid w:val="15825156"/>
    <w:rsid w:val="15845CC9"/>
    <w:rsid w:val="1585667E"/>
    <w:rsid w:val="158E5532"/>
    <w:rsid w:val="15973CBB"/>
    <w:rsid w:val="159A283B"/>
    <w:rsid w:val="159F6641"/>
    <w:rsid w:val="15A44D56"/>
    <w:rsid w:val="15AA5C4A"/>
    <w:rsid w:val="15B900D5"/>
    <w:rsid w:val="15C42D02"/>
    <w:rsid w:val="15C727F2"/>
    <w:rsid w:val="15D2031F"/>
    <w:rsid w:val="15DB28B8"/>
    <w:rsid w:val="15DF5D8E"/>
    <w:rsid w:val="16161084"/>
    <w:rsid w:val="16175528"/>
    <w:rsid w:val="161B48EC"/>
    <w:rsid w:val="16421E79"/>
    <w:rsid w:val="16493207"/>
    <w:rsid w:val="16552373"/>
    <w:rsid w:val="166B7621"/>
    <w:rsid w:val="16731E78"/>
    <w:rsid w:val="1679118E"/>
    <w:rsid w:val="16826719"/>
    <w:rsid w:val="16A00DA8"/>
    <w:rsid w:val="16A13043"/>
    <w:rsid w:val="16B02706"/>
    <w:rsid w:val="16BA2357"/>
    <w:rsid w:val="16BA6D54"/>
    <w:rsid w:val="16BF796D"/>
    <w:rsid w:val="16D57BCB"/>
    <w:rsid w:val="16E41182"/>
    <w:rsid w:val="170D15F4"/>
    <w:rsid w:val="170F66BD"/>
    <w:rsid w:val="171037CA"/>
    <w:rsid w:val="17131521"/>
    <w:rsid w:val="17360AC8"/>
    <w:rsid w:val="17384C14"/>
    <w:rsid w:val="17393C13"/>
    <w:rsid w:val="175B20CB"/>
    <w:rsid w:val="176A116E"/>
    <w:rsid w:val="177D47A8"/>
    <w:rsid w:val="178A48A1"/>
    <w:rsid w:val="178A7F7B"/>
    <w:rsid w:val="179018DD"/>
    <w:rsid w:val="17961E8F"/>
    <w:rsid w:val="17A65C04"/>
    <w:rsid w:val="17B9260F"/>
    <w:rsid w:val="17C0399D"/>
    <w:rsid w:val="17C972FA"/>
    <w:rsid w:val="17CE7E68"/>
    <w:rsid w:val="18023FB5"/>
    <w:rsid w:val="1820443C"/>
    <w:rsid w:val="18365A0D"/>
    <w:rsid w:val="18451036"/>
    <w:rsid w:val="18714C97"/>
    <w:rsid w:val="187A3B4C"/>
    <w:rsid w:val="187C5B16"/>
    <w:rsid w:val="18955D2D"/>
    <w:rsid w:val="189F33C8"/>
    <w:rsid w:val="18AE37F5"/>
    <w:rsid w:val="18AF6446"/>
    <w:rsid w:val="18B34D16"/>
    <w:rsid w:val="18CB43A7"/>
    <w:rsid w:val="18D100B7"/>
    <w:rsid w:val="18D13587"/>
    <w:rsid w:val="18F51424"/>
    <w:rsid w:val="19172397"/>
    <w:rsid w:val="19193365"/>
    <w:rsid w:val="192137DF"/>
    <w:rsid w:val="19282810"/>
    <w:rsid w:val="193A2B22"/>
    <w:rsid w:val="19492209"/>
    <w:rsid w:val="196366AC"/>
    <w:rsid w:val="196F6835"/>
    <w:rsid w:val="19856C4C"/>
    <w:rsid w:val="19866520"/>
    <w:rsid w:val="19940C3D"/>
    <w:rsid w:val="1998697F"/>
    <w:rsid w:val="19A03A86"/>
    <w:rsid w:val="19A0795C"/>
    <w:rsid w:val="19AF5011"/>
    <w:rsid w:val="19D92AF4"/>
    <w:rsid w:val="19F93196"/>
    <w:rsid w:val="19FE21FC"/>
    <w:rsid w:val="1A0538E9"/>
    <w:rsid w:val="1A084B70"/>
    <w:rsid w:val="1A19736B"/>
    <w:rsid w:val="1A1F2BFD"/>
    <w:rsid w:val="1A203775"/>
    <w:rsid w:val="1A2541AB"/>
    <w:rsid w:val="1A265440"/>
    <w:rsid w:val="1A383B94"/>
    <w:rsid w:val="1A554870"/>
    <w:rsid w:val="1A646862"/>
    <w:rsid w:val="1A66082C"/>
    <w:rsid w:val="1A705133"/>
    <w:rsid w:val="1A756CC1"/>
    <w:rsid w:val="1A892E22"/>
    <w:rsid w:val="1A8C4BE2"/>
    <w:rsid w:val="1AD03EF7"/>
    <w:rsid w:val="1AE254F2"/>
    <w:rsid w:val="1AE45BF4"/>
    <w:rsid w:val="1AE9448A"/>
    <w:rsid w:val="1AEB0D31"/>
    <w:rsid w:val="1B121D3A"/>
    <w:rsid w:val="1B1905FB"/>
    <w:rsid w:val="1B1B5E81"/>
    <w:rsid w:val="1B1E2EB4"/>
    <w:rsid w:val="1B214753"/>
    <w:rsid w:val="1B222DFA"/>
    <w:rsid w:val="1B2435A0"/>
    <w:rsid w:val="1B274760"/>
    <w:rsid w:val="1B3C333B"/>
    <w:rsid w:val="1B3E5305"/>
    <w:rsid w:val="1B497395"/>
    <w:rsid w:val="1B4D19EC"/>
    <w:rsid w:val="1B4F09C0"/>
    <w:rsid w:val="1B50328A"/>
    <w:rsid w:val="1B6D1746"/>
    <w:rsid w:val="1B83540D"/>
    <w:rsid w:val="1B8D153C"/>
    <w:rsid w:val="1B8F5B60"/>
    <w:rsid w:val="1BC05D1A"/>
    <w:rsid w:val="1BC17CE4"/>
    <w:rsid w:val="1BC7217D"/>
    <w:rsid w:val="1BDE43F2"/>
    <w:rsid w:val="1BE0016A"/>
    <w:rsid w:val="1BEA58FD"/>
    <w:rsid w:val="1BEF4261"/>
    <w:rsid w:val="1C164132"/>
    <w:rsid w:val="1C25527C"/>
    <w:rsid w:val="1C276235"/>
    <w:rsid w:val="1C2C1601"/>
    <w:rsid w:val="1C38492A"/>
    <w:rsid w:val="1C485D0F"/>
    <w:rsid w:val="1C4F0B8B"/>
    <w:rsid w:val="1C4F67E6"/>
    <w:rsid w:val="1C5F46E4"/>
    <w:rsid w:val="1C662D65"/>
    <w:rsid w:val="1C6A73B8"/>
    <w:rsid w:val="1C753007"/>
    <w:rsid w:val="1C7A236C"/>
    <w:rsid w:val="1C892A23"/>
    <w:rsid w:val="1C9A2A0F"/>
    <w:rsid w:val="1C9C4DED"/>
    <w:rsid w:val="1CBE053D"/>
    <w:rsid w:val="1CD001DE"/>
    <w:rsid w:val="1CD87093"/>
    <w:rsid w:val="1CF07981"/>
    <w:rsid w:val="1CF814E3"/>
    <w:rsid w:val="1D01040A"/>
    <w:rsid w:val="1D012A8E"/>
    <w:rsid w:val="1D1231FB"/>
    <w:rsid w:val="1D2D6FEF"/>
    <w:rsid w:val="1D38412F"/>
    <w:rsid w:val="1D5E4D92"/>
    <w:rsid w:val="1D7A5D3C"/>
    <w:rsid w:val="1D8D4321"/>
    <w:rsid w:val="1D9456B0"/>
    <w:rsid w:val="1D9C6BA7"/>
    <w:rsid w:val="1DC6338F"/>
    <w:rsid w:val="1DC85359"/>
    <w:rsid w:val="1DCD7F9C"/>
    <w:rsid w:val="1DD95F2A"/>
    <w:rsid w:val="1DDC3E11"/>
    <w:rsid w:val="1DE2466D"/>
    <w:rsid w:val="1DEC6A8C"/>
    <w:rsid w:val="1DF1508D"/>
    <w:rsid w:val="1DFE521F"/>
    <w:rsid w:val="1E081BFA"/>
    <w:rsid w:val="1E14234D"/>
    <w:rsid w:val="1E1965DF"/>
    <w:rsid w:val="1E262080"/>
    <w:rsid w:val="1E28404A"/>
    <w:rsid w:val="1E2B7253"/>
    <w:rsid w:val="1E360515"/>
    <w:rsid w:val="1E3C6860"/>
    <w:rsid w:val="1E3D159B"/>
    <w:rsid w:val="1E5E3995"/>
    <w:rsid w:val="1E613D0C"/>
    <w:rsid w:val="1E6A65D5"/>
    <w:rsid w:val="1E756287"/>
    <w:rsid w:val="1E8618AA"/>
    <w:rsid w:val="1E8C45D9"/>
    <w:rsid w:val="1E8E65A3"/>
    <w:rsid w:val="1E982F7E"/>
    <w:rsid w:val="1E9A6CF6"/>
    <w:rsid w:val="1EA44311"/>
    <w:rsid w:val="1EAF3635"/>
    <w:rsid w:val="1ED27475"/>
    <w:rsid w:val="1ED45E22"/>
    <w:rsid w:val="1ED61CF8"/>
    <w:rsid w:val="1EE879B6"/>
    <w:rsid w:val="1EF503D0"/>
    <w:rsid w:val="1EF74148"/>
    <w:rsid w:val="1F073C5F"/>
    <w:rsid w:val="1F0B3750"/>
    <w:rsid w:val="1F4153C3"/>
    <w:rsid w:val="1F52137F"/>
    <w:rsid w:val="1F585820"/>
    <w:rsid w:val="1F792252"/>
    <w:rsid w:val="1F7B107E"/>
    <w:rsid w:val="1F813A12"/>
    <w:rsid w:val="1F8E4D0D"/>
    <w:rsid w:val="1F8E612F"/>
    <w:rsid w:val="1F933265"/>
    <w:rsid w:val="1F941997"/>
    <w:rsid w:val="1F9C6A9E"/>
    <w:rsid w:val="1FA47700"/>
    <w:rsid w:val="1FA83694"/>
    <w:rsid w:val="1FB65DB1"/>
    <w:rsid w:val="1FC2498B"/>
    <w:rsid w:val="1FED10A7"/>
    <w:rsid w:val="1FFC578E"/>
    <w:rsid w:val="1FFE1506"/>
    <w:rsid w:val="1FFE5062"/>
    <w:rsid w:val="201C198C"/>
    <w:rsid w:val="20234AC9"/>
    <w:rsid w:val="203767C6"/>
    <w:rsid w:val="2039253E"/>
    <w:rsid w:val="2043516B"/>
    <w:rsid w:val="2076109D"/>
    <w:rsid w:val="207B3921"/>
    <w:rsid w:val="2096528F"/>
    <w:rsid w:val="209B6D55"/>
    <w:rsid w:val="209F6845"/>
    <w:rsid w:val="20A42F05"/>
    <w:rsid w:val="20A774A8"/>
    <w:rsid w:val="20D43B7D"/>
    <w:rsid w:val="20D90C0A"/>
    <w:rsid w:val="2107263D"/>
    <w:rsid w:val="21134B3E"/>
    <w:rsid w:val="21397256"/>
    <w:rsid w:val="21414B57"/>
    <w:rsid w:val="2144119B"/>
    <w:rsid w:val="21526D1B"/>
    <w:rsid w:val="215533A8"/>
    <w:rsid w:val="215E79BE"/>
    <w:rsid w:val="216E2542"/>
    <w:rsid w:val="21863561"/>
    <w:rsid w:val="21A734D8"/>
    <w:rsid w:val="21A80E9D"/>
    <w:rsid w:val="21C8620E"/>
    <w:rsid w:val="21CB2917"/>
    <w:rsid w:val="21DA1AFF"/>
    <w:rsid w:val="21E169EA"/>
    <w:rsid w:val="21ED7C7E"/>
    <w:rsid w:val="21F015B6"/>
    <w:rsid w:val="22067F80"/>
    <w:rsid w:val="2207555D"/>
    <w:rsid w:val="2210107D"/>
    <w:rsid w:val="22273242"/>
    <w:rsid w:val="222D7D43"/>
    <w:rsid w:val="223E4D78"/>
    <w:rsid w:val="225B49EE"/>
    <w:rsid w:val="226D0907"/>
    <w:rsid w:val="227E692E"/>
    <w:rsid w:val="22813E3B"/>
    <w:rsid w:val="22853819"/>
    <w:rsid w:val="22A52C15"/>
    <w:rsid w:val="22AC53BE"/>
    <w:rsid w:val="22C04851"/>
    <w:rsid w:val="22CC1448"/>
    <w:rsid w:val="22D4654E"/>
    <w:rsid w:val="22E907A2"/>
    <w:rsid w:val="22EE3A71"/>
    <w:rsid w:val="22EF32E0"/>
    <w:rsid w:val="22F17100"/>
    <w:rsid w:val="2300164C"/>
    <w:rsid w:val="23137077"/>
    <w:rsid w:val="232029BC"/>
    <w:rsid w:val="232474D6"/>
    <w:rsid w:val="23261B35"/>
    <w:rsid w:val="232A616E"/>
    <w:rsid w:val="23330577"/>
    <w:rsid w:val="23384D2F"/>
    <w:rsid w:val="233B0019"/>
    <w:rsid w:val="233F31F6"/>
    <w:rsid w:val="23447230"/>
    <w:rsid w:val="234A6048"/>
    <w:rsid w:val="23573852"/>
    <w:rsid w:val="235E2BD1"/>
    <w:rsid w:val="235F2990"/>
    <w:rsid w:val="2378337E"/>
    <w:rsid w:val="238B4E5F"/>
    <w:rsid w:val="23BC3AB0"/>
    <w:rsid w:val="23D27FC5"/>
    <w:rsid w:val="23F67FA6"/>
    <w:rsid w:val="240069B4"/>
    <w:rsid w:val="241035B6"/>
    <w:rsid w:val="2429545C"/>
    <w:rsid w:val="243273B9"/>
    <w:rsid w:val="244F40DF"/>
    <w:rsid w:val="24694582"/>
    <w:rsid w:val="246F2824"/>
    <w:rsid w:val="249441E7"/>
    <w:rsid w:val="24997A50"/>
    <w:rsid w:val="249C4BBB"/>
    <w:rsid w:val="24AA6765"/>
    <w:rsid w:val="24AE5C38"/>
    <w:rsid w:val="24BF7810"/>
    <w:rsid w:val="24DD6CB2"/>
    <w:rsid w:val="251B0465"/>
    <w:rsid w:val="25267DED"/>
    <w:rsid w:val="25361296"/>
    <w:rsid w:val="2536529E"/>
    <w:rsid w:val="253F23A5"/>
    <w:rsid w:val="25401C79"/>
    <w:rsid w:val="254B5DAB"/>
    <w:rsid w:val="254D531C"/>
    <w:rsid w:val="256421C0"/>
    <w:rsid w:val="256C6F12"/>
    <w:rsid w:val="257162D7"/>
    <w:rsid w:val="257B7155"/>
    <w:rsid w:val="258E20A6"/>
    <w:rsid w:val="25A30932"/>
    <w:rsid w:val="25A71CF8"/>
    <w:rsid w:val="25DA0320"/>
    <w:rsid w:val="25DE2665"/>
    <w:rsid w:val="25E116AE"/>
    <w:rsid w:val="25E91C5D"/>
    <w:rsid w:val="25F0369F"/>
    <w:rsid w:val="25F0544D"/>
    <w:rsid w:val="25F34F3E"/>
    <w:rsid w:val="2601599D"/>
    <w:rsid w:val="26061B44"/>
    <w:rsid w:val="26192BF6"/>
    <w:rsid w:val="261F5D33"/>
    <w:rsid w:val="262275D1"/>
    <w:rsid w:val="26345C82"/>
    <w:rsid w:val="263C68E5"/>
    <w:rsid w:val="264141BE"/>
    <w:rsid w:val="26541209"/>
    <w:rsid w:val="265E2CFF"/>
    <w:rsid w:val="266207CC"/>
    <w:rsid w:val="267E514F"/>
    <w:rsid w:val="26886A0E"/>
    <w:rsid w:val="268A7650"/>
    <w:rsid w:val="26962499"/>
    <w:rsid w:val="26997893"/>
    <w:rsid w:val="26AB7EF8"/>
    <w:rsid w:val="26AF70B6"/>
    <w:rsid w:val="26CA4055"/>
    <w:rsid w:val="26CC5EBA"/>
    <w:rsid w:val="26CF59AB"/>
    <w:rsid w:val="26D44631"/>
    <w:rsid w:val="26E50D2A"/>
    <w:rsid w:val="26FD2518"/>
    <w:rsid w:val="2700271D"/>
    <w:rsid w:val="27286E18"/>
    <w:rsid w:val="272C6959"/>
    <w:rsid w:val="274F0899"/>
    <w:rsid w:val="2758774E"/>
    <w:rsid w:val="276C144B"/>
    <w:rsid w:val="27750300"/>
    <w:rsid w:val="277E2C99"/>
    <w:rsid w:val="279C100B"/>
    <w:rsid w:val="27A57F4E"/>
    <w:rsid w:val="27A713AB"/>
    <w:rsid w:val="27AF2C80"/>
    <w:rsid w:val="27C13545"/>
    <w:rsid w:val="27E2170E"/>
    <w:rsid w:val="27FA7575"/>
    <w:rsid w:val="27FC27CF"/>
    <w:rsid w:val="2803474D"/>
    <w:rsid w:val="280B47C0"/>
    <w:rsid w:val="281776AC"/>
    <w:rsid w:val="284303FE"/>
    <w:rsid w:val="284B3BC6"/>
    <w:rsid w:val="28645A37"/>
    <w:rsid w:val="28753D57"/>
    <w:rsid w:val="287700A8"/>
    <w:rsid w:val="287B7B98"/>
    <w:rsid w:val="28893937"/>
    <w:rsid w:val="288D7DE9"/>
    <w:rsid w:val="28920A3E"/>
    <w:rsid w:val="28A075FF"/>
    <w:rsid w:val="28A16ED3"/>
    <w:rsid w:val="28C130D1"/>
    <w:rsid w:val="28CA642A"/>
    <w:rsid w:val="28DB4EF1"/>
    <w:rsid w:val="28EC1051"/>
    <w:rsid w:val="29011C0D"/>
    <w:rsid w:val="29051484"/>
    <w:rsid w:val="290A0F1C"/>
    <w:rsid w:val="29213387"/>
    <w:rsid w:val="29315676"/>
    <w:rsid w:val="294A57BC"/>
    <w:rsid w:val="29515CEB"/>
    <w:rsid w:val="29521364"/>
    <w:rsid w:val="295D5ECC"/>
    <w:rsid w:val="29655FD9"/>
    <w:rsid w:val="29763724"/>
    <w:rsid w:val="29902D23"/>
    <w:rsid w:val="299D3B3E"/>
    <w:rsid w:val="29B64C00"/>
    <w:rsid w:val="29EC6874"/>
    <w:rsid w:val="29F64FFC"/>
    <w:rsid w:val="2A015762"/>
    <w:rsid w:val="2A0A2B51"/>
    <w:rsid w:val="2A0F5990"/>
    <w:rsid w:val="2A112973"/>
    <w:rsid w:val="2A1C2CB5"/>
    <w:rsid w:val="2A2658E2"/>
    <w:rsid w:val="2A391AB9"/>
    <w:rsid w:val="2A516AF2"/>
    <w:rsid w:val="2A522E74"/>
    <w:rsid w:val="2A571F3F"/>
    <w:rsid w:val="2A573CED"/>
    <w:rsid w:val="2A6959DB"/>
    <w:rsid w:val="2A720B27"/>
    <w:rsid w:val="2A742AF1"/>
    <w:rsid w:val="2A7A3E7F"/>
    <w:rsid w:val="2A977767"/>
    <w:rsid w:val="2A9A007E"/>
    <w:rsid w:val="2AA07B14"/>
    <w:rsid w:val="2AAF7153"/>
    <w:rsid w:val="2AB40C59"/>
    <w:rsid w:val="2AD43590"/>
    <w:rsid w:val="2AD510B6"/>
    <w:rsid w:val="2AD92954"/>
    <w:rsid w:val="2AF53506"/>
    <w:rsid w:val="2B1240B8"/>
    <w:rsid w:val="2B1716CE"/>
    <w:rsid w:val="2B2202CB"/>
    <w:rsid w:val="2B22254D"/>
    <w:rsid w:val="2B3109E2"/>
    <w:rsid w:val="2B312790"/>
    <w:rsid w:val="2B6352AF"/>
    <w:rsid w:val="2B827326"/>
    <w:rsid w:val="2B8D0C77"/>
    <w:rsid w:val="2B94630C"/>
    <w:rsid w:val="2BA534A8"/>
    <w:rsid w:val="2BC5112A"/>
    <w:rsid w:val="2BE45A54"/>
    <w:rsid w:val="2BF832AE"/>
    <w:rsid w:val="2BFE65D6"/>
    <w:rsid w:val="2BFF63EA"/>
    <w:rsid w:val="2C1A1476"/>
    <w:rsid w:val="2C1F4CDE"/>
    <w:rsid w:val="2C333511"/>
    <w:rsid w:val="2C477D91"/>
    <w:rsid w:val="2C4A2D0A"/>
    <w:rsid w:val="2C6F1ADB"/>
    <w:rsid w:val="2C9A25B7"/>
    <w:rsid w:val="2C9D1712"/>
    <w:rsid w:val="2C9E3E55"/>
    <w:rsid w:val="2CAB0E29"/>
    <w:rsid w:val="2CAB6572"/>
    <w:rsid w:val="2CAE39BA"/>
    <w:rsid w:val="2CC61918"/>
    <w:rsid w:val="2CCE1A27"/>
    <w:rsid w:val="2CED26E7"/>
    <w:rsid w:val="2CF0667B"/>
    <w:rsid w:val="2CF75313"/>
    <w:rsid w:val="2D13752C"/>
    <w:rsid w:val="2D18318D"/>
    <w:rsid w:val="2D300EFC"/>
    <w:rsid w:val="2D3F513B"/>
    <w:rsid w:val="2D510EC7"/>
    <w:rsid w:val="2D6261EF"/>
    <w:rsid w:val="2D684463"/>
    <w:rsid w:val="2D6A3D37"/>
    <w:rsid w:val="2D742E08"/>
    <w:rsid w:val="2D880661"/>
    <w:rsid w:val="2D8F7C42"/>
    <w:rsid w:val="2DA84860"/>
    <w:rsid w:val="2DC97D1C"/>
    <w:rsid w:val="2DEB5BE1"/>
    <w:rsid w:val="2DED7FEE"/>
    <w:rsid w:val="2DF14458"/>
    <w:rsid w:val="2E0B376C"/>
    <w:rsid w:val="2E254102"/>
    <w:rsid w:val="2E304F81"/>
    <w:rsid w:val="2E3879E0"/>
    <w:rsid w:val="2E4A2DDA"/>
    <w:rsid w:val="2E5363CC"/>
    <w:rsid w:val="2E5721D6"/>
    <w:rsid w:val="2E7D3F3E"/>
    <w:rsid w:val="2E870919"/>
    <w:rsid w:val="2E933762"/>
    <w:rsid w:val="2E98487F"/>
    <w:rsid w:val="2EA9088F"/>
    <w:rsid w:val="2EA94D33"/>
    <w:rsid w:val="2EAC5507"/>
    <w:rsid w:val="2EAE60F1"/>
    <w:rsid w:val="2EB1632E"/>
    <w:rsid w:val="2EB57CA5"/>
    <w:rsid w:val="2EBE07DF"/>
    <w:rsid w:val="2ED779BC"/>
    <w:rsid w:val="2EDE49DD"/>
    <w:rsid w:val="2EF064BE"/>
    <w:rsid w:val="2EF3743D"/>
    <w:rsid w:val="2EF94174"/>
    <w:rsid w:val="2F0106CB"/>
    <w:rsid w:val="2F024126"/>
    <w:rsid w:val="2F046095"/>
    <w:rsid w:val="2F1777F0"/>
    <w:rsid w:val="2F195A15"/>
    <w:rsid w:val="2F1A353B"/>
    <w:rsid w:val="2F2A7575"/>
    <w:rsid w:val="2F3445FD"/>
    <w:rsid w:val="2F5E78CC"/>
    <w:rsid w:val="2F633F94"/>
    <w:rsid w:val="2F6429C2"/>
    <w:rsid w:val="2F6E42FA"/>
    <w:rsid w:val="2F745341"/>
    <w:rsid w:val="2F8108E2"/>
    <w:rsid w:val="2F972DDE"/>
    <w:rsid w:val="2F9E21D1"/>
    <w:rsid w:val="2F9E416C"/>
    <w:rsid w:val="2FC16BFF"/>
    <w:rsid w:val="2FDA26E6"/>
    <w:rsid w:val="2FF40284"/>
    <w:rsid w:val="2FFA3A98"/>
    <w:rsid w:val="301D32E3"/>
    <w:rsid w:val="3049232A"/>
    <w:rsid w:val="304C5976"/>
    <w:rsid w:val="305603A6"/>
    <w:rsid w:val="30654D09"/>
    <w:rsid w:val="3071362F"/>
    <w:rsid w:val="3086532C"/>
    <w:rsid w:val="308710A4"/>
    <w:rsid w:val="30936FF5"/>
    <w:rsid w:val="30963095"/>
    <w:rsid w:val="309C45E7"/>
    <w:rsid w:val="30A12166"/>
    <w:rsid w:val="30A13BD7"/>
    <w:rsid w:val="30B71989"/>
    <w:rsid w:val="30CA0702"/>
    <w:rsid w:val="30CF6097"/>
    <w:rsid w:val="30D065A7"/>
    <w:rsid w:val="30D342E9"/>
    <w:rsid w:val="30D51E0F"/>
    <w:rsid w:val="30DD0CC4"/>
    <w:rsid w:val="310F320C"/>
    <w:rsid w:val="311A3CC6"/>
    <w:rsid w:val="31313A34"/>
    <w:rsid w:val="315C0D08"/>
    <w:rsid w:val="316E7B6E"/>
    <w:rsid w:val="317F1A54"/>
    <w:rsid w:val="31A17F44"/>
    <w:rsid w:val="31C364EC"/>
    <w:rsid w:val="31D41044"/>
    <w:rsid w:val="31D6381C"/>
    <w:rsid w:val="31D64091"/>
    <w:rsid w:val="31D976DD"/>
    <w:rsid w:val="31FB5844"/>
    <w:rsid w:val="31FC33CC"/>
    <w:rsid w:val="32036508"/>
    <w:rsid w:val="32153953"/>
    <w:rsid w:val="32186458"/>
    <w:rsid w:val="32195D2C"/>
    <w:rsid w:val="321E77E6"/>
    <w:rsid w:val="322D17D7"/>
    <w:rsid w:val="322E7A29"/>
    <w:rsid w:val="3243731A"/>
    <w:rsid w:val="325736B4"/>
    <w:rsid w:val="32630C08"/>
    <w:rsid w:val="32780945"/>
    <w:rsid w:val="328016EB"/>
    <w:rsid w:val="328119CD"/>
    <w:rsid w:val="328E671A"/>
    <w:rsid w:val="32BE5662"/>
    <w:rsid w:val="32D0288E"/>
    <w:rsid w:val="32F02F31"/>
    <w:rsid w:val="32F83B93"/>
    <w:rsid w:val="33175865"/>
    <w:rsid w:val="332E1CAB"/>
    <w:rsid w:val="3341378C"/>
    <w:rsid w:val="33490375"/>
    <w:rsid w:val="336458B3"/>
    <w:rsid w:val="33700177"/>
    <w:rsid w:val="337F6063"/>
    <w:rsid w:val="339733AC"/>
    <w:rsid w:val="33A13E34"/>
    <w:rsid w:val="33AB50A9"/>
    <w:rsid w:val="33B0446E"/>
    <w:rsid w:val="33CC093E"/>
    <w:rsid w:val="33D44600"/>
    <w:rsid w:val="33EA7980"/>
    <w:rsid w:val="33F94067"/>
    <w:rsid w:val="33FD557F"/>
    <w:rsid w:val="34082B44"/>
    <w:rsid w:val="340B05C3"/>
    <w:rsid w:val="340B5857"/>
    <w:rsid w:val="341669C7"/>
    <w:rsid w:val="341A3513"/>
    <w:rsid w:val="342F1837"/>
    <w:rsid w:val="344C063B"/>
    <w:rsid w:val="347C7A35"/>
    <w:rsid w:val="347E631A"/>
    <w:rsid w:val="34931DC5"/>
    <w:rsid w:val="34993154"/>
    <w:rsid w:val="349B3370"/>
    <w:rsid w:val="34B41D3C"/>
    <w:rsid w:val="34C07A59"/>
    <w:rsid w:val="34D04DC8"/>
    <w:rsid w:val="34DD74E5"/>
    <w:rsid w:val="34F226A3"/>
    <w:rsid w:val="34F605A6"/>
    <w:rsid w:val="34F82570"/>
    <w:rsid w:val="34FC3E0F"/>
    <w:rsid w:val="351C2BB8"/>
    <w:rsid w:val="352E7D40"/>
    <w:rsid w:val="3538296D"/>
    <w:rsid w:val="353A713F"/>
    <w:rsid w:val="353B79A1"/>
    <w:rsid w:val="354126E6"/>
    <w:rsid w:val="35513922"/>
    <w:rsid w:val="3566572C"/>
    <w:rsid w:val="356E0679"/>
    <w:rsid w:val="35723D9A"/>
    <w:rsid w:val="357F059C"/>
    <w:rsid w:val="358D3C5A"/>
    <w:rsid w:val="3592002F"/>
    <w:rsid w:val="35AA397D"/>
    <w:rsid w:val="35BF4E3C"/>
    <w:rsid w:val="35F43F4A"/>
    <w:rsid w:val="36056CF3"/>
    <w:rsid w:val="361C228F"/>
    <w:rsid w:val="3659703F"/>
    <w:rsid w:val="365C3BAD"/>
    <w:rsid w:val="366072AB"/>
    <w:rsid w:val="366150EE"/>
    <w:rsid w:val="3668738B"/>
    <w:rsid w:val="366A4DA8"/>
    <w:rsid w:val="36703DC4"/>
    <w:rsid w:val="367F7DF8"/>
    <w:rsid w:val="36851BE2"/>
    <w:rsid w:val="369C33D8"/>
    <w:rsid w:val="36A24542"/>
    <w:rsid w:val="36AB243C"/>
    <w:rsid w:val="36B9188B"/>
    <w:rsid w:val="36C33AFE"/>
    <w:rsid w:val="36C95B54"/>
    <w:rsid w:val="36C97D20"/>
    <w:rsid w:val="36D30B9F"/>
    <w:rsid w:val="36DA1F2E"/>
    <w:rsid w:val="36E508D2"/>
    <w:rsid w:val="37015C42"/>
    <w:rsid w:val="37133692"/>
    <w:rsid w:val="371F4BBF"/>
    <w:rsid w:val="3720190B"/>
    <w:rsid w:val="37206361"/>
    <w:rsid w:val="3726294D"/>
    <w:rsid w:val="3728009E"/>
    <w:rsid w:val="374A67D1"/>
    <w:rsid w:val="374C0404"/>
    <w:rsid w:val="376E08C8"/>
    <w:rsid w:val="37765CD1"/>
    <w:rsid w:val="37822DCE"/>
    <w:rsid w:val="378F1341"/>
    <w:rsid w:val="37914E1C"/>
    <w:rsid w:val="379D4F0F"/>
    <w:rsid w:val="37B02C8E"/>
    <w:rsid w:val="37B81B43"/>
    <w:rsid w:val="37CD3840"/>
    <w:rsid w:val="37D2180A"/>
    <w:rsid w:val="37DB239E"/>
    <w:rsid w:val="37F54B45"/>
    <w:rsid w:val="380958D5"/>
    <w:rsid w:val="381C6576"/>
    <w:rsid w:val="3825367C"/>
    <w:rsid w:val="382901CF"/>
    <w:rsid w:val="382A0C93"/>
    <w:rsid w:val="383733B0"/>
    <w:rsid w:val="383E64EC"/>
    <w:rsid w:val="384B0C09"/>
    <w:rsid w:val="38530FF4"/>
    <w:rsid w:val="38575DB5"/>
    <w:rsid w:val="38757231"/>
    <w:rsid w:val="388243D6"/>
    <w:rsid w:val="38AE5AAE"/>
    <w:rsid w:val="38BE211F"/>
    <w:rsid w:val="38C5558A"/>
    <w:rsid w:val="38CF5C00"/>
    <w:rsid w:val="38DD71EC"/>
    <w:rsid w:val="38DE5455"/>
    <w:rsid w:val="38EA0422"/>
    <w:rsid w:val="38FC247C"/>
    <w:rsid w:val="391334D5"/>
    <w:rsid w:val="391978EF"/>
    <w:rsid w:val="393578EF"/>
    <w:rsid w:val="39364146"/>
    <w:rsid w:val="393F42CA"/>
    <w:rsid w:val="39661726"/>
    <w:rsid w:val="398A1150"/>
    <w:rsid w:val="39BB725A"/>
    <w:rsid w:val="39C60B71"/>
    <w:rsid w:val="39D0617D"/>
    <w:rsid w:val="39D54C2E"/>
    <w:rsid w:val="39E92488"/>
    <w:rsid w:val="39F205F1"/>
    <w:rsid w:val="39F41558"/>
    <w:rsid w:val="39FF1E0A"/>
    <w:rsid w:val="3A0D43C8"/>
    <w:rsid w:val="3A105C66"/>
    <w:rsid w:val="3A135A35"/>
    <w:rsid w:val="3A2B2AA0"/>
    <w:rsid w:val="3A2B6F44"/>
    <w:rsid w:val="3A347BA7"/>
    <w:rsid w:val="3A465B2C"/>
    <w:rsid w:val="3A573895"/>
    <w:rsid w:val="3A613026"/>
    <w:rsid w:val="3AA80595"/>
    <w:rsid w:val="3AB17012"/>
    <w:rsid w:val="3ABB3136"/>
    <w:rsid w:val="3ABB348C"/>
    <w:rsid w:val="3AD77EA7"/>
    <w:rsid w:val="3AE50EA1"/>
    <w:rsid w:val="3AFB60DC"/>
    <w:rsid w:val="3B0E03F8"/>
    <w:rsid w:val="3B134D90"/>
    <w:rsid w:val="3B286FE0"/>
    <w:rsid w:val="3B471B5C"/>
    <w:rsid w:val="3B504B55"/>
    <w:rsid w:val="3B583D69"/>
    <w:rsid w:val="3B5E6446"/>
    <w:rsid w:val="3B7B3C9E"/>
    <w:rsid w:val="3B7F22D6"/>
    <w:rsid w:val="3B9A1EA4"/>
    <w:rsid w:val="3BA7084C"/>
    <w:rsid w:val="3BB15227"/>
    <w:rsid w:val="3BBD1E1E"/>
    <w:rsid w:val="3BE54A14"/>
    <w:rsid w:val="3BF750E1"/>
    <w:rsid w:val="3C0C4D5B"/>
    <w:rsid w:val="3C1E28BD"/>
    <w:rsid w:val="3C293BC2"/>
    <w:rsid w:val="3C2B32C5"/>
    <w:rsid w:val="3C2F4ACA"/>
    <w:rsid w:val="3C395948"/>
    <w:rsid w:val="3C3C7D06"/>
    <w:rsid w:val="3C3E2452"/>
    <w:rsid w:val="3C3F6EED"/>
    <w:rsid w:val="3C487939"/>
    <w:rsid w:val="3C5C1637"/>
    <w:rsid w:val="3C5C4EAD"/>
    <w:rsid w:val="3C6F3118"/>
    <w:rsid w:val="3C74613C"/>
    <w:rsid w:val="3C7E2B25"/>
    <w:rsid w:val="3C8B3CCA"/>
    <w:rsid w:val="3C9839F9"/>
    <w:rsid w:val="3CA01012"/>
    <w:rsid w:val="3CAA02CE"/>
    <w:rsid w:val="3CB202D6"/>
    <w:rsid w:val="3CB52AF5"/>
    <w:rsid w:val="3CD069FE"/>
    <w:rsid w:val="3CD613E9"/>
    <w:rsid w:val="3CDE204C"/>
    <w:rsid w:val="3CE401C5"/>
    <w:rsid w:val="3CE91981"/>
    <w:rsid w:val="3CF87027"/>
    <w:rsid w:val="3CFC0724"/>
    <w:rsid w:val="3D163594"/>
    <w:rsid w:val="3D207281"/>
    <w:rsid w:val="3D2C2DB7"/>
    <w:rsid w:val="3D3C4E22"/>
    <w:rsid w:val="3D532D5B"/>
    <w:rsid w:val="3D672041"/>
    <w:rsid w:val="3D7B789B"/>
    <w:rsid w:val="3D954E00"/>
    <w:rsid w:val="3DA908AC"/>
    <w:rsid w:val="3DB00D18"/>
    <w:rsid w:val="3DBA4867"/>
    <w:rsid w:val="3DBC05DF"/>
    <w:rsid w:val="3DC9653B"/>
    <w:rsid w:val="3DC96858"/>
    <w:rsid w:val="3DCB6A74"/>
    <w:rsid w:val="3DD31EFC"/>
    <w:rsid w:val="3DFC6C2D"/>
    <w:rsid w:val="3E0D3B8F"/>
    <w:rsid w:val="3E1C2E2C"/>
    <w:rsid w:val="3E2C47A2"/>
    <w:rsid w:val="3E330175"/>
    <w:rsid w:val="3E3F4D6C"/>
    <w:rsid w:val="3E444130"/>
    <w:rsid w:val="3E45258B"/>
    <w:rsid w:val="3E4E4FAF"/>
    <w:rsid w:val="3E8D52E0"/>
    <w:rsid w:val="3ECA2888"/>
    <w:rsid w:val="3ED96F6F"/>
    <w:rsid w:val="3EDA1E89"/>
    <w:rsid w:val="3EF47905"/>
    <w:rsid w:val="3EF70024"/>
    <w:rsid w:val="3F0E699C"/>
    <w:rsid w:val="3F2006FA"/>
    <w:rsid w:val="3F2432A9"/>
    <w:rsid w:val="3F2C3542"/>
    <w:rsid w:val="3F316DAB"/>
    <w:rsid w:val="3F3239A8"/>
    <w:rsid w:val="3F367F1D"/>
    <w:rsid w:val="3F3917BB"/>
    <w:rsid w:val="3F483BB5"/>
    <w:rsid w:val="3F4C7741"/>
    <w:rsid w:val="3F520ACF"/>
    <w:rsid w:val="3F5D708A"/>
    <w:rsid w:val="3F6F1681"/>
    <w:rsid w:val="3F6F38B1"/>
    <w:rsid w:val="3F815597"/>
    <w:rsid w:val="3F8C0675"/>
    <w:rsid w:val="3F9A23C1"/>
    <w:rsid w:val="3FA53259"/>
    <w:rsid w:val="3FAA26B9"/>
    <w:rsid w:val="3FB65236"/>
    <w:rsid w:val="3FBE071F"/>
    <w:rsid w:val="3FFA0F65"/>
    <w:rsid w:val="40075C59"/>
    <w:rsid w:val="400821FC"/>
    <w:rsid w:val="400E7381"/>
    <w:rsid w:val="401069C0"/>
    <w:rsid w:val="403B61BE"/>
    <w:rsid w:val="403C77B5"/>
    <w:rsid w:val="403D6568"/>
    <w:rsid w:val="40552625"/>
    <w:rsid w:val="405F34A4"/>
    <w:rsid w:val="40640ABA"/>
    <w:rsid w:val="40784565"/>
    <w:rsid w:val="40813099"/>
    <w:rsid w:val="408745C2"/>
    <w:rsid w:val="40A62E81"/>
    <w:rsid w:val="40AF442B"/>
    <w:rsid w:val="40BD01A1"/>
    <w:rsid w:val="40CD3FF4"/>
    <w:rsid w:val="40DB1C6D"/>
    <w:rsid w:val="40F571EB"/>
    <w:rsid w:val="40F77B80"/>
    <w:rsid w:val="4105337E"/>
    <w:rsid w:val="4108613C"/>
    <w:rsid w:val="410F0A26"/>
    <w:rsid w:val="411F101A"/>
    <w:rsid w:val="41213BDD"/>
    <w:rsid w:val="414B05B2"/>
    <w:rsid w:val="41511589"/>
    <w:rsid w:val="415957F8"/>
    <w:rsid w:val="41670862"/>
    <w:rsid w:val="416D1FB5"/>
    <w:rsid w:val="41760AA5"/>
    <w:rsid w:val="41993698"/>
    <w:rsid w:val="419E624E"/>
    <w:rsid w:val="41CA7043"/>
    <w:rsid w:val="41DB4DAC"/>
    <w:rsid w:val="41E35FAA"/>
    <w:rsid w:val="41F3622B"/>
    <w:rsid w:val="41F6443A"/>
    <w:rsid w:val="41FF65A5"/>
    <w:rsid w:val="42067245"/>
    <w:rsid w:val="424B0183"/>
    <w:rsid w:val="424C6071"/>
    <w:rsid w:val="424C7A58"/>
    <w:rsid w:val="425132C0"/>
    <w:rsid w:val="425773AB"/>
    <w:rsid w:val="42610F23"/>
    <w:rsid w:val="4262727B"/>
    <w:rsid w:val="426B6130"/>
    <w:rsid w:val="42816EC0"/>
    <w:rsid w:val="42915308"/>
    <w:rsid w:val="42AB29D0"/>
    <w:rsid w:val="42B62EBF"/>
    <w:rsid w:val="42BA0E65"/>
    <w:rsid w:val="42BF13A8"/>
    <w:rsid w:val="42C27B04"/>
    <w:rsid w:val="42C73FA3"/>
    <w:rsid w:val="42D81D62"/>
    <w:rsid w:val="42DC004C"/>
    <w:rsid w:val="42E163F2"/>
    <w:rsid w:val="42EA174A"/>
    <w:rsid w:val="42F11D2D"/>
    <w:rsid w:val="42F92679"/>
    <w:rsid w:val="42FD6AEA"/>
    <w:rsid w:val="43066BB7"/>
    <w:rsid w:val="430F26D4"/>
    <w:rsid w:val="43170066"/>
    <w:rsid w:val="431C695E"/>
    <w:rsid w:val="432A251A"/>
    <w:rsid w:val="432A61EE"/>
    <w:rsid w:val="43413334"/>
    <w:rsid w:val="4372194D"/>
    <w:rsid w:val="4372518C"/>
    <w:rsid w:val="43937B6D"/>
    <w:rsid w:val="43BD0C0D"/>
    <w:rsid w:val="43C31F9B"/>
    <w:rsid w:val="43CF26EE"/>
    <w:rsid w:val="43D30AB1"/>
    <w:rsid w:val="43FA7FB4"/>
    <w:rsid w:val="43FB34E3"/>
    <w:rsid w:val="43FB4359"/>
    <w:rsid w:val="44093E52"/>
    <w:rsid w:val="4416031D"/>
    <w:rsid w:val="44242BF2"/>
    <w:rsid w:val="44295A18"/>
    <w:rsid w:val="443600D1"/>
    <w:rsid w:val="4439400C"/>
    <w:rsid w:val="44422052"/>
    <w:rsid w:val="4446213C"/>
    <w:rsid w:val="444843DB"/>
    <w:rsid w:val="445B0426"/>
    <w:rsid w:val="44632615"/>
    <w:rsid w:val="447A08AC"/>
    <w:rsid w:val="447A4D50"/>
    <w:rsid w:val="448C0A90"/>
    <w:rsid w:val="448E25A9"/>
    <w:rsid w:val="44B26298"/>
    <w:rsid w:val="44B85878"/>
    <w:rsid w:val="44BC353A"/>
    <w:rsid w:val="44D0671E"/>
    <w:rsid w:val="44D877ED"/>
    <w:rsid w:val="44DE4948"/>
    <w:rsid w:val="44E1092B"/>
    <w:rsid w:val="44E16B7D"/>
    <w:rsid w:val="44F57952"/>
    <w:rsid w:val="44F763A1"/>
    <w:rsid w:val="45097E82"/>
    <w:rsid w:val="451A5BEB"/>
    <w:rsid w:val="45380515"/>
    <w:rsid w:val="45383C57"/>
    <w:rsid w:val="453C0645"/>
    <w:rsid w:val="453F272D"/>
    <w:rsid w:val="453F3F6E"/>
    <w:rsid w:val="455870C9"/>
    <w:rsid w:val="455A248C"/>
    <w:rsid w:val="455C26A8"/>
    <w:rsid w:val="456926CF"/>
    <w:rsid w:val="45692AA8"/>
    <w:rsid w:val="456F23DB"/>
    <w:rsid w:val="45701CAF"/>
    <w:rsid w:val="4586275D"/>
    <w:rsid w:val="45A100BA"/>
    <w:rsid w:val="45BE2A1A"/>
    <w:rsid w:val="45CC4274"/>
    <w:rsid w:val="45DE620E"/>
    <w:rsid w:val="45E958C2"/>
    <w:rsid w:val="45EB67D2"/>
    <w:rsid w:val="4609638B"/>
    <w:rsid w:val="46144D30"/>
    <w:rsid w:val="46160AA8"/>
    <w:rsid w:val="461B3F58"/>
    <w:rsid w:val="46386C71"/>
    <w:rsid w:val="463B406B"/>
    <w:rsid w:val="464078D3"/>
    <w:rsid w:val="46412573"/>
    <w:rsid w:val="464F7B16"/>
    <w:rsid w:val="46525488"/>
    <w:rsid w:val="46535BAB"/>
    <w:rsid w:val="46554453"/>
    <w:rsid w:val="465B1E84"/>
    <w:rsid w:val="46804174"/>
    <w:rsid w:val="46A75BA4"/>
    <w:rsid w:val="46B9431C"/>
    <w:rsid w:val="46D83FB0"/>
    <w:rsid w:val="46DC584E"/>
    <w:rsid w:val="46DD15C6"/>
    <w:rsid w:val="46EB3CE3"/>
    <w:rsid w:val="46F01A52"/>
    <w:rsid w:val="46FD0452"/>
    <w:rsid w:val="46FE1EC1"/>
    <w:rsid w:val="470F4017"/>
    <w:rsid w:val="471548BC"/>
    <w:rsid w:val="47173339"/>
    <w:rsid w:val="471746ED"/>
    <w:rsid w:val="471D19C3"/>
    <w:rsid w:val="473A2575"/>
    <w:rsid w:val="473B6AF6"/>
    <w:rsid w:val="473C62ED"/>
    <w:rsid w:val="47413903"/>
    <w:rsid w:val="47631ACB"/>
    <w:rsid w:val="47681176"/>
    <w:rsid w:val="478D08F6"/>
    <w:rsid w:val="47AF0CB0"/>
    <w:rsid w:val="47B57E4D"/>
    <w:rsid w:val="47C14A44"/>
    <w:rsid w:val="47D10670"/>
    <w:rsid w:val="47ED5839"/>
    <w:rsid w:val="47EE3876"/>
    <w:rsid w:val="47FA642C"/>
    <w:rsid w:val="481D4186"/>
    <w:rsid w:val="481D7ECC"/>
    <w:rsid w:val="482B052A"/>
    <w:rsid w:val="482F19AD"/>
    <w:rsid w:val="48321BFE"/>
    <w:rsid w:val="48375991"/>
    <w:rsid w:val="483D40CA"/>
    <w:rsid w:val="4840005F"/>
    <w:rsid w:val="48474F49"/>
    <w:rsid w:val="484F2050"/>
    <w:rsid w:val="4860600B"/>
    <w:rsid w:val="487A3570"/>
    <w:rsid w:val="487F60CE"/>
    <w:rsid w:val="489901FB"/>
    <w:rsid w:val="48AB372A"/>
    <w:rsid w:val="48B14AB8"/>
    <w:rsid w:val="48B3438D"/>
    <w:rsid w:val="48D03190"/>
    <w:rsid w:val="48D12A65"/>
    <w:rsid w:val="48D24757"/>
    <w:rsid w:val="48DF1625"/>
    <w:rsid w:val="48E71DE0"/>
    <w:rsid w:val="48E955FE"/>
    <w:rsid w:val="48EB6509"/>
    <w:rsid w:val="48F50E49"/>
    <w:rsid w:val="48FD6371"/>
    <w:rsid w:val="49184B37"/>
    <w:rsid w:val="49251687"/>
    <w:rsid w:val="493C3590"/>
    <w:rsid w:val="49494CF1"/>
    <w:rsid w:val="49650D95"/>
    <w:rsid w:val="496D4E83"/>
    <w:rsid w:val="49775F25"/>
    <w:rsid w:val="49830203"/>
    <w:rsid w:val="498875C7"/>
    <w:rsid w:val="49B900C8"/>
    <w:rsid w:val="49B948C6"/>
    <w:rsid w:val="49C36851"/>
    <w:rsid w:val="49D40A5E"/>
    <w:rsid w:val="49EA3E58"/>
    <w:rsid w:val="4A03390B"/>
    <w:rsid w:val="4A083129"/>
    <w:rsid w:val="4A143551"/>
    <w:rsid w:val="4A317C5F"/>
    <w:rsid w:val="4A3B4F46"/>
    <w:rsid w:val="4A4554B8"/>
    <w:rsid w:val="4A5971B6"/>
    <w:rsid w:val="4A5C2802"/>
    <w:rsid w:val="4A5D0A54"/>
    <w:rsid w:val="4A5D766A"/>
    <w:rsid w:val="4A630B40"/>
    <w:rsid w:val="4A673681"/>
    <w:rsid w:val="4A76094F"/>
    <w:rsid w:val="4A857FAB"/>
    <w:rsid w:val="4A871F75"/>
    <w:rsid w:val="4A9457E6"/>
    <w:rsid w:val="4A9871C3"/>
    <w:rsid w:val="4AC16991"/>
    <w:rsid w:val="4AC24D5B"/>
    <w:rsid w:val="4AC46D25"/>
    <w:rsid w:val="4ACB602B"/>
    <w:rsid w:val="4ACE1952"/>
    <w:rsid w:val="4AD056CA"/>
    <w:rsid w:val="4AD91009"/>
    <w:rsid w:val="4ADD5CCA"/>
    <w:rsid w:val="4B094738"/>
    <w:rsid w:val="4B0C4228"/>
    <w:rsid w:val="4B0F4B86"/>
    <w:rsid w:val="4B1D61DE"/>
    <w:rsid w:val="4B200A28"/>
    <w:rsid w:val="4B21076A"/>
    <w:rsid w:val="4B4C5E55"/>
    <w:rsid w:val="4B4E4840"/>
    <w:rsid w:val="4B585BB2"/>
    <w:rsid w:val="4B617617"/>
    <w:rsid w:val="4B6E6C91"/>
    <w:rsid w:val="4B7324F9"/>
    <w:rsid w:val="4B8137BE"/>
    <w:rsid w:val="4B8169C4"/>
    <w:rsid w:val="4B8270B7"/>
    <w:rsid w:val="4B882CCA"/>
    <w:rsid w:val="4B897627"/>
    <w:rsid w:val="4B9009B5"/>
    <w:rsid w:val="4B9366F7"/>
    <w:rsid w:val="4BA601D9"/>
    <w:rsid w:val="4BA803F5"/>
    <w:rsid w:val="4BBC79FC"/>
    <w:rsid w:val="4BBD5522"/>
    <w:rsid w:val="4BC06985"/>
    <w:rsid w:val="4BC6554E"/>
    <w:rsid w:val="4BD9235C"/>
    <w:rsid w:val="4BDA1E27"/>
    <w:rsid w:val="4BEE392E"/>
    <w:rsid w:val="4BEF63DD"/>
    <w:rsid w:val="4BFC081A"/>
    <w:rsid w:val="4C1710D6"/>
    <w:rsid w:val="4C172E84"/>
    <w:rsid w:val="4C266B6F"/>
    <w:rsid w:val="4C371778"/>
    <w:rsid w:val="4C417533"/>
    <w:rsid w:val="4C493FB8"/>
    <w:rsid w:val="4C497552"/>
    <w:rsid w:val="4C4A14AC"/>
    <w:rsid w:val="4C545E87"/>
    <w:rsid w:val="4CA57EAF"/>
    <w:rsid w:val="4CAF54B5"/>
    <w:rsid w:val="4CC90623"/>
    <w:rsid w:val="4CCB5621"/>
    <w:rsid w:val="4CD07C03"/>
    <w:rsid w:val="4CD6614F"/>
    <w:rsid w:val="4CD945DE"/>
    <w:rsid w:val="4CDB65A8"/>
    <w:rsid w:val="4CF3744D"/>
    <w:rsid w:val="4D021466"/>
    <w:rsid w:val="4D057181"/>
    <w:rsid w:val="4D147D15"/>
    <w:rsid w:val="4D2C6E03"/>
    <w:rsid w:val="4D3637DE"/>
    <w:rsid w:val="4D3A32CE"/>
    <w:rsid w:val="4D3D7270"/>
    <w:rsid w:val="4D491763"/>
    <w:rsid w:val="4D5E6D65"/>
    <w:rsid w:val="4D6537ED"/>
    <w:rsid w:val="4D7367E0"/>
    <w:rsid w:val="4D754306"/>
    <w:rsid w:val="4D761E2D"/>
    <w:rsid w:val="4D7A191D"/>
    <w:rsid w:val="4D7C3266"/>
    <w:rsid w:val="4D840509"/>
    <w:rsid w:val="4D8C179A"/>
    <w:rsid w:val="4D8C781C"/>
    <w:rsid w:val="4D9B2972"/>
    <w:rsid w:val="4D9F75D5"/>
    <w:rsid w:val="4DAB7D28"/>
    <w:rsid w:val="4DB43081"/>
    <w:rsid w:val="4DC87D7D"/>
    <w:rsid w:val="4DCB3F26"/>
    <w:rsid w:val="4DD4390C"/>
    <w:rsid w:val="4DDD1EDB"/>
    <w:rsid w:val="4DE80F7C"/>
    <w:rsid w:val="4DEB1F11"/>
    <w:rsid w:val="4DF7145B"/>
    <w:rsid w:val="4DFD3E60"/>
    <w:rsid w:val="4E015B9A"/>
    <w:rsid w:val="4E1B3100"/>
    <w:rsid w:val="4E1C0C26"/>
    <w:rsid w:val="4E1C52A3"/>
    <w:rsid w:val="4E230DF5"/>
    <w:rsid w:val="4E2D698F"/>
    <w:rsid w:val="4E330B17"/>
    <w:rsid w:val="4E714F73"/>
    <w:rsid w:val="4E807407"/>
    <w:rsid w:val="4E967E33"/>
    <w:rsid w:val="4EA330F5"/>
    <w:rsid w:val="4EA8070C"/>
    <w:rsid w:val="4EAA7467"/>
    <w:rsid w:val="4EB470B0"/>
    <w:rsid w:val="4EC866B8"/>
    <w:rsid w:val="4ECA2430"/>
    <w:rsid w:val="4ECE7984"/>
    <w:rsid w:val="4ED137BE"/>
    <w:rsid w:val="4EDD3D64"/>
    <w:rsid w:val="4F2F0FF2"/>
    <w:rsid w:val="4F440434"/>
    <w:rsid w:val="4F561F16"/>
    <w:rsid w:val="4F565CBB"/>
    <w:rsid w:val="4F5D0147"/>
    <w:rsid w:val="4F6E725F"/>
    <w:rsid w:val="4F740E0E"/>
    <w:rsid w:val="4F894099"/>
    <w:rsid w:val="4F8A253C"/>
    <w:rsid w:val="4F950C90"/>
    <w:rsid w:val="4F9667B6"/>
    <w:rsid w:val="4F98252E"/>
    <w:rsid w:val="4F9F2B64"/>
    <w:rsid w:val="4FB235F0"/>
    <w:rsid w:val="4FCC21D8"/>
    <w:rsid w:val="4FD572DE"/>
    <w:rsid w:val="4FDC066D"/>
    <w:rsid w:val="4FE63299"/>
    <w:rsid w:val="4FE70E6E"/>
    <w:rsid w:val="4FE87012"/>
    <w:rsid w:val="4FF9723D"/>
    <w:rsid w:val="4FFF25AD"/>
    <w:rsid w:val="50077ED7"/>
    <w:rsid w:val="500A32CB"/>
    <w:rsid w:val="50210F8F"/>
    <w:rsid w:val="502142D2"/>
    <w:rsid w:val="502E0831"/>
    <w:rsid w:val="502E69EF"/>
    <w:rsid w:val="502F155F"/>
    <w:rsid w:val="50354221"/>
    <w:rsid w:val="504A0F22"/>
    <w:rsid w:val="504A72AE"/>
    <w:rsid w:val="505C355C"/>
    <w:rsid w:val="50726BE2"/>
    <w:rsid w:val="50870E47"/>
    <w:rsid w:val="50977777"/>
    <w:rsid w:val="50B11AF9"/>
    <w:rsid w:val="50CF32A9"/>
    <w:rsid w:val="50F24D94"/>
    <w:rsid w:val="50FE4613"/>
    <w:rsid w:val="511300BE"/>
    <w:rsid w:val="511B6213"/>
    <w:rsid w:val="513F5D80"/>
    <w:rsid w:val="51420665"/>
    <w:rsid w:val="51711289"/>
    <w:rsid w:val="517174DB"/>
    <w:rsid w:val="51856C95"/>
    <w:rsid w:val="51864D34"/>
    <w:rsid w:val="518671FA"/>
    <w:rsid w:val="51894824"/>
    <w:rsid w:val="518E3BE9"/>
    <w:rsid w:val="51937451"/>
    <w:rsid w:val="51A11B6E"/>
    <w:rsid w:val="51B11685"/>
    <w:rsid w:val="51B24966"/>
    <w:rsid w:val="51C63383"/>
    <w:rsid w:val="51C836E8"/>
    <w:rsid w:val="51F61B62"/>
    <w:rsid w:val="521D6D1B"/>
    <w:rsid w:val="521F2A93"/>
    <w:rsid w:val="521F6F37"/>
    <w:rsid w:val="5227392D"/>
    <w:rsid w:val="52297D7E"/>
    <w:rsid w:val="522B58DB"/>
    <w:rsid w:val="522B768A"/>
    <w:rsid w:val="523C53F3"/>
    <w:rsid w:val="524E0305"/>
    <w:rsid w:val="524F15CA"/>
    <w:rsid w:val="527C6137"/>
    <w:rsid w:val="528C45CC"/>
    <w:rsid w:val="528D5C4E"/>
    <w:rsid w:val="528F18AE"/>
    <w:rsid w:val="529841B0"/>
    <w:rsid w:val="52A10CEB"/>
    <w:rsid w:val="52AB2578"/>
    <w:rsid w:val="52AB64C9"/>
    <w:rsid w:val="52AC3333"/>
    <w:rsid w:val="52C04276"/>
    <w:rsid w:val="52C534B2"/>
    <w:rsid w:val="52D81AC8"/>
    <w:rsid w:val="52E303A7"/>
    <w:rsid w:val="52E71802"/>
    <w:rsid w:val="52EB0BC7"/>
    <w:rsid w:val="52F65D6E"/>
    <w:rsid w:val="52FF4DD7"/>
    <w:rsid w:val="530C1269"/>
    <w:rsid w:val="53193986"/>
    <w:rsid w:val="53206AC2"/>
    <w:rsid w:val="532A16EF"/>
    <w:rsid w:val="533A0733"/>
    <w:rsid w:val="53513EE3"/>
    <w:rsid w:val="536410A5"/>
    <w:rsid w:val="53733096"/>
    <w:rsid w:val="5373519D"/>
    <w:rsid w:val="537B63EF"/>
    <w:rsid w:val="53B25492"/>
    <w:rsid w:val="53D37FD9"/>
    <w:rsid w:val="53E81D65"/>
    <w:rsid w:val="53EE096F"/>
    <w:rsid w:val="540B7773"/>
    <w:rsid w:val="540D34EB"/>
    <w:rsid w:val="541C1980"/>
    <w:rsid w:val="541C54DC"/>
    <w:rsid w:val="542919A7"/>
    <w:rsid w:val="542B1BC3"/>
    <w:rsid w:val="542E2280"/>
    <w:rsid w:val="54324CFF"/>
    <w:rsid w:val="54336424"/>
    <w:rsid w:val="54364A4A"/>
    <w:rsid w:val="5438608E"/>
    <w:rsid w:val="543C5B7E"/>
    <w:rsid w:val="543D5452"/>
    <w:rsid w:val="544541E8"/>
    <w:rsid w:val="544C75C8"/>
    <w:rsid w:val="544F0695"/>
    <w:rsid w:val="545033D7"/>
    <w:rsid w:val="547060F7"/>
    <w:rsid w:val="5477549E"/>
    <w:rsid w:val="547A0454"/>
    <w:rsid w:val="548553F0"/>
    <w:rsid w:val="54B92945"/>
    <w:rsid w:val="54BF40B9"/>
    <w:rsid w:val="54CD67D6"/>
    <w:rsid w:val="54D14506"/>
    <w:rsid w:val="54D9517B"/>
    <w:rsid w:val="54E3249D"/>
    <w:rsid w:val="54F1641E"/>
    <w:rsid w:val="55056B6F"/>
    <w:rsid w:val="550A7A2A"/>
    <w:rsid w:val="551A036D"/>
    <w:rsid w:val="551B736A"/>
    <w:rsid w:val="55200FFC"/>
    <w:rsid w:val="55342CF9"/>
    <w:rsid w:val="55460729"/>
    <w:rsid w:val="55564A1D"/>
    <w:rsid w:val="55652CC8"/>
    <w:rsid w:val="55794BB0"/>
    <w:rsid w:val="55801A9A"/>
    <w:rsid w:val="55822F90"/>
    <w:rsid w:val="55992B5C"/>
    <w:rsid w:val="55A21A11"/>
    <w:rsid w:val="55B300C2"/>
    <w:rsid w:val="55BD1A84"/>
    <w:rsid w:val="55C050EC"/>
    <w:rsid w:val="55DF02B7"/>
    <w:rsid w:val="55E711DA"/>
    <w:rsid w:val="55EC35D4"/>
    <w:rsid w:val="55EC5382"/>
    <w:rsid w:val="55EF275F"/>
    <w:rsid w:val="55F06C20"/>
    <w:rsid w:val="55F52488"/>
    <w:rsid w:val="56002BDB"/>
    <w:rsid w:val="56026815"/>
    <w:rsid w:val="5606673C"/>
    <w:rsid w:val="5627460C"/>
    <w:rsid w:val="562E7748"/>
    <w:rsid w:val="564B20A8"/>
    <w:rsid w:val="565A678F"/>
    <w:rsid w:val="566B5F8F"/>
    <w:rsid w:val="566D200C"/>
    <w:rsid w:val="567A473C"/>
    <w:rsid w:val="56A63783"/>
    <w:rsid w:val="56A874FB"/>
    <w:rsid w:val="56BF0298"/>
    <w:rsid w:val="56D025AE"/>
    <w:rsid w:val="56D54068"/>
    <w:rsid w:val="56E11E48"/>
    <w:rsid w:val="56F36D7A"/>
    <w:rsid w:val="57007337"/>
    <w:rsid w:val="5725579B"/>
    <w:rsid w:val="5726041F"/>
    <w:rsid w:val="57274D83"/>
    <w:rsid w:val="572A7F10"/>
    <w:rsid w:val="57317559"/>
    <w:rsid w:val="57405985"/>
    <w:rsid w:val="574134AB"/>
    <w:rsid w:val="574376B4"/>
    <w:rsid w:val="574D3BFE"/>
    <w:rsid w:val="57560D05"/>
    <w:rsid w:val="575907F5"/>
    <w:rsid w:val="578421FC"/>
    <w:rsid w:val="579B2BBB"/>
    <w:rsid w:val="579E08FE"/>
    <w:rsid w:val="57A47D24"/>
    <w:rsid w:val="57A8352A"/>
    <w:rsid w:val="57B62A48"/>
    <w:rsid w:val="57B9742D"/>
    <w:rsid w:val="57C873E9"/>
    <w:rsid w:val="57E02CC4"/>
    <w:rsid w:val="581035A9"/>
    <w:rsid w:val="5814296E"/>
    <w:rsid w:val="5815081C"/>
    <w:rsid w:val="582901C7"/>
    <w:rsid w:val="583250CB"/>
    <w:rsid w:val="583A1BE2"/>
    <w:rsid w:val="587D6C4E"/>
    <w:rsid w:val="58824ECF"/>
    <w:rsid w:val="588540F9"/>
    <w:rsid w:val="588854DF"/>
    <w:rsid w:val="58A27F7A"/>
    <w:rsid w:val="58A82EAF"/>
    <w:rsid w:val="58E6255C"/>
    <w:rsid w:val="58E657DE"/>
    <w:rsid w:val="58E90ECE"/>
    <w:rsid w:val="58F5279F"/>
    <w:rsid w:val="59071FB3"/>
    <w:rsid w:val="591764DD"/>
    <w:rsid w:val="591A1FE8"/>
    <w:rsid w:val="591A23B5"/>
    <w:rsid w:val="592B61C1"/>
    <w:rsid w:val="593E7CA2"/>
    <w:rsid w:val="59480B21"/>
    <w:rsid w:val="594A4ECB"/>
    <w:rsid w:val="59592D2E"/>
    <w:rsid w:val="595C45CC"/>
    <w:rsid w:val="596B480F"/>
    <w:rsid w:val="597E2795"/>
    <w:rsid w:val="598558D1"/>
    <w:rsid w:val="598D29D8"/>
    <w:rsid w:val="599124C8"/>
    <w:rsid w:val="59A85A64"/>
    <w:rsid w:val="59B2243E"/>
    <w:rsid w:val="59C70328"/>
    <w:rsid w:val="59D12AA8"/>
    <w:rsid w:val="5A0E6EC4"/>
    <w:rsid w:val="5A117165"/>
    <w:rsid w:val="5A1F7AD4"/>
    <w:rsid w:val="5A250E62"/>
    <w:rsid w:val="5A5B4884"/>
    <w:rsid w:val="5A663955"/>
    <w:rsid w:val="5A6951F3"/>
    <w:rsid w:val="5A6A06F6"/>
    <w:rsid w:val="5A731BCE"/>
    <w:rsid w:val="5A7E7F78"/>
    <w:rsid w:val="5A851901"/>
    <w:rsid w:val="5A955FE8"/>
    <w:rsid w:val="5A992006"/>
    <w:rsid w:val="5AA1673B"/>
    <w:rsid w:val="5AAE15E4"/>
    <w:rsid w:val="5AB521E6"/>
    <w:rsid w:val="5AD51B54"/>
    <w:rsid w:val="5ADC3636"/>
    <w:rsid w:val="5AE67453"/>
    <w:rsid w:val="5AFE2B5B"/>
    <w:rsid w:val="5B080921"/>
    <w:rsid w:val="5B09181B"/>
    <w:rsid w:val="5B101B12"/>
    <w:rsid w:val="5B194993"/>
    <w:rsid w:val="5B275E78"/>
    <w:rsid w:val="5B2829B8"/>
    <w:rsid w:val="5B3752F1"/>
    <w:rsid w:val="5B3A12E0"/>
    <w:rsid w:val="5B3C43F9"/>
    <w:rsid w:val="5B417F1E"/>
    <w:rsid w:val="5B455011"/>
    <w:rsid w:val="5B4F263B"/>
    <w:rsid w:val="5B4F689D"/>
    <w:rsid w:val="5B57329D"/>
    <w:rsid w:val="5B6238F8"/>
    <w:rsid w:val="5B647768"/>
    <w:rsid w:val="5B7C4AB2"/>
    <w:rsid w:val="5B871A54"/>
    <w:rsid w:val="5B8E1F77"/>
    <w:rsid w:val="5B953D21"/>
    <w:rsid w:val="5BB3204C"/>
    <w:rsid w:val="5BCB52F5"/>
    <w:rsid w:val="5BDB3ECE"/>
    <w:rsid w:val="5BE56AFB"/>
    <w:rsid w:val="5C0C4D48"/>
    <w:rsid w:val="5C0E31E0"/>
    <w:rsid w:val="5C2515ED"/>
    <w:rsid w:val="5C25291D"/>
    <w:rsid w:val="5C294C3A"/>
    <w:rsid w:val="5C371101"/>
    <w:rsid w:val="5C6C6ABA"/>
    <w:rsid w:val="5C757E7F"/>
    <w:rsid w:val="5C900114"/>
    <w:rsid w:val="5CCB7A9F"/>
    <w:rsid w:val="5CE3407F"/>
    <w:rsid w:val="5CE9261B"/>
    <w:rsid w:val="5D00045A"/>
    <w:rsid w:val="5D03088A"/>
    <w:rsid w:val="5D373386"/>
    <w:rsid w:val="5D4B0BE0"/>
    <w:rsid w:val="5D63417B"/>
    <w:rsid w:val="5D697E8F"/>
    <w:rsid w:val="5D6F0D72"/>
    <w:rsid w:val="5D7C348F"/>
    <w:rsid w:val="5D812854"/>
    <w:rsid w:val="5D814602"/>
    <w:rsid w:val="5DA721EE"/>
    <w:rsid w:val="5DD8048C"/>
    <w:rsid w:val="5DDA44C4"/>
    <w:rsid w:val="5DDC5CDC"/>
    <w:rsid w:val="5DE828D3"/>
    <w:rsid w:val="5E026ACD"/>
    <w:rsid w:val="5E036058"/>
    <w:rsid w:val="5E060BB7"/>
    <w:rsid w:val="5E0D4729"/>
    <w:rsid w:val="5E0D5F05"/>
    <w:rsid w:val="5E0F7E5F"/>
    <w:rsid w:val="5E1C257C"/>
    <w:rsid w:val="5E27164D"/>
    <w:rsid w:val="5E2E29DB"/>
    <w:rsid w:val="5E3B68B9"/>
    <w:rsid w:val="5E4541A5"/>
    <w:rsid w:val="5E547F68"/>
    <w:rsid w:val="5E5C55A2"/>
    <w:rsid w:val="5E622188"/>
    <w:rsid w:val="5E622BAC"/>
    <w:rsid w:val="5E675E1B"/>
    <w:rsid w:val="5E6A0C09"/>
    <w:rsid w:val="5E7D301B"/>
    <w:rsid w:val="5E841F66"/>
    <w:rsid w:val="5E850121"/>
    <w:rsid w:val="5E8C325E"/>
    <w:rsid w:val="5EA902B4"/>
    <w:rsid w:val="5ECF75EF"/>
    <w:rsid w:val="5ED846F5"/>
    <w:rsid w:val="5EE011AA"/>
    <w:rsid w:val="5EF157B7"/>
    <w:rsid w:val="5EF7547E"/>
    <w:rsid w:val="5EFA5B1C"/>
    <w:rsid w:val="5F014280"/>
    <w:rsid w:val="5F021772"/>
    <w:rsid w:val="5F04373C"/>
    <w:rsid w:val="5F0B4ACB"/>
    <w:rsid w:val="5F0C5367"/>
    <w:rsid w:val="5F1F1321"/>
    <w:rsid w:val="5F3833E6"/>
    <w:rsid w:val="5F555D46"/>
    <w:rsid w:val="5F571ABE"/>
    <w:rsid w:val="5F61742A"/>
    <w:rsid w:val="5F7206A6"/>
    <w:rsid w:val="5F9871DA"/>
    <w:rsid w:val="5F9C66E1"/>
    <w:rsid w:val="5F9F3465"/>
    <w:rsid w:val="5FB00017"/>
    <w:rsid w:val="5FC627A0"/>
    <w:rsid w:val="5FD255E8"/>
    <w:rsid w:val="5FD96977"/>
    <w:rsid w:val="5FDE5D3B"/>
    <w:rsid w:val="5FF67EAC"/>
    <w:rsid w:val="5FFE018B"/>
    <w:rsid w:val="60013D7F"/>
    <w:rsid w:val="60363DC9"/>
    <w:rsid w:val="603C56C2"/>
    <w:rsid w:val="603E4B8A"/>
    <w:rsid w:val="604A2DD9"/>
    <w:rsid w:val="604E1113"/>
    <w:rsid w:val="6058765C"/>
    <w:rsid w:val="606A75CF"/>
    <w:rsid w:val="60804663"/>
    <w:rsid w:val="608C39E9"/>
    <w:rsid w:val="60917251"/>
    <w:rsid w:val="6098238E"/>
    <w:rsid w:val="609B1E7E"/>
    <w:rsid w:val="60A42792"/>
    <w:rsid w:val="60D31618"/>
    <w:rsid w:val="60D86C2E"/>
    <w:rsid w:val="60E539A3"/>
    <w:rsid w:val="60E6759D"/>
    <w:rsid w:val="60FD0443"/>
    <w:rsid w:val="6118527D"/>
    <w:rsid w:val="61253681"/>
    <w:rsid w:val="612C6F7A"/>
    <w:rsid w:val="612F525A"/>
    <w:rsid w:val="61306C0D"/>
    <w:rsid w:val="61364C91"/>
    <w:rsid w:val="613A1697"/>
    <w:rsid w:val="614C3EC9"/>
    <w:rsid w:val="61581B1D"/>
    <w:rsid w:val="61883922"/>
    <w:rsid w:val="61907509"/>
    <w:rsid w:val="619A2136"/>
    <w:rsid w:val="619E75CA"/>
    <w:rsid w:val="61BF394A"/>
    <w:rsid w:val="61D355A0"/>
    <w:rsid w:val="61DC62AA"/>
    <w:rsid w:val="61E403FB"/>
    <w:rsid w:val="61E42FD9"/>
    <w:rsid w:val="61F47A98"/>
    <w:rsid w:val="61FE4473"/>
    <w:rsid w:val="62001846"/>
    <w:rsid w:val="620140DF"/>
    <w:rsid w:val="620F042E"/>
    <w:rsid w:val="62127F1E"/>
    <w:rsid w:val="623A42B8"/>
    <w:rsid w:val="625B3673"/>
    <w:rsid w:val="625C50B7"/>
    <w:rsid w:val="62620EA5"/>
    <w:rsid w:val="626647B3"/>
    <w:rsid w:val="627E55B4"/>
    <w:rsid w:val="62970423"/>
    <w:rsid w:val="62BD1642"/>
    <w:rsid w:val="62C54E4A"/>
    <w:rsid w:val="62D376AD"/>
    <w:rsid w:val="62E25B42"/>
    <w:rsid w:val="62F12229"/>
    <w:rsid w:val="630261E5"/>
    <w:rsid w:val="631C1015"/>
    <w:rsid w:val="632919C3"/>
    <w:rsid w:val="6329551F"/>
    <w:rsid w:val="632A16A7"/>
    <w:rsid w:val="632F6802"/>
    <w:rsid w:val="63302D52"/>
    <w:rsid w:val="63304887"/>
    <w:rsid w:val="63414416"/>
    <w:rsid w:val="63471D15"/>
    <w:rsid w:val="63495BC1"/>
    <w:rsid w:val="634C4DBD"/>
    <w:rsid w:val="636B26DB"/>
    <w:rsid w:val="636C365E"/>
    <w:rsid w:val="63784A9C"/>
    <w:rsid w:val="637F15E3"/>
    <w:rsid w:val="63956756"/>
    <w:rsid w:val="639A641D"/>
    <w:rsid w:val="639C0BAB"/>
    <w:rsid w:val="63B147CB"/>
    <w:rsid w:val="63B55005"/>
    <w:rsid w:val="63BA086D"/>
    <w:rsid w:val="63BC45E5"/>
    <w:rsid w:val="63CC3CF3"/>
    <w:rsid w:val="63CE715B"/>
    <w:rsid w:val="63DC6A36"/>
    <w:rsid w:val="63FD075A"/>
    <w:rsid w:val="64033FC2"/>
    <w:rsid w:val="64044275"/>
    <w:rsid w:val="64124205"/>
    <w:rsid w:val="64145061"/>
    <w:rsid w:val="644F5459"/>
    <w:rsid w:val="6456039C"/>
    <w:rsid w:val="64570C2A"/>
    <w:rsid w:val="646A4EE1"/>
    <w:rsid w:val="64715A0E"/>
    <w:rsid w:val="64836EB1"/>
    <w:rsid w:val="64874BF3"/>
    <w:rsid w:val="6490508C"/>
    <w:rsid w:val="64A137DB"/>
    <w:rsid w:val="64DB0657"/>
    <w:rsid w:val="64E558BE"/>
    <w:rsid w:val="64EF4547"/>
    <w:rsid w:val="64F658D5"/>
    <w:rsid w:val="651E4E2C"/>
    <w:rsid w:val="65391840"/>
    <w:rsid w:val="654C1999"/>
    <w:rsid w:val="654E74BF"/>
    <w:rsid w:val="655A60B2"/>
    <w:rsid w:val="65705687"/>
    <w:rsid w:val="658514DA"/>
    <w:rsid w:val="658E3D60"/>
    <w:rsid w:val="65A13A93"/>
    <w:rsid w:val="65BA4B55"/>
    <w:rsid w:val="65BA6903"/>
    <w:rsid w:val="65BE4EF4"/>
    <w:rsid w:val="65C638F5"/>
    <w:rsid w:val="65ED4F48"/>
    <w:rsid w:val="65F71905"/>
    <w:rsid w:val="66124586"/>
    <w:rsid w:val="6616725E"/>
    <w:rsid w:val="66187ACD"/>
    <w:rsid w:val="661B13ED"/>
    <w:rsid w:val="6623094C"/>
    <w:rsid w:val="662465C8"/>
    <w:rsid w:val="6659611C"/>
    <w:rsid w:val="665A1CA4"/>
    <w:rsid w:val="666807E6"/>
    <w:rsid w:val="66737EE4"/>
    <w:rsid w:val="667C6446"/>
    <w:rsid w:val="668141DE"/>
    <w:rsid w:val="669453A6"/>
    <w:rsid w:val="66C24F70"/>
    <w:rsid w:val="66FE4F15"/>
    <w:rsid w:val="67006EDF"/>
    <w:rsid w:val="670179EA"/>
    <w:rsid w:val="67021C42"/>
    <w:rsid w:val="670F2B35"/>
    <w:rsid w:val="6712451C"/>
    <w:rsid w:val="672F00E6"/>
    <w:rsid w:val="673715D0"/>
    <w:rsid w:val="675C1FE7"/>
    <w:rsid w:val="67670D0C"/>
    <w:rsid w:val="6771220F"/>
    <w:rsid w:val="67864576"/>
    <w:rsid w:val="678E6299"/>
    <w:rsid w:val="67A96C2F"/>
    <w:rsid w:val="67AE3A97"/>
    <w:rsid w:val="67B460CF"/>
    <w:rsid w:val="67C021CA"/>
    <w:rsid w:val="67CF18DD"/>
    <w:rsid w:val="67D8681C"/>
    <w:rsid w:val="67EB36EB"/>
    <w:rsid w:val="67F00D02"/>
    <w:rsid w:val="67F02AB0"/>
    <w:rsid w:val="680700DC"/>
    <w:rsid w:val="68126ECA"/>
    <w:rsid w:val="681A7B2C"/>
    <w:rsid w:val="681C67F4"/>
    <w:rsid w:val="682700AE"/>
    <w:rsid w:val="682E35D8"/>
    <w:rsid w:val="683C0EBF"/>
    <w:rsid w:val="683C5CF5"/>
    <w:rsid w:val="68490412"/>
    <w:rsid w:val="685D03F9"/>
    <w:rsid w:val="685F7C35"/>
    <w:rsid w:val="686C6B6B"/>
    <w:rsid w:val="68813268"/>
    <w:rsid w:val="68867A24"/>
    <w:rsid w:val="68BE1741"/>
    <w:rsid w:val="68BF71FB"/>
    <w:rsid w:val="68C82C22"/>
    <w:rsid w:val="68F13973"/>
    <w:rsid w:val="68F16ADF"/>
    <w:rsid w:val="690540BF"/>
    <w:rsid w:val="69273E73"/>
    <w:rsid w:val="69362EC9"/>
    <w:rsid w:val="69365E67"/>
    <w:rsid w:val="6938470E"/>
    <w:rsid w:val="693B7D5A"/>
    <w:rsid w:val="694A2693"/>
    <w:rsid w:val="694C1F68"/>
    <w:rsid w:val="696C085C"/>
    <w:rsid w:val="69794D27"/>
    <w:rsid w:val="698E07D2"/>
    <w:rsid w:val="69BA15C7"/>
    <w:rsid w:val="69BB25E9"/>
    <w:rsid w:val="69C55155"/>
    <w:rsid w:val="69CE52E6"/>
    <w:rsid w:val="69E16043"/>
    <w:rsid w:val="69ED3717"/>
    <w:rsid w:val="69F30635"/>
    <w:rsid w:val="69F34AD9"/>
    <w:rsid w:val="6A042842"/>
    <w:rsid w:val="6A097E59"/>
    <w:rsid w:val="6A301889"/>
    <w:rsid w:val="6A3D5D54"/>
    <w:rsid w:val="6A4D33F3"/>
    <w:rsid w:val="6A51640E"/>
    <w:rsid w:val="6A674180"/>
    <w:rsid w:val="6A6B466F"/>
    <w:rsid w:val="6A786D8C"/>
    <w:rsid w:val="6A863A05"/>
    <w:rsid w:val="6AA67D9D"/>
    <w:rsid w:val="6AAC7521"/>
    <w:rsid w:val="6AB9187F"/>
    <w:rsid w:val="6ABA55F7"/>
    <w:rsid w:val="6ABE0C43"/>
    <w:rsid w:val="6AC344AB"/>
    <w:rsid w:val="6AC55036"/>
    <w:rsid w:val="6ACE4BFE"/>
    <w:rsid w:val="6AE13432"/>
    <w:rsid w:val="6AEB2C75"/>
    <w:rsid w:val="6B014FD4"/>
    <w:rsid w:val="6B050FEE"/>
    <w:rsid w:val="6B120F8F"/>
    <w:rsid w:val="6B1A6C42"/>
    <w:rsid w:val="6B252A70"/>
    <w:rsid w:val="6B2667E8"/>
    <w:rsid w:val="6B3B04E6"/>
    <w:rsid w:val="6B3C600C"/>
    <w:rsid w:val="6B421874"/>
    <w:rsid w:val="6B460C38"/>
    <w:rsid w:val="6B482C03"/>
    <w:rsid w:val="6B531AB3"/>
    <w:rsid w:val="6B560266"/>
    <w:rsid w:val="6B5B7BB3"/>
    <w:rsid w:val="6B5C220A"/>
    <w:rsid w:val="6B647ACE"/>
    <w:rsid w:val="6B7834E8"/>
    <w:rsid w:val="6B805304"/>
    <w:rsid w:val="6B8A4FC9"/>
    <w:rsid w:val="6B9051F9"/>
    <w:rsid w:val="6B991B92"/>
    <w:rsid w:val="6BC7621D"/>
    <w:rsid w:val="6BCA055A"/>
    <w:rsid w:val="6BCE6D20"/>
    <w:rsid w:val="6BD34BC2"/>
    <w:rsid w:val="6C045D80"/>
    <w:rsid w:val="6C0703C8"/>
    <w:rsid w:val="6C0C513D"/>
    <w:rsid w:val="6C1A459F"/>
    <w:rsid w:val="6C347ED9"/>
    <w:rsid w:val="6C360CAD"/>
    <w:rsid w:val="6C4B378C"/>
    <w:rsid w:val="6C4C0AD1"/>
    <w:rsid w:val="6C4D758C"/>
    <w:rsid w:val="6C506213"/>
    <w:rsid w:val="6C6E48EB"/>
    <w:rsid w:val="6C706B14"/>
    <w:rsid w:val="6C8E5108"/>
    <w:rsid w:val="6C937EAD"/>
    <w:rsid w:val="6C944351"/>
    <w:rsid w:val="6C994C52"/>
    <w:rsid w:val="6C9E6F7E"/>
    <w:rsid w:val="6CB30550"/>
    <w:rsid w:val="6CCF0D79"/>
    <w:rsid w:val="6CDA3D2E"/>
    <w:rsid w:val="6CEE1E7E"/>
    <w:rsid w:val="6CF3576D"/>
    <w:rsid w:val="6D0226C3"/>
    <w:rsid w:val="6D0F5D7A"/>
    <w:rsid w:val="6D166445"/>
    <w:rsid w:val="6D4E1FD9"/>
    <w:rsid w:val="6D5D610D"/>
    <w:rsid w:val="6D605FE2"/>
    <w:rsid w:val="6D745F31"/>
    <w:rsid w:val="6D8018C0"/>
    <w:rsid w:val="6D9143ED"/>
    <w:rsid w:val="6DA305C4"/>
    <w:rsid w:val="6DA77C55"/>
    <w:rsid w:val="6DAA54AF"/>
    <w:rsid w:val="6DB14A8F"/>
    <w:rsid w:val="6DB85E1E"/>
    <w:rsid w:val="6DCA36D7"/>
    <w:rsid w:val="6DCE4C80"/>
    <w:rsid w:val="6DE0518A"/>
    <w:rsid w:val="6DE36C13"/>
    <w:rsid w:val="6DF21700"/>
    <w:rsid w:val="6DFA4688"/>
    <w:rsid w:val="6DFA6436"/>
    <w:rsid w:val="6E0C6169"/>
    <w:rsid w:val="6E104455"/>
    <w:rsid w:val="6E166FE8"/>
    <w:rsid w:val="6E1B63AC"/>
    <w:rsid w:val="6E1D0376"/>
    <w:rsid w:val="6E213562"/>
    <w:rsid w:val="6E381741"/>
    <w:rsid w:val="6E3A4A84"/>
    <w:rsid w:val="6E511637"/>
    <w:rsid w:val="6E69536A"/>
    <w:rsid w:val="6E7A1325"/>
    <w:rsid w:val="6E7F2DDF"/>
    <w:rsid w:val="6E7F3A9C"/>
    <w:rsid w:val="6E865F1C"/>
    <w:rsid w:val="6E8B1784"/>
    <w:rsid w:val="6EBF58A5"/>
    <w:rsid w:val="6EC32690"/>
    <w:rsid w:val="6EC802E2"/>
    <w:rsid w:val="6ED24CBD"/>
    <w:rsid w:val="6ED870F8"/>
    <w:rsid w:val="6EDA0016"/>
    <w:rsid w:val="6EDA1DC4"/>
    <w:rsid w:val="6EE20FB0"/>
    <w:rsid w:val="6EE5266B"/>
    <w:rsid w:val="6EF2710D"/>
    <w:rsid w:val="6EF81D7D"/>
    <w:rsid w:val="6F084B83"/>
    <w:rsid w:val="6F0C75E9"/>
    <w:rsid w:val="6F0F1F10"/>
    <w:rsid w:val="6F127BBD"/>
    <w:rsid w:val="6F1C23DC"/>
    <w:rsid w:val="6F343BCA"/>
    <w:rsid w:val="6F370FC4"/>
    <w:rsid w:val="6F40256E"/>
    <w:rsid w:val="6F413BF1"/>
    <w:rsid w:val="6F5A2F04"/>
    <w:rsid w:val="6F650D24"/>
    <w:rsid w:val="6F6A75EB"/>
    <w:rsid w:val="6F79782E"/>
    <w:rsid w:val="6F82139A"/>
    <w:rsid w:val="6F8A37EA"/>
    <w:rsid w:val="6F9E7295"/>
    <w:rsid w:val="6FC860C0"/>
    <w:rsid w:val="6FCE7ACD"/>
    <w:rsid w:val="6FE13847"/>
    <w:rsid w:val="6FE7313B"/>
    <w:rsid w:val="6FF605E5"/>
    <w:rsid w:val="701F6C1E"/>
    <w:rsid w:val="702A0B29"/>
    <w:rsid w:val="702E0A08"/>
    <w:rsid w:val="7034110A"/>
    <w:rsid w:val="70347EC5"/>
    <w:rsid w:val="7037325E"/>
    <w:rsid w:val="70381498"/>
    <w:rsid w:val="704A4D27"/>
    <w:rsid w:val="704C0A9F"/>
    <w:rsid w:val="705636CC"/>
    <w:rsid w:val="70716758"/>
    <w:rsid w:val="70756248"/>
    <w:rsid w:val="707D6EAA"/>
    <w:rsid w:val="70877D29"/>
    <w:rsid w:val="708974C3"/>
    <w:rsid w:val="70B84386"/>
    <w:rsid w:val="70BA5135"/>
    <w:rsid w:val="70C865BA"/>
    <w:rsid w:val="70D0347E"/>
    <w:rsid w:val="70D6480D"/>
    <w:rsid w:val="70D70CB1"/>
    <w:rsid w:val="70DA4CC5"/>
    <w:rsid w:val="70DF1913"/>
    <w:rsid w:val="70E37655"/>
    <w:rsid w:val="70F3716D"/>
    <w:rsid w:val="710359C7"/>
    <w:rsid w:val="71096865"/>
    <w:rsid w:val="710C4F64"/>
    <w:rsid w:val="711C66C3"/>
    <w:rsid w:val="71257C6E"/>
    <w:rsid w:val="712832BA"/>
    <w:rsid w:val="712E7CE0"/>
    <w:rsid w:val="713A2FED"/>
    <w:rsid w:val="7141684A"/>
    <w:rsid w:val="71486D48"/>
    <w:rsid w:val="71494FDF"/>
    <w:rsid w:val="714B2F5B"/>
    <w:rsid w:val="714D518E"/>
    <w:rsid w:val="715B3690"/>
    <w:rsid w:val="716342F2"/>
    <w:rsid w:val="71867FE1"/>
    <w:rsid w:val="718D5813"/>
    <w:rsid w:val="719E532A"/>
    <w:rsid w:val="71A60683"/>
    <w:rsid w:val="71B608C6"/>
    <w:rsid w:val="71BB3282"/>
    <w:rsid w:val="71BB56FA"/>
    <w:rsid w:val="71ED53C5"/>
    <w:rsid w:val="72007D93"/>
    <w:rsid w:val="720E19E1"/>
    <w:rsid w:val="724F424E"/>
    <w:rsid w:val="72541E8D"/>
    <w:rsid w:val="72677E12"/>
    <w:rsid w:val="726E117A"/>
    <w:rsid w:val="728B1D53"/>
    <w:rsid w:val="729C3F60"/>
    <w:rsid w:val="72A44BC2"/>
    <w:rsid w:val="72BD5C84"/>
    <w:rsid w:val="72E70F53"/>
    <w:rsid w:val="72EB27F1"/>
    <w:rsid w:val="72ED34B8"/>
    <w:rsid w:val="72FA32DB"/>
    <w:rsid w:val="72FC49FE"/>
    <w:rsid w:val="73010267"/>
    <w:rsid w:val="73136182"/>
    <w:rsid w:val="73221F8B"/>
    <w:rsid w:val="732F7EF1"/>
    <w:rsid w:val="733028FA"/>
    <w:rsid w:val="733046A8"/>
    <w:rsid w:val="73315854"/>
    <w:rsid w:val="7349146F"/>
    <w:rsid w:val="7349576A"/>
    <w:rsid w:val="73657957"/>
    <w:rsid w:val="737C6D64"/>
    <w:rsid w:val="737F118B"/>
    <w:rsid w:val="73814F04"/>
    <w:rsid w:val="73834F73"/>
    <w:rsid w:val="73A561FF"/>
    <w:rsid w:val="73AF1A71"/>
    <w:rsid w:val="73B01345"/>
    <w:rsid w:val="73B47087"/>
    <w:rsid w:val="73C05A2C"/>
    <w:rsid w:val="73C3551C"/>
    <w:rsid w:val="73CA68AB"/>
    <w:rsid w:val="73FE6554"/>
    <w:rsid w:val="74031DBD"/>
    <w:rsid w:val="74235FBB"/>
    <w:rsid w:val="742E7D48"/>
    <w:rsid w:val="742F4960"/>
    <w:rsid w:val="748E4468"/>
    <w:rsid w:val="7491438D"/>
    <w:rsid w:val="74961CFE"/>
    <w:rsid w:val="749F246B"/>
    <w:rsid w:val="74AF784E"/>
    <w:rsid w:val="74B02D01"/>
    <w:rsid w:val="74BF0D5E"/>
    <w:rsid w:val="74C01A5C"/>
    <w:rsid w:val="74D37CCA"/>
    <w:rsid w:val="74D53759"/>
    <w:rsid w:val="74DC2D7E"/>
    <w:rsid w:val="74F0721D"/>
    <w:rsid w:val="74F750D9"/>
    <w:rsid w:val="74FD680C"/>
    <w:rsid w:val="750162FC"/>
    <w:rsid w:val="750C4CA1"/>
    <w:rsid w:val="75267B11"/>
    <w:rsid w:val="75387844"/>
    <w:rsid w:val="753C330D"/>
    <w:rsid w:val="75457333"/>
    <w:rsid w:val="754B7544"/>
    <w:rsid w:val="7568355A"/>
    <w:rsid w:val="756B6F94"/>
    <w:rsid w:val="757A7E5C"/>
    <w:rsid w:val="75901BFB"/>
    <w:rsid w:val="759727BC"/>
    <w:rsid w:val="75A46F31"/>
    <w:rsid w:val="75A8117E"/>
    <w:rsid w:val="75AB6268"/>
    <w:rsid w:val="75E55C1E"/>
    <w:rsid w:val="75F24464"/>
    <w:rsid w:val="75FA70B8"/>
    <w:rsid w:val="76045978"/>
    <w:rsid w:val="760D2A7F"/>
    <w:rsid w:val="761262E7"/>
    <w:rsid w:val="76197675"/>
    <w:rsid w:val="761E6A3A"/>
    <w:rsid w:val="762A2599"/>
    <w:rsid w:val="762D3121"/>
    <w:rsid w:val="7641097A"/>
    <w:rsid w:val="76465CA4"/>
    <w:rsid w:val="764A1137"/>
    <w:rsid w:val="76527883"/>
    <w:rsid w:val="767D5E56"/>
    <w:rsid w:val="767D7C04"/>
    <w:rsid w:val="76964400"/>
    <w:rsid w:val="76967AE3"/>
    <w:rsid w:val="76AF3B36"/>
    <w:rsid w:val="76C84BF7"/>
    <w:rsid w:val="76CC293A"/>
    <w:rsid w:val="76DB2B7D"/>
    <w:rsid w:val="76E01F41"/>
    <w:rsid w:val="76F36118"/>
    <w:rsid w:val="76F77172"/>
    <w:rsid w:val="76FD0D45"/>
    <w:rsid w:val="77057BFA"/>
    <w:rsid w:val="77132317"/>
    <w:rsid w:val="771852A8"/>
    <w:rsid w:val="77300C68"/>
    <w:rsid w:val="77312D10"/>
    <w:rsid w:val="773724A9"/>
    <w:rsid w:val="77471AC4"/>
    <w:rsid w:val="77587D9F"/>
    <w:rsid w:val="77664B3C"/>
    <w:rsid w:val="77737259"/>
    <w:rsid w:val="778E31B0"/>
    <w:rsid w:val="779A47E6"/>
    <w:rsid w:val="77A065D1"/>
    <w:rsid w:val="77A46C89"/>
    <w:rsid w:val="77A711E5"/>
    <w:rsid w:val="77B27D81"/>
    <w:rsid w:val="77B75C63"/>
    <w:rsid w:val="77BF1197"/>
    <w:rsid w:val="77D0645A"/>
    <w:rsid w:val="77F122C3"/>
    <w:rsid w:val="77FA431C"/>
    <w:rsid w:val="78000AED"/>
    <w:rsid w:val="78006D3F"/>
    <w:rsid w:val="78101D81"/>
    <w:rsid w:val="78153E6C"/>
    <w:rsid w:val="782347DB"/>
    <w:rsid w:val="78452B7C"/>
    <w:rsid w:val="784D7151"/>
    <w:rsid w:val="784F3822"/>
    <w:rsid w:val="785B6A4B"/>
    <w:rsid w:val="78670B6C"/>
    <w:rsid w:val="786E0BB9"/>
    <w:rsid w:val="78700AEC"/>
    <w:rsid w:val="78720118"/>
    <w:rsid w:val="78725B8D"/>
    <w:rsid w:val="78807EAB"/>
    <w:rsid w:val="78817E80"/>
    <w:rsid w:val="78881314"/>
    <w:rsid w:val="78A53442"/>
    <w:rsid w:val="78A551F0"/>
    <w:rsid w:val="78C80AAA"/>
    <w:rsid w:val="78E57EA5"/>
    <w:rsid w:val="78E81581"/>
    <w:rsid w:val="78E937B9"/>
    <w:rsid w:val="78F817C4"/>
    <w:rsid w:val="78FE4D5E"/>
    <w:rsid w:val="791800B8"/>
    <w:rsid w:val="792425B9"/>
    <w:rsid w:val="793622EC"/>
    <w:rsid w:val="794970F6"/>
    <w:rsid w:val="794A0ECC"/>
    <w:rsid w:val="795A13EC"/>
    <w:rsid w:val="79711576"/>
    <w:rsid w:val="79752E15"/>
    <w:rsid w:val="797D616D"/>
    <w:rsid w:val="798B049D"/>
    <w:rsid w:val="798B68EE"/>
    <w:rsid w:val="798F3A5E"/>
    <w:rsid w:val="799A0ACD"/>
    <w:rsid w:val="799F634B"/>
    <w:rsid w:val="79AC0800"/>
    <w:rsid w:val="79B25E17"/>
    <w:rsid w:val="79B5694C"/>
    <w:rsid w:val="79BD47BC"/>
    <w:rsid w:val="79EA2CA3"/>
    <w:rsid w:val="79EA46D7"/>
    <w:rsid w:val="79EB30D7"/>
    <w:rsid w:val="79FF3026"/>
    <w:rsid w:val="7A146E06"/>
    <w:rsid w:val="7A1532E7"/>
    <w:rsid w:val="7A247E3C"/>
    <w:rsid w:val="7A2D36EF"/>
    <w:rsid w:val="7A41010A"/>
    <w:rsid w:val="7A4C5587"/>
    <w:rsid w:val="7A6335B5"/>
    <w:rsid w:val="7A635363"/>
    <w:rsid w:val="7A84222D"/>
    <w:rsid w:val="7A8B6668"/>
    <w:rsid w:val="7A8D0632"/>
    <w:rsid w:val="7A9C77AE"/>
    <w:rsid w:val="7AB73F37"/>
    <w:rsid w:val="7AC4554E"/>
    <w:rsid w:val="7AC97DEB"/>
    <w:rsid w:val="7ACD6C80"/>
    <w:rsid w:val="7AD43DCB"/>
    <w:rsid w:val="7ADA292B"/>
    <w:rsid w:val="7ADE09A6"/>
    <w:rsid w:val="7ADE0E8D"/>
    <w:rsid w:val="7AE53FCA"/>
    <w:rsid w:val="7AEE7323"/>
    <w:rsid w:val="7AF8058E"/>
    <w:rsid w:val="7B025333"/>
    <w:rsid w:val="7B073C36"/>
    <w:rsid w:val="7B2A7C2F"/>
    <w:rsid w:val="7B684125"/>
    <w:rsid w:val="7B7517F2"/>
    <w:rsid w:val="7B7A2964"/>
    <w:rsid w:val="7B7D31C4"/>
    <w:rsid w:val="7B8437E3"/>
    <w:rsid w:val="7B8E776C"/>
    <w:rsid w:val="7B9375BF"/>
    <w:rsid w:val="7B9E0996"/>
    <w:rsid w:val="7BB7653A"/>
    <w:rsid w:val="7BC02341"/>
    <w:rsid w:val="7BDC53CD"/>
    <w:rsid w:val="7BDD2EF3"/>
    <w:rsid w:val="7BE97AEA"/>
    <w:rsid w:val="7BEB7BB7"/>
    <w:rsid w:val="7C013085"/>
    <w:rsid w:val="7C057E14"/>
    <w:rsid w:val="7C1253BC"/>
    <w:rsid w:val="7C1B1A99"/>
    <w:rsid w:val="7C370855"/>
    <w:rsid w:val="7C423191"/>
    <w:rsid w:val="7C4D1E27"/>
    <w:rsid w:val="7C595752"/>
    <w:rsid w:val="7C6113AE"/>
    <w:rsid w:val="7C61562B"/>
    <w:rsid w:val="7C63117D"/>
    <w:rsid w:val="7C8C718A"/>
    <w:rsid w:val="7C9B6DD9"/>
    <w:rsid w:val="7C9E2B82"/>
    <w:rsid w:val="7CB1685A"/>
    <w:rsid w:val="7CB55F7B"/>
    <w:rsid w:val="7CBA266E"/>
    <w:rsid w:val="7CCC5441"/>
    <w:rsid w:val="7CDB7433"/>
    <w:rsid w:val="7D0A5F6A"/>
    <w:rsid w:val="7D0C35D2"/>
    <w:rsid w:val="7D184638"/>
    <w:rsid w:val="7D580A83"/>
    <w:rsid w:val="7D741635"/>
    <w:rsid w:val="7D837FCA"/>
    <w:rsid w:val="7D957F29"/>
    <w:rsid w:val="7DAB3E65"/>
    <w:rsid w:val="7DAE0FEB"/>
    <w:rsid w:val="7DC1240D"/>
    <w:rsid w:val="7DCC76C3"/>
    <w:rsid w:val="7DD1096F"/>
    <w:rsid w:val="7DE10D4F"/>
    <w:rsid w:val="7DEA19F0"/>
    <w:rsid w:val="7DEF65D0"/>
    <w:rsid w:val="7E153A97"/>
    <w:rsid w:val="7E176B90"/>
    <w:rsid w:val="7E1F77F3"/>
    <w:rsid w:val="7E260B81"/>
    <w:rsid w:val="7E3A287F"/>
    <w:rsid w:val="7E3A378D"/>
    <w:rsid w:val="7E5A082B"/>
    <w:rsid w:val="7E703D97"/>
    <w:rsid w:val="7E97382D"/>
    <w:rsid w:val="7EAC1F50"/>
    <w:rsid w:val="7EE06F82"/>
    <w:rsid w:val="7EF97A8A"/>
    <w:rsid w:val="7F0013D2"/>
    <w:rsid w:val="7F067F7C"/>
    <w:rsid w:val="7F0A2251"/>
    <w:rsid w:val="7F1B26B0"/>
    <w:rsid w:val="7F2E0730"/>
    <w:rsid w:val="7F3D0A9C"/>
    <w:rsid w:val="7F4365A6"/>
    <w:rsid w:val="7F475253"/>
    <w:rsid w:val="7F6F0306"/>
    <w:rsid w:val="7F767868"/>
    <w:rsid w:val="7F8E4463"/>
    <w:rsid w:val="7F912972"/>
    <w:rsid w:val="7FA53B5B"/>
    <w:rsid w:val="7FBA0907"/>
    <w:rsid w:val="7FCB5E84"/>
    <w:rsid w:val="7FD0349B"/>
    <w:rsid w:val="7FD26584"/>
    <w:rsid w:val="7FD34D39"/>
    <w:rsid w:val="7FDA60C7"/>
    <w:rsid w:val="7FDB5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6">
    <w:name w:val="heading 1"/>
    <w:basedOn w:val="1"/>
    <w:next w:val="1"/>
    <w:link w:val="94"/>
    <w:qFormat/>
    <w:uiPriority w:val="0"/>
    <w:pPr>
      <w:keepNext/>
      <w:keepLines/>
      <w:autoSpaceDE w:val="0"/>
      <w:autoSpaceDN w:val="0"/>
      <w:adjustRightInd w:val="0"/>
      <w:spacing w:before="240" w:after="120" w:line="300" w:lineRule="auto"/>
      <w:jc w:val="center"/>
      <w:outlineLvl w:val="0"/>
    </w:pPr>
    <w:rPr>
      <w:rFonts w:ascii="宋体"/>
      <w:kern w:val="44"/>
      <w:sz w:val="32"/>
      <w:szCs w:val="20"/>
    </w:rPr>
  </w:style>
  <w:style w:type="paragraph" w:styleId="7">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8">
    <w:name w:val="heading 3"/>
    <w:basedOn w:val="1"/>
    <w:next w:val="1"/>
    <w:qFormat/>
    <w:uiPriority w:val="0"/>
    <w:pPr>
      <w:spacing w:before="360" w:after="120"/>
      <w:jc w:val="left"/>
      <w:outlineLvl w:val="2"/>
    </w:pPr>
    <w:rPr>
      <w:rFonts w:ascii="宋体" w:hAnsi="Times New Roman" w:eastAsia="宋体"/>
      <w:sz w:val="24"/>
      <w:u w:val="single"/>
    </w:rPr>
  </w:style>
  <w:style w:type="paragraph" w:styleId="9">
    <w:name w:val="heading 4"/>
    <w:basedOn w:val="1"/>
    <w:next w:val="1"/>
    <w:qFormat/>
    <w:uiPriority w:val="0"/>
    <w:pPr>
      <w:keepNext/>
      <w:keepLines/>
      <w:spacing w:before="280" w:beforeAutospacing="0" w:after="290" w:afterAutospacing="0" w:line="372" w:lineRule="auto"/>
      <w:outlineLvl w:val="3"/>
    </w:pPr>
    <w:rPr>
      <w:rFonts w:ascii="Arial" w:hAnsi="Arial" w:eastAsia="黑体"/>
      <w:b/>
      <w:sz w:val="28"/>
    </w:rPr>
  </w:style>
  <w:style w:type="character" w:default="1" w:styleId="29">
    <w:name w:val="Default Paragraph Font"/>
    <w:qFormat/>
    <w:uiPriority w:val="1"/>
  </w:style>
  <w:style w:type="table" w:default="1" w:styleId="27">
    <w:name w:val="Normal Table"/>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next w:val="2"/>
    <w:qFormat/>
    <w:uiPriority w:val="0"/>
    <w:pPr>
      <w:spacing w:line="360" w:lineRule="auto"/>
      <w:ind w:firstLine="570"/>
    </w:pPr>
    <w:rPr>
      <w:rFonts w:ascii="Times New Roman" w:hAnsi="Times New Roman"/>
      <w:sz w:val="24"/>
    </w:rPr>
  </w:style>
  <w:style w:type="paragraph" w:styleId="4">
    <w:name w:val="Normal Indent"/>
    <w:basedOn w:val="1"/>
    <w:next w:val="5"/>
    <w:qFormat/>
    <w:uiPriority w:val="0"/>
    <w:pPr>
      <w:autoSpaceDE w:val="0"/>
      <w:autoSpaceDN w:val="0"/>
      <w:adjustRightInd w:val="0"/>
      <w:ind w:firstLine="420"/>
      <w:jc w:val="left"/>
    </w:pPr>
    <w:rPr>
      <w:rFonts w:ascii="宋体" w:hAnsi="Times New Roman"/>
      <w:kern w:val="0"/>
      <w:sz w:val="24"/>
      <w:szCs w:val="20"/>
    </w:rPr>
  </w:style>
  <w:style w:type="paragraph" w:styleId="5">
    <w:name w:val="toa heading"/>
    <w:basedOn w:val="1"/>
    <w:next w:val="1"/>
    <w:qFormat/>
    <w:uiPriority w:val="0"/>
    <w:pPr>
      <w:widowControl/>
      <w:spacing w:before="120"/>
      <w:ind w:firstLine="3584"/>
    </w:pPr>
  </w:style>
  <w:style w:type="paragraph" w:styleId="10">
    <w:name w:val="index 8"/>
    <w:basedOn w:val="1"/>
    <w:next w:val="1"/>
    <w:qFormat/>
    <w:uiPriority w:val="0"/>
    <w:pPr>
      <w:spacing w:line="276" w:lineRule="auto"/>
      <w:jc w:val="left"/>
    </w:pPr>
    <w:rPr>
      <w:rFonts w:ascii="Times New Roman" w:hAnsi="Times New Roman" w:eastAsia="宋体" w:cs="Times New Roman"/>
      <w:color w:val="FF0000"/>
      <w:szCs w:val="21"/>
    </w:rPr>
  </w:style>
  <w:style w:type="paragraph" w:styleId="11">
    <w:name w:val="annotation text"/>
    <w:basedOn w:val="1"/>
    <w:link w:val="64"/>
    <w:qFormat/>
    <w:uiPriority w:val="0"/>
    <w:pPr>
      <w:jc w:val="left"/>
    </w:pPr>
  </w:style>
  <w:style w:type="paragraph" w:styleId="12">
    <w:name w:val="Body Text"/>
    <w:basedOn w:val="1"/>
    <w:next w:val="13"/>
    <w:qFormat/>
    <w:uiPriority w:val="0"/>
    <w:pPr>
      <w:tabs>
        <w:tab w:val="left" w:pos="567"/>
      </w:tabs>
      <w:spacing w:before="120" w:line="22" w:lineRule="atLeast"/>
    </w:pPr>
    <w:rPr>
      <w:rFonts w:ascii="宋体" w:hAnsi="宋体"/>
      <w:sz w:val="24"/>
    </w:rPr>
  </w:style>
  <w:style w:type="paragraph" w:styleId="13">
    <w:name w:val="Body Text First Indent"/>
    <w:basedOn w:val="12"/>
    <w:next w:val="1"/>
    <w:qFormat/>
    <w:uiPriority w:val="0"/>
    <w:pPr>
      <w:spacing w:after="120" w:line="240" w:lineRule="auto"/>
      <w:ind w:firstLine="420" w:firstLineChars="100"/>
    </w:pPr>
    <w:rPr>
      <w:rFonts w:ascii="Calibri" w:hAnsi="Calibri"/>
      <w:sz w:val="18"/>
      <w:szCs w:val="18"/>
    </w:rPr>
  </w:style>
  <w:style w:type="paragraph" w:styleId="14">
    <w:name w:val="toc 3"/>
    <w:basedOn w:val="1"/>
    <w:next w:val="1"/>
    <w:qFormat/>
    <w:uiPriority w:val="0"/>
    <w:pPr>
      <w:ind w:left="840" w:leftChars="400"/>
    </w:pPr>
  </w:style>
  <w:style w:type="paragraph" w:styleId="15">
    <w:name w:val="Plain Text"/>
    <w:basedOn w:val="1"/>
    <w:next w:val="4"/>
    <w:qFormat/>
    <w:uiPriority w:val="0"/>
    <w:rPr>
      <w:rFonts w:ascii="宋体" w:hAnsi="Courier New"/>
      <w:szCs w:val="20"/>
    </w:rPr>
  </w:style>
  <w:style w:type="paragraph" w:styleId="16">
    <w:name w:val="Date"/>
    <w:basedOn w:val="1"/>
    <w:next w:val="1"/>
    <w:qFormat/>
    <w:uiPriority w:val="0"/>
    <w:pPr>
      <w:ind w:left="100" w:leftChars="2500"/>
    </w:pPr>
    <w:rPr>
      <w:rFonts w:ascii="仿宋_GB2312" w:hAnsi="Courier New" w:eastAsia="仿宋_GB2312"/>
      <w:kern w:val="0"/>
      <w:sz w:val="24"/>
    </w:rPr>
  </w:style>
  <w:style w:type="paragraph" w:styleId="17">
    <w:name w:val="Balloon Text"/>
    <w:basedOn w:val="1"/>
    <w:link w:val="63"/>
    <w:qFormat/>
    <w:uiPriority w:val="0"/>
    <w:rPr>
      <w:sz w:val="18"/>
      <w:szCs w:val="18"/>
    </w:rPr>
  </w:style>
  <w:style w:type="paragraph" w:styleId="18">
    <w:name w:val="footer"/>
    <w:basedOn w:val="1"/>
    <w:qFormat/>
    <w:uiPriority w:val="0"/>
    <w:pPr>
      <w:tabs>
        <w:tab w:val="center" w:pos="4153"/>
        <w:tab w:val="right" w:pos="8306"/>
      </w:tabs>
      <w:autoSpaceDE w:val="0"/>
      <w:autoSpaceDN w:val="0"/>
      <w:adjustRightInd w:val="0"/>
      <w:snapToGrid w:val="0"/>
      <w:jc w:val="left"/>
    </w:pPr>
    <w:rPr>
      <w:rFonts w:ascii="宋体" w:hAnsi="Times New Roman"/>
      <w:kern w:val="0"/>
      <w:sz w:val="18"/>
      <w:szCs w:val="20"/>
    </w:rPr>
  </w:style>
  <w:style w:type="paragraph" w:styleId="19">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20">
    <w:name w:val="toc 1"/>
    <w:basedOn w:val="1"/>
    <w:next w:val="1"/>
    <w:qFormat/>
    <w:uiPriority w:val="0"/>
    <w:rPr>
      <w:rFonts w:ascii="Times New Roman" w:hAnsi="Times New Roman"/>
    </w:rPr>
  </w:style>
  <w:style w:type="paragraph" w:styleId="21">
    <w:name w:val="footnote text"/>
    <w:basedOn w:val="1"/>
    <w:next w:val="12"/>
    <w:qFormat/>
    <w:uiPriority w:val="0"/>
    <w:pPr>
      <w:snapToGrid w:val="0"/>
      <w:jc w:val="left"/>
    </w:pPr>
    <w:rPr>
      <w:rFonts w:ascii="Times New Roman" w:hAnsi="Times New Roman"/>
      <w:sz w:val="18"/>
    </w:rPr>
  </w:style>
  <w:style w:type="paragraph" w:styleId="22">
    <w:name w:val="index 7"/>
    <w:basedOn w:val="1"/>
    <w:next w:val="1"/>
    <w:qFormat/>
    <w:uiPriority w:val="0"/>
    <w:pPr>
      <w:autoSpaceDE/>
      <w:autoSpaceDN/>
      <w:adjustRightInd/>
      <w:ind w:left="1200" w:leftChars="1200"/>
    </w:pPr>
    <w:rPr>
      <w:color w:val="auto"/>
      <w:kern w:val="2"/>
      <w:szCs w:val="24"/>
    </w:rPr>
  </w:style>
  <w:style w:type="paragraph" w:styleId="23">
    <w:name w:val="toc 2"/>
    <w:basedOn w:val="1"/>
    <w:next w:val="1"/>
    <w:qFormat/>
    <w:uiPriority w:val="0"/>
    <w:pPr>
      <w:ind w:left="420" w:leftChars="200"/>
    </w:pPr>
    <w:rPr>
      <w:rFonts w:ascii="Times New Roman" w:hAnsi="Times New Roman"/>
    </w:rPr>
  </w:style>
  <w:style w:type="paragraph" w:styleId="24">
    <w:name w:val="Normal (Web)"/>
    <w:basedOn w:val="1"/>
    <w:qFormat/>
    <w:uiPriority w:val="0"/>
    <w:pPr>
      <w:spacing w:beforeAutospacing="1" w:afterAutospacing="1"/>
      <w:jc w:val="left"/>
    </w:pPr>
    <w:rPr>
      <w:kern w:val="0"/>
      <w:sz w:val="24"/>
    </w:rPr>
  </w:style>
  <w:style w:type="paragraph" w:styleId="25">
    <w:name w:val="Title"/>
    <w:basedOn w:val="1"/>
    <w:next w:val="1"/>
    <w:qFormat/>
    <w:uiPriority w:val="10"/>
    <w:pPr>
      <w:spacing w:before="240" w:after="60"/>
      <w:jc w:val="center"/>
      <w:outlineLvl w:val="0"/>
    </w:pPr>
    <w:rPr>
      <w:rFonts w:ascii="Calibri Light" w:hAnsi="Calibri Light" w:eastAsia="宋体" w:cs="宋体"/>
      <w:b/>
      <w:bCs/>
      <w:sz w:val="32"/>
      <w:szCs w:val="32"/>
    </w:rPr>
  </w:style>
  <w:style w:type="paragraph" w:styleId="26">
    <w:name w:val="annotation subject"/>
    <w:basedOn w:val="11"/>
    <w:next w:val="11"/>
    <w:link w:val="65"/>
    <w:qFormat/>
    <w:uiPriority w:val="0"/>
    <w:rPr>
      <w:b/>
      <w:bCs/>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qFormat/>
    <w:uiPriority w:val="0"/>
    <w:rPr>
      <w:b/>
      <w:bCs/>
    </w:rPr>
  </w:style>
  <w:style w:type="character" w:styleId="31">
    <w:name w:val="page number"/>
    <w:basedOn w:val="29"/>
    <w:qFormat/>
    <w:uiPriority w:val="0"/>
    <w:rPr>
      <w:rFonts w:ascii="Times New Roman" w:hAnsi="Times New Roman" w:eastAsia="宋体" w:cs="Times New Roman"/>
    </w:rPr>
  </w:style>
  <w:style w:type="character" w:styleId="32">
    <w:name w:val="Hyperlink"/>
    <w:basedOn w:val="29"/>
    <w:qFormat/>
    <w:uiPriority w:val="0"/>
    <w:rPr>
      <w:color w:val="0000FF"/>
      <w:u w:val="single"/>
    </w:rPr>
  </w:style>
  <w:style w:type="character" w:styleId="33">
    <w:name w:val="annotation reference"/>
    <w:basedOn w:val="29"/>
    <w:qFormat/>
    <w:uiPriority w:val="0"/>
    <w:rPr>
      <w:sz w:val="21"/>
      <w:szCs w:val="21"/>
    </w:rPr>
  </w:style>
  <w:style w:type="paragraph" w:customStyle="1" w:styleId="34">
    <w:name w:val="正文王森"/>
    <w:basedOn w:val="1"/>
    <w:qFormat/>
    <w:uiPriority w:val="0"/>
    <w:pPr>
      <w:spacing w:line="360" w:lineRule="auto"/>
      <w:ind w:firstLine="480" w:firstLineChars="200"/>
    </w:pPr>
    <w:rPr>
      <w:rFonts w:ascii="黑体" w:hAnsi="黑体" w:eastAsia="黑体"/>
      <w:sz w:val="24"/>
    </w:rPr>
  </w:style>
  <w:style w:type="paragraph" w:customStyle="1" w:styleId="35">
    <w:name w:val="List2"/>
    <w:basedOn w:val="1"/>
    <w:qFormat/>
    <w:uiPriority w:val="0"/>
    <w:pPr>
      <w:widowControl/>
      <w:ind w:left="100" w:leftChars="200" w:hanging="200" w:hangingChars="200"/>
      <w:contextualSpacing/>
      <w:textAlignment w:val="baseline"/>
    </w:pPr>
  </w:style>
  <w:style w:type="paragraph" w:customStyle="1" w:styleId="36">
    <w:name w:val="Heading3"/>
    <w:basedOn w:val="1"/>
    <w:next w:val="1"/>
    <w:qFormat/>
    <w:uiPriority w:val="0"/>
    <w:pPr>
      <w:keepNext/>
      <w:numPr>
        <w:ilvl w:val="0"/>
        <w:numId w:val="1"/>
      </w:numPr>
      <w:jc w:val="both"/>
      <w:textAlignment w:val="baseline"/>
    </w:pPr>
    <w:rPr>
      <w:rFonts w:cs="Times New Roman"/>
      <w:b/>
      <w:bCs/>
      <w:kern w:val="2"/>
      <w:sz w:val="28"/>
      <w:szCs w:val="24"/>
      <w:lang w:val="en-US" w:eastAsia="zh-CN" w:bidi="ar-SA"/>
    </w:rPr>
  </w:style>
  <w:style w:type="paragraph" w:customStyle="1" w:styleId="37">
    <w:name w:val="BodyText"/>
    <w:basedOn w:val="1"/>
    <w:qFormat/>
    <w:uiPriority w:val="0"/>
    <w:pPr>
      <w:spacing w:after="120"/>
    </w:pPr>
  </w:style>
  <w:style w:type="paragraph" w:customStyle="1" w:styleId="38">
    <w:name w:val="Default"/>
    <w:qFormat/>
    <w:uiPriority w:val="0"/>
    <w:pPr>
      <w:widowControl w:val="0"/>
      <w:autoSpaceDE w:val="0"/>
      <w:autoSpaceDN w:val="0"/>
    </w:pPr>
    <w:rPr>
      <w:rFonts w:ascii="宋体" w:hAnsi="Calibri" w:eastAsia="宋体" w:cs="宋体"/>
      <w:color w:val="000000"/>
      <w:sz w:val="24"/>
      <w:szCs w:val="24"/>
      <w:lang w:val="en-US" w:eastAsia="zh-CN" w:bidi="ar-SA"/>
    </w:rPr>
  </w:style>
  <w:style w:type="character" w:customStyle="1" w:styleId="39">
    <w:name w:val="标题 1 Char"/>
    <w:link w:val="6"/>
    <w:qFormat/>
    <w:uiPriority w:val="0"/>
    <w:rPr>
      <w:rFonts w:ascii="宋体"/>
      <w:b/>
      <w:kern w:val="44"/>
      <w:sz w:val="32"/>
      <w:szCs w:val="20"/>
    </w:rPr>
  </w:style>
  <w:style w:type="paragraph" w:customStyle="1" w:styleId="40">
    <w:name w:val="No Spacing_3b93350b-94da-44fa-8143-641484b951a0"/>
    <w:link w:val="57"/>
    <w:qFormat/>
    <w:uiPriority w:val="1"/>
    <w:pPr>
      <w:widowControl w:val="0"/>
      <w:jc w:val="both"/>
    </w:pPr>
    <w:rPr>
      <w:rFonts w:ascii="Calibri" w:hAnsi="Calibri" w:eastAsia="宋体" w:cs="Times New Roman"/>
      <w:kern w:val="2"/>
      <w:sz w:val="21"/>
      <w:szCs w:val="24"/>
      <w:lang w:val="en-US" w:eastAsia="zh-CN" w:bidi="ar-SA"/>
    </w:rPr>
  </w:style>
  <w:style w:type="character" w:customStyle="1" w:styleId="41">
    <w:name w:val="NormalCharacter"/>
    <w:qFormat/>
    <w:uiPriority w:val="0"/>
    <w:rPr>
      <w:rFonts w:ascii="Calibri" w:hAnsi="Calibri" w:eastAsia="宋体" w:cs="Times New Roman"/>
      <w:kern w:val="2"/>
      <w:sz w:val="21"/>
      <w:szCs w:val="24"/>
      <w:lang w:val="en-US" w:eastAsia="zh-CN" w:bidi="ar-SA"/>
    </w:rPr>
  </w:style>
  <w:style w:type="paragraph" w:customStyle="1" w:styleId="42">
    <w:name w:val="图例"/>
    <w:basedOn w:val="1"/>
    <w:qFormat/>
    <w:uiPriority w:val="0"/>
    <w:pPr>
      <w:spacing w:before="120" w:after="120" w:line="360" w:lineRule="auto"/>
      <w:jc w:val="center"/>
    </w:pPr>
    <w:rPr>
      <w:rFonts w:eastAsia="仿宋_GB2312"/>
      <w:b/>
      <w:sz w:val="24"/>
    </w:rPr>
  </w:style>
  <w:style w:type="paragraph" w:customStyle="1" w:styleId="43">
    <w:name w:val="列出段落1"/>
    <w:basedOn w:val="1"/>
    <w:qFormat/>
    <w:uiPriority w:val="0"/>
    <w:pPr>
      <w:ind w:firstLine="420" w:firstLineChars="200"/>
    </w:pPr>
  </w:style>
  <w:style w:type="paragraph" w:customStyle="1" w:styleId="44">
    <w:name w:val="List Paragraph_7aecd6e6-fc70-4df6-be05-ef790174fbad"/>
    <w:basedOn w:val="1"/>
    <w:qFormat/>
    <w:uiPriority w:val="34"/>
    <w:pPr>
      <w:ind w:firstLine="420" w:firstLineChars="200"/>
    </w:pPr>
  </w:style>
  <w:style w:type="paragraph" w:customStyle="1" w:styleId="45">
    <w:name w:val="正文-manu"/>
    <w:basedOn w:val="1"/>
    <w:qFormat/>
    <w:uiPriority w:val="0"/>
    <w:pPr>
      <w:spacing w:line="300" w:lineRule="auto"/>
    </w:pPr>
    <w:rPr>
      <w:b/>
      <w:snapToGrid w:val="0"/>
      <w:kern w:val="0"/>
      <w:sz w:val="24"/>
      <w:szCs w:val="20"/>
    </w:rPr>
  </w:style>
  <w:style w:type="character" w:customStyle="1" w:styleId="46">
    <w:name w:val="font01"/>
    <w:basedOn w:val="29"/>
    <w:qFormat/>
    <w:uiPriority w:val="0"/>
    <w:rPr>
      <w:rFonts w:hint="default" w:ascii="Arial" w:hAnsi="Arial" w:cs="Arial"/>
      <w:color w:val="000000"/>
      <w:sz w:val="22"/>
      <w:szCs w:val="22"/>
      <w:u w:val="none"/>
    </w:rPr>
  </w:style>
  <w:style w:type="character" w:customStyle="1" w:styleId="47">
    <w:name w:val="font41"/>
    <w:basedOn w:val="29"/>
    <w:qFormat/>
    <w:uiPriority w:val="0"/>
    <w:rPr>
      <w:rFonts w:hint="eastAsia" w:ascii="宋体" w:hAnsi="宋体" w:eastAsia="宋体" w:cs="宋体"/>
      <w:color w:val="000000"/>
      <w:sz w:val="22"/>
      <w:szCs w:val="22"/>
      <w:u w:val="none"/>
    </w:rPr>
  </w:style>
  <w:style w:type="character" w:customStyle="1" w:styleId="48">
    <w:name w:val="font51"/>
    <w:basedOn w:val="29"/>
    <w:qFormat/>
    <w:uiPriority w:val="0"/>
    <w:rPr>
      <w:rFonts w:hint="eastAsia" w:ascii="宋体" w:hAnsi="宋体" w:eastAsia="宋体" w:cs="宋体"/>
      <w:color w:val="000000"/>
      <w:sz w:val="22"/>
      <w:szCs w:val="22"/>
      <w:u w:val="none"/>
    </w:rPr>
  </w:style>
  <w:style w:type="character" w:customStyle="1" w:styleId="49">
    <w:name w:val="font31"/>
    <w:basedOn w:val="29"/>
    <w:qFormat/>
    <w:uiPriority w:val="0"/>
    <w:rPr>
      <w:rFonts w:hint="default" w:ascii="Arial" w:hAnsi="Arial" w:cs="Arial"/>
      <w:b/>
      <w:color w:val="000000"/>
      <w:sz w:val="22"/>
      <w:szCs w:val="22"/>
      <w:u w:val="none"/>
    </w:rPr>
  </w:style>
  <w:style w:type="character" w:customStyle="1" w:styleId="50">
    <w:name w:val="font91"/>
    <w:basedOn w:val="29"/>
    <w:qFormat/>
    <w:uiPriority w:val="0"/>
    <w:rPr>
      <w:rFonts w:hint="default" w:ascii="Arial" w:hAnsi="Arial" w:cs="Arial"/>
      <w:color w:val="000000"/>
      <w:sz w:val="22"/>
      <w:szCs w:val="22"/>
      <w:u w:val="none"/>
    </w:rPr>
  </w:style>
  <w:style w:type="character" w:customStyle="1" w:styleId="51">
    <w:name w:val="font81"/>
    <w:basedOn w:val="29"/>
    <w:qFormat/>
    <w:uiPriority w:val="0"/>
    <w:rPr>
      <w:rFonts w:hint="eastAsia" w:ascii="宋体" w:hAnsi="宋体" w:eastAsia="宋体" w:cs="宋体"/>
      <w:color w:val="000000"/>
      <w:sz w:val="22"/>
      <w:szCs w:val="22"/>
      <w:u w:val="none"/>
    </w:rPr>
  </w:style>
  <w:style w:type="character" w:customStyle="1" w:styleId="52">
    <w:name w:val="font21"/>
    <w:basedOn w:val="29"/>
    <w:qFormat/>
    <w:uiPriority w:val="0"/>
    <w:rPr>
      <w:rFonts w:ascii="微软雅黑" w:hAnsi="微软雅黑" w:eastAsia="微软雅黑" w:cs="微软雅黑"/>
      <w:b/>
      <w:color w:val="000000"/>
      <w:sz w:val="24"/>
      <w:szCs w:val="24"/>
      <w:u w:val="none"/>
    </w:rPr>
  </w:style>
  <w:style w:type="character" w:customStyle="1" w:styleId="53">
    <w:name w:val="font61"/>
    <w:basedOn w:val="29"/>
    <w:qFormat/>
    <w:uiPriority w:val="0"/>
    <w:rPr>
      <w:rFonts w:hint="default" w:ascii="Times New Roman" w:hAnsi="Times New Roman" w:cs="Times New Roman"/>
      <w:b/>
      <w:color w:val="000000"/>
      <w:sz w:val="24"/>
      <w:szCs w:val="24"/>
      <w:u w:val="none"/>
    </w:rPr>
  </w:style>
  <w:style w:type="character" w:customStyle="1" w:styleId="54">
    <w:name w:val="font71"/>
    <w:basedOn w:val="29"/>
    <w:qFormat/>
    <w:uiPriority w:val="0"/>
    <w:rPr>
      <w:rFonts w:hint="eastAsia" w:ascii="微软雅黑" w:hAnsi="微软雅黑" w:eastAsia="微软雅黑" w:cs="微软雅黑"/>
      <w:color w:val="000000"/>
      <w:sz w:val="24"/>
      <w:szCs w:val="24"/>
      <w:u w:val="none"/>
    </w:rPr>
  </w:style>
  <w:style w:type="character" w:customStyle="1" w:styleId="55">
    <w:name w:val="font101"/>
    <w:basedOn w:val="29"/>
    <w:qFormat/>
    <w:uiPriority w:val="0"/>
    <w:rPr>
      <w:rFonts w:hint="default" w:ascii="Times New Roman" w:hAnsi="Times New Roman" w:cs="Times New Roman"/>
      <w:color w:val="000000"/>
      <w:sz w:val="24"/>
      <w:szCs w:val="24"/>
      <w:u w:val="none"/>
    </w:rPr>
  </w:style>
  <w:style w:type="paragraph" w:customStyle="1" w:styleId="56">
    <w:name w:val="_Style 1"/>
    <w:basedOn w:val="1"/>
    <w:qFormat/>
    <w:uiPriority w:val="34"/>
    <w:pPr>
      <w:ind w:firstLine="420" w:firstLineChars="200"/>
    </w:pPr>
  </w:style>
  <w:style w:type="character" w:customStyle="1" w:styleId="57">
    <w:name w:val="无间隔 Char"/>
    <w:link w:val="40"/>
    <w:qFormat/>
    <w:uiPriority w:val="1"/>
    <w:rPr>
      <w:rFonts w:ascii="Calibri" w:hAnsi="Calibri" w:eastAsia="宋体" w:cs="Times New Roman"/>
      <w:kern w:val="2"/>
      <w:sz w:val="21"/>
      <w:szCs w:val="24"/>
      <w:lang w:val="en-US" w:eastAsia="zh-CN" w:bidi="ar-SA"/>
    </w:rPr>
  </w:style>
  <w:style w:type="paragraph" w:customStyle="1" w:styleId="58">
    <w:name w:val="正文缩进1"/>
    <w:basedOn w:val="1"/>
    <w:qFormat/>
    <w:uiPriority w:val="0"/>
    <w:pPr>
      <w:autoSpaceDE w:val="0"/>
      <w:autoSpaceDN w:val="0"/>
      <w:adjustRightInd w:val="0"/>
      <w:ind w:firstLine="420"/>
      <w:jc w:val="left"/>
    </w:pPr>
    <w:rPr>
      <w:rFonts w:ascii="宋体"/>
      <w:kern w:val="0"/>
      <w:sz w:val="24"/>
      <w:szCs w:val="20"/>
    </w:rPr>
  </w:style>
  <w:style w:type="paragraph" w:customStyle="1" w:styleId="59">
    <w:name w:val="索引 11"/>
    <w:basedOn w:val="1"/>
    <w:next w:val="1"/>
    <w:qFormat/>
    <w:uiPriority w:val="0"/>
    <w:pPr>
      <w:spacing w:line="360" w:lineRule="auto"/>
    </w:pPr>
    <w:rPr>
      <w:rFonts w:ascii="仿宋_GB2312" w:eastAsia="仿宋_GB2312"/>
      <w:sz w:val="24"/>
      <w:szCs w:val="20"/>
    </w:rPr>
  </w:style>
  <w:style w:type="paragraph" w:customStyle="1" w:styleId="60">
    <w:name w:val="纯文本1"/>
    <w:basedOn w:val="1"/>
    <w:qFormat/>
    <w:uiPriority w:val="0"/>
    <w:rPr>
      <w:rFonts w:ascii="宋体" w:hAnsi="Courier New"/>
      <w:kern w:val="0"/>
      <w:sz w:val="20"/>
      <w:szCs w:val="20"/>
    </w:rPr>
  </w:style>
  <w:style w:type="paragraph" w:customStyle="1" w:styleId="61">
    <w:name w:val="段"/>
    <w:next w:val="1"/>
    <w:qFormat/>
    <w:uiPriority w:val="0"/>
    <w:pPr>
      <w:autoSpaceDE w:val="0"/>
      <w:autoSpaceDN w:val="0"/>
      <w:ind w:firstLine="420" w:firstLineChars="200"/>
      <w:jc w:val="both"/>
    </w:pPr>
    <w:rPr>
      <w:rFonts w:ascii="宋体" w:hAnsi="Calibri" w:eastAsia="宋体" w:cs="Times New Roman"/>
      <w:kern w:val="2"/>
      <w:sz w:val="21"/>
      <w:szCs w:val="21"/>
      <w:lang w:val="en-US" w:eastAsia="zh-CN" w:bidi="ar-SA"/>
    </w:rPr>
  </w:style>
  <w:style w:type="paragraph" w:customStyle="1" w:styleId="62">
    <w:name w:val="石墨文档正文"/>
    <w:qFormat/>
    <w:uiPriority w:val="0"/>
    <w:rPr>
      <w:rFonts w:ascii="微软雅黑" w:hAnsi="微软雅黑" w:eastAsia="微软雅黑" w:cs="微软雅黑"/>
      <w:sz w:val="24"/>
      <w:szCs w:val="24"/>
      <w:lang w:val="en-US" w:eastAsia="zh-CN" w:bidi="ar-SA"/>
    </w:rPr>
  </w:style>
  <w:style w:type="character" w:customStyle="1" w:styleId="63">
    <w:name w:val="批注框文本 Char"/>
    <w:basedOn w:val="29"/>
    <w:link w:val="17"/>
    <w:qFormat/>
    <w:uiPriority w:val="0"/>
    <w:rPr>
      <w:kern w:val="2"/>
      <w:sz w:val="18"/>
      <w:szCs w:val="18"/>
    </w:rPr>
  </w:style>
  <w:style w:type="character" w:customStyle="1" w:styleId="64">
    <w:name w:val="批注文字 Char"/>
    <w:basedOn w:val="29"/>
    <w:link w:val="11"/>
    <w:qFormat/>
    <w:uiPriority w:val="0"/>
    <w:rPr>
      <w:kern w:val="2"/>
      <w:sz w:val="21"/>
      <w:szCs w:val="24"/>
    </w:rPr>
  </w:style>
  <w:style w:type="character" w:customStyle="1" w:styleId="65">
    <w:name w:val="批注主题 Char"/>
    <w:basedOn w:val="64"/>
    <w:link w:val="26"/>
    <w:qFormat/>
    <w:uiPriority w:val="0"/>
    <w:rPr>
      <w:b/>
      <w:bCs/>
      <w:kern w:val="2"/>
      <w:sz w:val="21"/>
      <w:szCs w:val="24"/>
    </w:rPr>
  </w:style>
  <w:style w:type="paragraph" w:customStyle="1" w:styleId="66">
    <w:name w:val="CL标准正文首行缩进2字"/>
    <w:qFormat/>
    <w:uiPriority w:val="0"/>
    <w:pPr>
      <w:widowControl w:val="0"/>
      <w:spacing w:line="360" w:lineRule="auto"/>
      <w:ind w:firstLine="200"/>
      <w:jc w:val="both"/>
    </w:pPr>
    <w:rPr>
      <w:rFonts w:ascii="Arial" w:hAnsi="Arial" w:eastAsia="宋体" w:cs="Arial Unicode MS"/>
      <w:color w:val="000000"/>
      <w:kern w:val="2"/>
      <w:sz w:val="21"/>
      <w:szCs w:val="21"/>
      <w:u w:color="000000"/>
      <w:lang w:val="en-US" w:eastAsia="zh-CN" w:bidi="ar-SA"/>
    </w:rPr>
  </w:style>
  <w:style w:type="table" w:customStyle="1" w:styleId="67">
    <w:name w:val="Table Normal1"/>
    <w:qFormat/>
    <w:uiPriority w:val="0"/>
    <w:rPr>
      <w:rFonts w:ascii="Times New Roman" w:hAnsi="Times New Roman" w:cs="Times New Roman"/>
    </w:rPr>
    <w:tblPr>
      <w:tblCellMar>
        <w:top w:w="0" w:type="dxa"/>
        <w:left w:w="0" w:type="dxa"/>
        <w:bottom w:w="0" w:type="dxa"/>
        <w:right w:w="0" w:type="dxa"/>
      </w:tblCellMar>
    </w:tblPr>
  </w:style>
  <w:style w:type="paragraph" w:customStyle="1" w:styleId="68">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69">
    <w:name w:val="p1"/>
    <w:basedOn w:val="1"/>
    <w:qFormat/>
    <w:uiPriority w:val="0"/>
    <w:pPr>
      <w:spacing w:before="0" w:beforeAutospacing="0" w:after="0" w:afterAutospacing="0"/>
      <w:ind w:left="0" w:right="0"/>
      <w:jc w:val="left"/>
    </w:pPr>
    <w:rPr>
      <w:rFonts w:ascii="pingfang sc" w:hAnsi="pingfang sc" w:eastAsia="pingfang sc" w:cs="pingfang sc"/>
      <w:kern w:val="0"/>
      <w:sz w:val="26"/>
      <w:szCs w:val="26"/>
      <w:lang w:val="en-US" w:eastAsia="zh-CN"/>
    </w:rPr>
  </w:style>
  <w:style w:type="character" w:customStyle="1" w:styleId="70">
    <w:name w:val="s1"/>
    <w:basedOn w:val="29"/>
    <w:qFormat/>
    <w:uiPriority w:val="0"/>
    <w:rPr>
      <w:rFonts w:ascii="pingfang sc" w:hAnsi="pingfang sc" w:eastAsia="pingfang sc" w:cs="pingfang sc"/>
      <w:sz w:val="40"/>
      <w:szCs w:val="40"/>
    </w:rPr>
  </w:style>
  <w:style w:type="character" w:customStyle="1" w:styleId="71">
    <w:name w:val="trans"/>
    <w:qFormat/>
    <w:uiPriority w:val="99"/>
  </w:style>
  <w:style w:type="paragraph" w:customStyle="1" w:styleId="72">
    <w:name w:val="正文 A"/>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Times New Roman" w:hAnsi="Times New Roman" w:eastAsia="Arial Unicode MS" w:cs="Arial Unicode MS"/>
      <w:color w:val="000000"/>
      <w:spacing w:val="0"/>
      <w:w w:val="100"/>
      <w:kern w:val="2"/>
      <w:position w:val="0"/>
      <w:sz w:val="21"/>
      <w:szCs w:val="21"/>
      <w:u w:val="none" w:color="000000"/>
      <w:shd w:val="clear" w:color="auto" w:fill="auto"/>
      <w:vertAlign w:val="baseline"/>
      <w:lang w:val="en-US"/>
    </w:rPr>
  </w:style>
  <w:style w:type="paragraph" w:customStyle="1" w:styleId="73">
    <w:name w:val="页眉与页脚"/>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shd w:val="clear" w:color="auto" w:fill="auto"/>
      <w:vertAlign w:val="baseline"/>
    </w:rPr>
  </w:style>
  <w:style w:type="character" w:customStyle="1" w:styleId="74">
    <w:name w:val="PageNumber"/>
    <w:qFormat/>
    <w:uiPriority w:val="99"/>
    <w:rPr>
      <w:rFonts w:cs="Times New Roman"/>
    </w:rPr>
  </w:style>
  <w:style w:type="paragraph" w:customStyle="1" w:styleId="75">
    <w:name w:val="样式1"/>
    <w:basedOn w:val="7"/>
    <w:qFormat/>
    <w:uiPriority w:val="0"/>
    <w:pPr>
      <w:spacing w:before="100" w:beforeAutospacing="1" w:after="100" w:afterAutospacing="1"/>
      <w:ind w:right="100" w:rightChars="100"/>
    </w:pPr>
    <w:rPr>
      <w:sz w:val="21"/>
    </w:rPr>
  </w:style>
  <w:style w:type="paragraph" w:customStyle="1" w:styleId="76">
    <w:name w:val="UserStyle_15"/>
    <w:basedOn w:val="77"/>
    <w:qFormat/>
    <w:uiPriority w:val="0"/>
    <w:pPr>
      <w:keepNext/>
      <w:widowControl/>
      <w:numPr>
        <w:ilvl w:val="1"/>
        <w:numId w:val="2"/>
      </w:numPr>
      <w:spacing w:before="100" w:beforeAutospacing="1" w:after="100" w:afterAutospacing="1"/>
      <w:ind w:left="1710" w:right="100" w:rightChars="100"/>
      <w:textAlignment w:val="baseline"/>
    </w:pPr>
    <w:rPr>
      <w:rFonts w:ascii="Cambria" w:hAnsi="Cambria" w:cs="Times New Roman"/>
      <w:sz w:val="21"/>
      <w:szCs w:val="28"/>
      <w:lang w:bidi="ar-SA"/>
    </w:rPr>
  </w:style>
  <w:style w:type="paragraph" w:customStyle="1" w:styleId="77">
    <w:name w:val="Heading2"/>
    <w:basedOn w:val="1"/>
    <w:next w:val="1"/>
    <w:qFormat/>
    <w:uiPriority w:val="0"/>
    <w:pPr>
      <w:keepNext/>
      <w:widowControl/>
      <w:numPr>
        <w:ilvl w:val="1"/>
        <w:numId w:val="2"/>
      </w:numPr>
      <w:spacing w:before="240" w:after="60"/>
      <w:textAlignment w:val="baseline"/>
    </w:pPr>
    <w:rPr>
      <w:rFonts w:ascii="Cambria" w:hAnsi="Cambria" w:cs="Times New Roman"/>
      <w:b/>
      <w:bCs/>
      <w:i/>
      <w:iCs/>
      <w:sz w:val="28"/>
      <w:szCs w:val="28"/>
      <w:lang w:bidi="ar-SA"/>
    </w:rPr>
  </w:style>
  <w:style w:type="character" w:customStyle="1" w:styleId="78">
    <w:name w:val="UserStyle_2"/>
    <w:link w:val="79"/>
    <w:qFormat/>
    <w:uiPriority w:val="0"/>
    <w:rPr>
      <w:kern w:val="0"/>
      <w:sz w:val="20"/>
      <w:szCs w:val="24"/>
      <w:lang w:val="en-US" w:eastAsia="zh-CN" w:bidi="ar-SA"/>
    </w:rPr>
  </w:style>
  <w:style w:type="paragraph" w:customStyle="1" w:styleId="79">
    <w:name w:val="UserStyle_3"/>
    <w:basedOn w:val="1"/>
    <w:link w:val="78"/>
    <w:qFormat/>
    <w:uiPriority w:val="0"/>
    <w:pPr>
      <w:jc w:val="both"/>
      <w:textAlignment w:val="baseline"/>
    </w:pPr>
    <w:rPr>
      <w:kern w:val="0"/>
      <w:sz w:val="20"/>
      <w:szCs w:val="24"/>
      <w:lang w:val="en-US" w:eastAsia="zh-CN" w:bidi="ar-SA"/>
    </w:rPr>
  </w:style>
  <w:style w:type="paragraph" w:customStyle="1" w:styleId="80">
    <w:name w:val="List Paragraph1"/>
    <w:basedOn w:val="1"/>
    <w:qFormat/>
    <w:uiPriority w:val="0"/>
    <w:pPr>
      <w:ind w:firstLine="420" w:firstLineChars="200"/>
    </w:pPr>
  </w:style>
  <w:style w:type="paragraph" w:customStyle="1" w:styleId="81">
    <w:name w:val="List Paragraph"/>
    <w:basedOn w:val="1"/>
    <w:qFormat/>
    <w:uiPriority w:val="34"/>
    <w:pPr>
      <w:ind w:firstLine="420" w:firstLineChars="200"/>
    </w:pPr>
  </w:style>
  <w:style w:type="paragraph" w:styleId="82">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83">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Times New Roman"/>
      <w:kern w:val="0"/>
      <w:sz w:val="24"/>
      <w:szCs w:val="24"/>
    </w:rPr>
  </w:style>
  <w:style w:type="paragraph" w:customStyle="1" w:styleId="84">
    <w:name w:val="TOC Heading"/>
    <w:basedOn w:val="6"/>
    <w:next w:val="1"/>
    <w:semiHidden/>
    <w:unhideWhenUsed/>
    <w:qFormat/>
    <w:uiPriority w:val="39"/>
    <w:pPr>
      <w:widowControl/>
      <w:numPr>
        <w:ilvl w:val="0"/>
        <w:numId w:val="0"/>
      </w:numPr>
      <w:spacing w:before="480" w:after="0" w:line="276" w:lineRule="auto"/>
      <w:jc w:val="left"/>
      <w:outlineLvl w:val="9"/>
    </w:pPr>
    <w:rPr>
      <w:rFonts w:ascii="Cambria" w:hAnsi="Cambria"/>
      <w:color w:val="365F91"/>
      <w:kern w:val="0"/>
      <w:sz w:val="28"/>
      <w:szCs w:val="28"/>
    </w:rPr>
  </w:style>
  <w:style w:type="paragraph" w:customStyle="1" w:styleId="85">
    <w:name w:val="标题33"/>
    <w:basedOn w:val="8"/>
    <w:next w:val="34"/>
    <w:qFormat/>
    <w:uiPriority w:val="0"/>
    <w:pPr>
      <w:numPr>
        <w:ilvl w:val="2"/>
        <w:numId w:val="3"/>
      </w:numPr>
      <w:tabs>
        <w:tab w:val="clear" w:pos="720"/>
      </w:tabs>
    </w:pPr>
    <w:rPr>
      <w:rFonts w:hAnsi="黑体" w:eastAsia="黑体"/>
      <w:sz w:val="30"/>
      <w:szCs w:val="30"/>
    </w:rPr>
  </w:style>
  <w:style w:type="paragraph" w:customStyle="1" w:styleId="86">
    <w:name w:val="标题44"/>
    <w:basedOn w:val="9"/>
    <w:next w:val="34"/>
    <w:qFormat/>
    <w:uiPriority w:val="0"/>
    <w:pPr>
      <w:numPr>
        <w:ilvl w:val="3"/>
        <w:numId w:val="3"/>
      </w:numPr>
    </w:pPr>
    <w:rPr>
      <w:sz w:val="30"/>
      <w:szCs w:val="30"/>
    </w:rPr>
  </w:style>
  <w:style w:type="paragraph" w:customStyle="1" w:styleId="87">
    <w:name w:val="表格文字"/>
    <w:basedOn w:val="1"/>
    <w:qFormat/>
    <w:uiPriority w:val="0"/>
    <w:pPr>
      <w:spacing w:before="25" w:after="25"/>
      <w:jc w:val="left"/>
    </w:pPr>
    <w:rPr>
      <w:bCs/>
      <w:spacing w:val="10"/>
      <w:kern w:val="0"/>
      <w:sz w:val="24"/>
    </w:rPr>
  </w:style>
  <w:style w:type="paragraph" w:customStyle="1" w:styleId="88">
    <w:name w:val="p0"/>
    <w:basedOn w:val="1"/>
    <w:qFormat/>
    <w:uiPriority w:val="0"/>
    <w:pPr>
      <w:widowControl/>
    </w:pPr>
    <w:rPr>
      <w:kern w:val="0"/>
      <w:szCs w:val="21"/>
    </w:rPr>
  </w:style>
  <w:style w:type="character" w:customStyle="1" w:styleId="89">
    <w:name w:val="font11"/>
    <w:basedOn w:val="29"/>
    <w:qFormat/>
    <w:uiPriority w:val="0"/>
    <w:rPr>
      <w:rFonts w:hint="eastAsia" w:ascii="宋体" w:hAnsi="宋体" w:eastAsia="宋体" w:cs="宋体"/>
      <w:color w:val="333333"/>
      <w:sz w:val="24"/>
      <w:szCs w:val="24"/>
      <w:u w:val="none"/>
    </w:rPr>
  </w:style>
  <w:style w:type="table" w:customStyle="1" w:styleId="90">
    <w:name w:val="Table Normal"/>
    <w:semiHidden/>
    <w:unhideWhenUsed/>
    <w:qFormat/>
    <w:uiPriority w:val="0"/>
    <w:tblPr>
      <w:tblCellMar>
        <w:top w:w="0" w:type="dxa"/>
        <w:left w:w="0" w:type="dxa"/>
        <w:bottom w:w="0" w:type="dxa"/>
        <w:right w:w="0" w:type="dxa"/>
      </w:tblCellMar>
    </w:tblPr>
  </w:style>
  <w:style w:type="paragraph" w:customStyle="1" w:styleId="91">
    <w:name w:val="ParaAttribute13"/>
    <w:qFormat/>
    <w:uiPriority w:val="0"/>
    <w:pPr>
      <w:widowControl w:val="0"/>
      <w:wordWrap w:val="0"/>
      <w:ind w:left="-106"/>
    </w:pPr>
    <w:rPr>
      <w:rFonts w:ascii="Times New Roman" w:hAnsi="Times New Roman" w:eastAsia="Batang" w:cs="Times New Roman"/>
      <w:sz w:val="21"/>
      <w:szCs w:val="22"/>
      <w:lang w:val="en-US" w:eastAsia="zh-CN" w:bidi="ar-SA"/>
    </w:rPr>
  </w:style>
  <w:style w:type="character" w:customStyle="1" w:styleId="92">
    <w:name w:val="CharAttribute0"/>
    <w:qFormat/>
    <w:uiPriority w:val="0"/>
    <w:rPr>
      <w:rFonts w:ascii="Times New Roman" w:eastAsia="宋体"/>
      <w:sz w:val="21"/>
    </w:rPr>
  </w:style>
  <w:style w:type="paragraph" w:customStyle="1" w:styleId="93">
    <w:name w:val="List Paragraph_1ffbf98a-d79d-4ba6-959b-084034549eb9"/>
    <w:basedOn w:val="1"/>
    <w:qFormat/>
    <w:uiPriority w:val="99"/>
    <w:pPr>
      <w:ind w:firstLine="420" w:firstLineChars="200"/>
    </w:pPr>
  </w:style>
  <w:style w:type="character" w:customStyle="1" w:styleId="94">
    <w:name w:val="Heading 1 Char_96176e96-73a7-47d7-848a-715be5576289"/>
    <w:basedOn w:val="29"/>
    <w:link w:val="6"/>
    <w:qFormat/>
    <w:uiPriority w:val="99"/>
    <w:rPr>
      <w:rFonts w:ascii="宋体" w:hAnsi="Times New Roman" w:eastAsia="宋体" w:cs="宋体"/>
      <w:b/>
      <w:bCs/>
      <w:kern w:val="44"/>
      <w:sz w:val="20"/>
      <w:szCs w:val="20"/>
    </w:rPr>
  </w:style>
  <w:style w:type="paragraph" w:customStyle="1" w:styleId="95">
    <w:name w:val="标书正文"/>
    <w:qFormat/>
    <w:uiPriority w:val="0"/>
    <w:pPr>
      <w:widowControl w:val="0"/>
      <w:spacing w:line="560" w:lineRule="exact"/>
      <w:ind w:firstLine="723" w:firstLineChars="200"/>
      <w:jc w:val="center"/>
    </w:pPr>
    <w:rPr>
      <w:rFonts w:ascii="仿宋_GB2312" w:hAnsi="Calibri" w:eastAsia="仿宋_GB2312" w:cs="Times New Roman"/>
      <w:b/>
      <w:kern w:val="2"/>
      <w:sz w:val="36"/>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71</Pages>
  <Words>42211</Words>
  <Characters>45666</Characters>
  <Paragraphs>2159</Paragraphs>
  <TotalTime>2</TotalTime>
  <ScaleCrop>false</ScaleCrop>
  <LinksUpToDate>false</LinksUpToDate>
  <CharactersWithSpaces>50187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2021-06-23T11:44:00Z</dcterms:created>
  <dc:creator>WPS_1542621076</dc:creator>
  <cp:lastModifiedBy>大口吃芒果</cp:lastModifiedBy>
  <cp:lastPrinted>2023-02-13T12:18:00Z</cp:lastPrinted>
  <dcterms:modified xsi:type="dcterms:W3CDTF">2023-09-21T03:19:43Z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3707FDACD5C04594817F484A8F32AF2B_13</vt:lpwstr>
  </property>
</Properties>
</file>