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32B9">
      <w:pPr>
        <w:jc w:val="righ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项目编号：XJXSZB【2025】208</w:t>
      </w:r>
    </w:p>
    <w:p w14:paraId="7A19C895">
      <w:pPr>
        <w:pStyle w:val="15"/>
        <w:rPr>
          <w:rFonts w:hint="eastAsia" w:asciiTheme="minorEastAsia" w:hAnsiTheme="minorEastAsia" w:eastAsiaTheme="minorEastAsia" w:cstheme="minorEastAsia"/>
          <w:b/>
          <w:bCs/>
          <w:szCs w:val="24"/>
        </w:rPr>
      </w:pPr>
    </w:p>
    <w:p w14:paraId="4A30F331">
      <w:pPr>
        <w:rPr>
          <w:rFonts w:hint="eastAsia" w:asciiTheme="minorEastAsia" w:hAnsiTheme="minorEastAsia" w:eastAsiaTheme="minorEastAsia" w:cstheme="minorEastAsia"/>
        </w:rPr>
      </w:pPr>
    </w:p>
    <w:p w14:paraId="52EE6A67">
      <w:pPr>
        <w:jc w:val="center"/>
        <w:rPr>
          <w:rFonts w:hint="eastAsia" w:asciiTheme="minorEastAsia" w:hAnsiTheme="minorEastAsia" w:eastAsiaTheme="minorEastAsia" w:cstheme="minorEastAsia"/>
          <w:b/>
          <w:sz w:val="44"/>
        </w:rPr>
      </w:pPr>
      <w:r>
        <w:rPr>
          <w:rFonts w:hint="eastAsia" w:asciiTheme="minorEastAsia" w:hAnsiTheme="minorEastAsia" w:eastAsiaTheme="minorEastAsia" w:cstheme="minorEastAsia"/>
          <w:b/>
          <w:sz w:val="44"/>
        </w:rPr>
        <w:t>木垒县2024年第三批中央财政林业草原生态保护恢复资金（森林生态保护修复）项目无人机巡护租赁服务项目</w:t>
      </w:r>
    </w:p>
    <w:p w14:paraId="1F74D5D3">
      <w:pPr>
        <w:jc w:val="center"/>
        <w:rPr>
          <w:rFonts w:hint="eastAsia" w:asciiTheme="minorEastAsia" w:hAnsiTheme="minorEastAsia" w:eastAsiaTheme="minorEastAsia" w:cstheme="minorEastAsia"/>
          <w:b/>
          <w:sz w:val="44"/>
        </w:rPr>
      </w:pPr>
    </w:p>
    <w:p w14:paraId="603BC269">
      <w:pPr>
        <w:jc w:val="center"/>
        <w:rPr>
          <w:rFonts w:hint="eastAsia" w:asciiTheme="minorEastAsia" w:hAnsiTheme="minorEastAsia" w:eastAsiaTheme="minorEastAsia" w:cstheme="minorEastAsia"/>
          <w:b/>
          <w:sz w:val="44"/>
        </w:rPr>
      </w:pPr>
      <w:r>
        <w:rPr>
          <w:rFonts w:hint="eastAsia" w:asciiTheme="minorEastAsia" w:hAnsiTheme="minorEastAsia" w:eastAsiaTheme="minorEastAsia" w:cstheme="minorEastAsia"/>
          <w:b/>
          <w:sz w:val="44"/>
        </w:rPr>
        <w:t>竞争性磋商文件</w:t>
      </w:r>
    </w:p>
    <w:p w14:paraId="6F9E3046">
      <w:pPr>
        <w:ind w:firstLine="4635"/>
        <w:jc w:val="center"/>
        <w:rPr>
          <w:rFonts w:hint="eastAsia" w:asciiTheme="minorEastAsia" w:hAnsiTheme="minorEastAsia" w:eastAsiaTheme="minorEastAsia" w:cstheme="minorEastAsia"/>
          <w:sz w:val="32"/>
          <w:shd w:val="pct10" w:color="auto" w:fill="FFFFFF"/>
        </w:rPr>
      </w:pPr>
    </w:p>
    <w:p w14:paraId="22AEF07B">
      <w:pPr>
        <w:ind w:firstLine="4635"/>
        <w:rPr>
          <w:rFonts w:hint="eastAsia" w:asciiTheme="minorEastAsia" w:hAnsiTheme="minorEastAsia" w:eastAsiaTheme="minorEastAsia" w:cstheme="minorEastAsia"/>
          <w:sz w:val="32"/>
        </w:rPr>
      </w:pPr>
    </w:p>
    <w:p w14:paraId="2C4C6CAF">
      <w:pPr>
        <w:ind w:firstLine="4635"/>
        <w:rPr>
          <w:rFonts w:hint="eastAsia" w:asciiTheme="minorEastAsia" w:hAnsiTheme="minorEastAsia" w:eastAsiaTheme="minorEastAsia" w:cstheme="minorEastAsia"/>
          <w:sz w:val="32"/>
        </w:rPr>
      </w:pPr>
    </w:p>
    <w:p w14:paraId="0AF252CA">
      <w:pPr>
        <w:ind w:firstLine="4635"/>
        <w:rPr>
          <w:rFonts w:hint="eastAsia" w:asciiTheme="minorEastAsia" w:hAnsiTheme="minorEastAsia" w:eastAsiaTheme="minorEastAsia" w:cstheme="minorEastAsia"/>
          <w:sz w:val="32"/>
        </w:rPr>
      </w:pPr>
    </w:p>
    <w:p w14:paraId="0D5EC15D">
      <w:pPr>
        <w:pStyle w:val="15"/>
        <w:rPr>
          <w:rFonts w:hint="eastAsia" w:asciiTheme="minorEastAsia" w:hAnsiTheme="minorEastAsia" w:eastAsiaTheme="minorEastAsia" w:cstheme="minorEastAsia"/>
        </w:rPr>
      </w:pPr>
    </w:p>
    <w:p w14:paraId="072CC62F">
      <w:pPr>
        <w:spacing w:line="360" w:lineRule="exact"/>
        <w:ind w:left="1915" w:leftChars="300" w:hanging="1195" w:hangingChars="4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项目名称：木垒县2024年第三批中央财政林业草原生态保护恢复资金（森林生态保护修复）项目无人机巡护租赁服务项目</w:t>
      </w:r>
    </w:p>
    <w:p w14:paraId="5BBBB1CB">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招标单位：木垒哈萨克自治县林业和草原局</w:t>
      </w:r>
    </w:p>
    <w:p w14:paraId="4AA0A5D7">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人：金主任</w:t>
      </w:r>
    </w:p>
    <w:p w14:paraId="100714EE">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联系电话：13095053093</w:t>
      </w:r>
    </w:p>
    <w:p w14:paraId="7ABAB08B">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联系地址：木垒县园林东路</w:t>
      </w:r>
    </w:p>
    <w:p w14:paraId="6713CCA4">
      <w:pPr>
        <w:spacing w:line="360" w:lineRule="exact"/>
        <w:ind w:left="3954" w:leftChars="270" w:hanging="3306" w:hangingChars="1181"/>
        <w:rPr>
          <w:rFonts w:hint="eastAsia" w:asciiTheme="minorEastAsia" w:hAnsiTheme="minorEastAsia" w:eastAsiaTheme="minorEastAsia" w:cstheme="minorEastAsia"/>
          <w:sz w:val="28"/>
          <w:szCs w:val="28"/>
        </w:rPr>
      </w:pPr>
    </w:p>
    <w:p w14:paraId="7D9E8B10">
      <w:pPr>
        <w:spacing w:line="360" w:lineRule="exact"/>
        <w:ind w:left="3954" w:leftChars="270" w:hanging="3306" w:hangingChars="1181"/>
        <w:rPr>
          <w:rFonts w:hint="eastAsia" w:asciiTheme="minorEastAsia" w:hAnsiTheme="minorEastAsia" w:eastAsiaTheme="minorEastAsia" w:cstheme="minorEastAsia"/>
          <w:sz w:val="28"/>
          <w:szCs w:val="28"/>
        </w:rPr>
      </w:pPr>
    </w:p>
    <w:p w14:paraId="4649DCB3">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招标代理机构：新疆信实工程招标咨询服务有限公司</w:t>
      </w:r>
    </w:p>
    <w:p w14:paraId="1AA48A7C">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人：王经理</w:t>
      </w:r>
    </w:p>
    <w:p w14:paraId="35616727">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联系电话：19915110301</w:t>
      </w:r>
    </w:p>
    <w:p w14:paraId="74BF0E2B">
      <w:pPr>
        <w:spacing w:line="360" w:lineRule="exact"/>
        <w:ind w:left="3954" w:leftChars="270" w:hanging="3306" w:hangingChars="11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联系地址：新疆乌鲁木齐市青年路235号阳光花苑B座2510室</w:t>
      </w:r>
    </w:p>
    <w:p w14:paraId="608F8101">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2025年6月</w:t>
      </w:r>
    </w:p>
    <w:p w14:paraId="7C54E717">
      <w:pPr>
        <w:widowControl/>
        <w:spacing w:line="240" w:lineRule="auto"/>
        <w:jc w:val="left"/>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14:paraId="6032547D">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目录</w:t>
      </w:r>
    </w:p>
    <w:p w14:paraId="05E0386C">
      <w:pPr>
        <w:pStyle w:val="28"/>
        <w:tabs>
          <w:tab w:val="right" w:leader="dot" w:pos="9070"/>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TOC \o "1-2" \h \z </w:instrText>
      </w:r>
      <w:r>
        <w:rPr>
          <w:rFonts w:hint="eastAsia" w:asciiTheme="minorEastAsia" w:hAnsiTheme="minorEastAsia" w:eastAsiaTheme="minorEastAsia" w:cstheme="minorEastAsia"/>
          <w:szCs w:val="24"/>
        </w:rPr>
        <w:fldChar w:fldCharType="separate"/>
      </w:r>
      <w:r>
        <w:fldChar w:fldCharType="begin"/>
      </w:r>
      <w:r>
        <w:instrText xml:space="preserve"> HYPERLINK \l "_Toc3307" </w:instrText>
      </w:r>
      <w:r>
        <w:fldChar w:fldCharType="separate"/>
      </w:r>
      <w:r>
        <w:rPr>
          <w:rFonts w:hint="eastAsia" w:asciiTheme="minorEastAsia" w:hAnsiTheme="minorEastAsia" w:eastAsiaTheme="minorEastAsia" w:cstheme="minorEastAsia"/>
        </w:rPr>
        <w:t>第一章 招标公告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_Toc3307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5E14820">
      <w:pPr>
        <w:pStyle w:val="28"/>
        <w:tabs>
          <w:tab w:val="right" w:leader="dot" w:pos="9070"/>
        </w:tabs>
        <w:rPr>
          <w:rFonts w:hint="eastAsia" w:asciiTheme="minorEastAsia" w:hAnsiTheme="minorEastAsia" w:eastAsiaTheme="minorEastAsia" w:cstheme="minorEastAsia"/>
        </w:rPr>
      </w:pPr>
      <w:r>
        <w:fldChar w:fldCharType="begin"/>
      </w:r>
      <w:r>
        <w:instrText xml:space="preserve"> HYPERLINK \l "_Toc16830" </w:instrText>
      </w:r>
      <w:r>
        <w:fldChar w:fldCharType="separate"/>
      </w:r>
      <w:r>
        <w:rPr>
          <w:rFonts w:hint="eastAsia" w:asciiTheme="minorEastAsia" w:hAnsiTheme="minorEastAsia" w:eastAsiaTheme="minorEastAsia" w:cstheme="minorEastAsia"/>
        </w:rPr>
        <w:t>第二章 投标须知前附表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_Toc16830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E98B2A4">
      <w:pPr>
        <w:pStyle w:val="28"/>
        <w:tabs>
          <w:tab w:val="right" w:leader="dot" w:pos="9070"/>
        </w:tabs>
        <w:rPr>
          <w:rFonts w:hint="eastAsia" w:asciiTheme="minorEastAsia" w:hAnsiTheme="minorEastAsia" w:eastAsiaTheme="minorEastAsia" w:cstheme="minorEastAsia"/>
        </w:rPr>
      </w:pPr>
      <w:r>
        <w:fldChar w:fldCharType="begin"/>
      </w:r>
      <w:r>
        <w:instrText xml:space="preserve"> HYPERLINK \l "_Toc18836" </w:instrText>
      </w:r>
      <w:r>
        <w:fldChar w:fldCharType="separate"/>
      </w:r>
      <w:r>
        <w:rPr>
          <w:rFonts w:hint="eastAsia" w:asciiTheme="minorEastAsia" w:hAnsiTheme="minorEastAsia" w:eastAsiaTheme="minorEastAsia" w:cstheme="minorEastAsia"/>
        </w:rPr>
        <w:t>第三章 投标人须知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_Toc18836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30A0E34">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"_Toc1108" </w:instrText>
      </w:r>
      <w:r>
        <w:fldChar w:fldCharType="separate"/>
      </w:r>
      <w:r>
        <w:rPr>
          <w:rFonts w:hint="eastAsia" w:asciiTheme="minorEastAsia" w:hAnsiTheme="minorEastAsia" w:eastAsiaTheme="minorEastAsia" w:cstheme="minorEastAsia"/>
        </w:rPr>
        <w:t>1.  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3CFA574">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"_Toc19902" </w:instrText>
      </w:r>
      <w:r>
        <w:fldChar w:fldCharType="separate"/>
      </w:r>
      <w:r>
        <w:rPr>
          <w:rFonts w:hint="eastAsia" w:asciiTheme="minorEastAsia" w:hAnsiTheme="minorEastAsia" w:eastAsiaTheme="minorEastAsia" w:cstheme="minorEastAsia"/>
        </w:rPr>
        <w:t>2.  合格的投标人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_Toc19902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00B0E55">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"_Toc29485" </w:instrText>
      </w:r>
      <w:r>
        <w:fldChar w:fldCharType="separate"/>
      </w:r>
      <w:r>
        <w:rPr>
          <w:rFonts w:hint="eastAsia" w:asciiTheme="minorEastAsia" w:hAnsiTheme="minorEastAsia" w:eastAsiaTheme="minorEastAsia" w:cstheme="minorEastAsia"/>
        </w:rPr>
        <w:t>3.  投标费用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_Toc29485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331BFBF">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"_Toc29131" </w:instrText>
      </w:r>
      <w:r>
        <w:fldChar w:fldCharType="separate"/>
      </w:r>
      <w:r>
        <w:rPr>
          <w:rFonts w:hint="eastAsia" w:asciiTheme="minorEastAsia" w:hAnsiTheme="minorEastAsia" w:eastAsiaTheme="minorEastAsia" w:cstheme="minorEastAsia"/>
        </w:rPr>
        <w:t>4.  综合说明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_Toc29131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695FFBE">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"_Toc3424" </w:instrText>
      </w:r>
      <w:r>
        <w:fldChar w:fldCharType="separate"/>
      </w:r>
      <w:r>
        <w:rPr>
          <w:rFonts w:hint="eastAsia" w:asciiTheme="minorEastAsia" w:hAnsiTheme="minorEastAsia" w:eastAsiaTheme="minorEastAsia" w:cstheme="minorEastAsia"/>
        </w:rPr>
        <w:t>5.  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_Toc3424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380F184">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"_Toc1989" </w:instrText>
      </w:r>
      <w:r>
        <w:fldChar w:fldCharType="separate"/>
      </w:r>
      <w:r>
        <w:rPr>
          <w:rFonts w:hint="eastAsia" w:asciiTheme="minorEastAsia" w:hAnsiTheme="minorEastAsia" w:eastAsiaTheme="minorEastAsia" w:cstheme="minorEastAsia"/>
        </w:rPr>
        <w:t>6.  招标文件的澄清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4BE3876">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"_Toc14039" </w:instrText>
      </w:r>
      <w:r>
        <w:fldChar w:fldCharType="separate"/>
      </w:r>
      <w:r>
        <w:rPr>
          <w:rFonts w:hint="eastAsia" w:asciiTheme="minorEastAsia" w:hAnsiTheme="minorEastAsia" w:eastAsiaTheme="minorEastAsia" w:cstheme="minorEastAsia"/>
        </w:rPr>
        <w:t>7.  招标文件的修改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_Toc14039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088C2BC">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"_Toc32211" </w:instrText>
      </w:r>
      <w:r>
        <w:fldChar w:fldCharType="separate"/>
      </w:r>
      <w:r>
        <w:rPr>
          <w:rFonts w:hint="eastAsia" w:asciiTheme="minorEastAsia" w:hAnsiTheme="minorEastAsia" w:eastAsiaTheme="minorEastAsia" w:cstheme="minorEastAsia"/>
        </w:rPr>
        <w:t>8.  投标语言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_Toc32211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9A38527">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"_Toc24439" </w:instrText>
      </w:r>
      <w:r>
        <w:fldChar w:fldCharType="separate"/>
      </w:r>
      <w:r>
        <w:rPr>
          <w:rFonts w:hint="eastAsia" w:asciiTheme="minorEastAsia" w:hAnsiTheme="minorEastAsia" w:eastAsiaTheme="minorEastAsia" w:cstheme="minorEastAsia"/>
        </w:rPr>
        <w:t>9.  投标文件的编制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_Toc24439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13827BA">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"_Toc15670" </w:instrText>
      </w:r>
      <w:r>
        <w:fldChar w:fldCharType="separate"/>
      </w:r>
      <w:r>
        <w:rPr>
          <w:rFonts w:hint="eastAsia" w:asciiTheme="minorEastAsia" w:hAnsiTheme="minorEastAsia" w:eastAsiaTheme="minorEastAsia" w:cstheme="minorEastAsia"/>
        </w:rPr>
        <w:t>10.投标文件格式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_Toc15670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258B61B">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"_Toc26790" </w:instrText>
      </w:r>
      <w:r>
        <w:fldChar w:fldCharType="separate"/>
      </w:r>
      <w:r>
        <w:rPr>
          <w:rFonts w:hint="eastAsia" w:asciiTheme="minorEastAsia" w:hAnsiTheme="minorEastAsia" w:eastAsiaTheme="minorEastAsia" w:cstheme="minorEastAsia"/>
        </w:rPr>
        <w:t>11.投标有效期</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_Toc26790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04EF1BE">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"_Toc29246" </w:instrText>
      </w:r>
      <w:r>
        <w:fldChar w:fldCharType="separate"/>
      </w:r>
      <w:r>
        <w:rPr>
          <w:rFonts w:hint="eastAsia" w:asciiTheme="minorEastAsia" w:hAnsiTheme="minorEastAsia" w:eastAsiaTheme="minorEastAsia" w:cstheme="minorEastAsia"/>
        </w:rPr>
        <w:t>12.投标文件的签署规定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_Toc29246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F9CC7E3">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"_Toc25583" </w:instrText>
      </w:r>
      <w:r>
        <w:fldChar w:fldCharType="separate"/>
      </w:r>
      <w:r>
        <w:rPr>
          <w:rFonts w:hint="eastAsia" w:asciiTheme="minorEastAsia" w:hAnsiTheme="minorEastAsia" w:eastAsiaTheme="minorEastAsia" w:cstheme="minorEastAsia"/>
        </w:rPr>
        <w:t>13.投标保证金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_Toc25583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CAD1C57">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"_Toc3289" </w:instrText>
      </w:r>
      <w:r>
        <w:fldChar w:fldCharType="separate"/>
      </w:r>
      <w:r>
        <w:rPr>
          <w:rFonts w:hint="eastAsia" w:asciiTheme="minorEastAsia" w:hAnsiTheme="minorEastAsia" w:eastAsiaTheme="minorEastAsia" w:cstheme="minorEastAsia"/>
        </w:rPr>
        <w:t>14.投标文件的递交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8251D62">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"_Toc23509" </w:instrText>
      </w:r>
      <w:r>
        <w:fldChar w:fldCharType="separate"/>
      </w:r>
      <w:r>
        <w:rPr>
          <w:rFonts w:hint="eastAsia" w:asciiTheme="minorEastAsia" w:hAnsiTheme="minorEastAsia" w:eastAsiaTheme="minorEastAsia" w:cstheme="minorEastAsia"/>
        </w:rPr>
        <w:t>15.投标文件的修改和撤销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_Toc23509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2E5021B">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"_Toc1705" </w:instrText>
      </w:r>
      <w:r>
        <w:fldChar w:fldCharType="separate"/>
      </w:r>
      <w:r>
        <w:rPr>
          <w:rFonts w:hint="eastAsia" w:asciiTheme="minorEastAsia" w:hAnsiTheme="minorEastAsia" w:eastAsiaTheme="minorEastAsia" w:cstheme="minorEastAsia"/>
        </w:rPr>
        <w:t>16.评标会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68EA6EB">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"_Toc8199" </w:instrText>
      </w:r>
      <w:r>
        <w:fldChar w:fldCharType="separate"/>
      </w:r>
      <w:r>
        <w:rPr>
          <w:rFonts w:hint="eastAsia" w:asciiTheme="minorEastAsia" w:hAnsiTheme="minorEastAsia" w:eastAsiaTheme="minorEastAsia" w:cstheme="minorEastAsia"/>
        </w:rPr>
        <w:t>17.评标原则及依据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_Toc8199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9A6486F">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"_Toc8904" </w:instrText>
      </w:r>
      <w:r>
        <w:fldChar w:fldCharType="separate"/>
      </w:r>
      <w:r>
        <w:rPr>
          <w:rFonts w:hint="eastAsia" w:asciiTheme="minorEastAsia" w:hAnsiTheme="minorEastAsia" w:eastAsiaTheme="minorEastAsia" w:cstheme="minorEastAsia"/>
        </w:rPr>
        <w:t>18.评审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_Toc8904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B35939A">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"_Toc6310" </w:instrText>
      </w:r>
      <w:r>
        <w:fldChar w:fldCharType="separate"/>
      </w:r>
      <w:r>
        <w:rPr>
          <w:rFonts w:hint="eastAsia" w:asciiTheme="minorEastAsia" w:hAnsiTheme="minorEastAsia" w:eastAsiaTheme="minorEastAsia" w:cstheme="minorEastAsia"/>
        </w:rPr>
        <w:t>19.评审标准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_Toc6310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16C6D84">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"_Toc15516" </w:instrText>
      </w:r>
      <w:r>
        <w:fldChar w:fldCharType="separate"/>
      </w:r>
      <w:r>
        <w:rPr>
          <w:rFonts w:hint="eastAsia" w:asciiTheme="minorEastAsia" w:hAnsiTheme="minorEastAsia" w:eastAsiaTheme="minorEastAsia" w:cstheme="minorEastAsia"/>
        </w:rPr>
        <w:t>20.定标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_Toc15516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7B20A17">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"_Toc52" </w:instrText>
      </w:r>
      <w:r>
        <w:fldChar w:fldCharType="separate"/>
      </w:r>
      <w:r>
        <w:rPr>
          <w:rFonts w:hint="eastAsia" w:asciiTheme="minorEastAsia" w:hAnsiTheme="minorEastAsia" w:eastAsiaTheme="minorEastAsia" w:cstheme="minorEastAsia"/>
        </w:rPr>
        <w:t>21.合同签订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439E37B">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"_Toc9843" </w:instrText>
      </w:r>
      <w:r>
        <w:fldChar w:fldCharType="separate"/>
      </w:r>
      <w:r>
        <w:rPr>
          <w:rFonts w:hint="eastAsia" w:asciiTheme="minorEastAsia" w:hAnsiTheme="minorEastAsia" w:eastAsiaTheme="minorEastAsia" w:cstheme="minorEastAsia"/>
        </w:rPr>
        <w:t>22.质疑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_Toc9843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BD8C3CA">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"_Toc8792" </w:instrText>
      </w:r>
      <w:r>
        <w:fldChar w:fldCharType="separate"/>
      </w:r>
      <w:r>
        <w:rPr>
          <w:rFonts w:hint="eastAsia" w:asciiTheme="minorEastAsia" w:hAnsiTheme="minorEastAsia" w:eastAsiaTheme="minorEastAsia" w:cstheme="minorEastAsia"/>
        </w:rPr>
        <w:t>23.投诉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_Toc8792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5DC21FB">
      <w:pPr>
        <w:pStyle w:val="28"/>
        <w:tabs>
          <w:tab w:val="right" w:leader="dot" w:pos="9070"/>
        </w:tabs>
        <w:rPr>
          <w:rFonts w:hint="eastAsia" w:asciiTheme="minorEastAsia" w:hAnsiTheme="minorEastAsia" w:eastAsiaTheme="minorEastAsia" w:cstheme="minorEastAsia"/>
        </w:rPr>
      </w:pPr>
      <w:r>
        <w:fldChar w:fldCharType="begin"/>
      </w:r>
      <w:r>
        <w:instrText xml:space="preserve"> HYPERLINK \l "_Toc23986" </w:instrText>
      </w:r>
      <w:r>
        <w:fldChar w:fldCharType="separate"/>
      </w:r>
      <w:r>
        <w:rPr>
          <w:rFonts w:hint="eastAsia" w:asciiTheme="minorEastAsia" w:hAnsiTheme="minorEastAsia" w:eastAsiaTheme="minorEastAsia" w:cstheme="minorEastAsia"/>
          <w:szCs w:val="32"/>
        </w:rPr>
        <w:t>第四章 合同条款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_Toc23986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9106EEE">
      <w:pPr>
        <w:pStyle w:val="28"/>
        <w:tabs>
          <w:tab w:val="right" w:leader="dot" w:pos="9070"/>
        </w:tabs>
        <w:rPr>
          <w:rFonts w:hint="eastAsia" w:asciiTheme="minorEastAsia" w:hAnsiTheme="minorEastAsia" w:eastAsiaTheme="minorEastAsia" w:cstheme="minorEastAsia"/>
        </w:rPr>
      </w:pPr>
      <w:r>
        <w:fldChar w:fldCharType="begin"/>
      </w:r>
      <w:r>
        <w:instrText xml:space="preserve"> HYPERLINK \l "_Toc28085" </w:instrText>
      </w:r>
      <w:r>
        <w:fldChar w:fldCharType="separate"/>
      </w:r>
      <w:r>
        <w:rPr>
          <w:rFonts w:hint="eastAsia" w:asciiTheme="minorEastAsia" w:hAnsiTheme="minorEastAsia" w:eastAsiaTheme="minorEastAsia" w:cstheme="minorEastAsia"/>
        </w:rPr>
        <w:t>第五章 招标需求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_Toc28085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67C64A5">
      <w:pPr>
        <w:pStyle w:val="28"/>
        <w:tabs>
          <w:tab w:val="right" w:leader="dot" w:pos="9070"/>
        </w:tabs>
        <w:rPr>
          <w:rFonts w:hint="eastAsia" w:asciiTheme="minorEastAsia" w:hAnsiTheme="minorEastAsia" w:eastAsiaTheme="minorEastAsia" w:cstheme="minorEastAsia"/>
        </w:rPr>
      </w:pPr>
      <w:r>
        <w:fldChar w:fldCharType="begin"/>
      </w:r>
      <w:r>
        <w:instrText xml:space="preserve"> HYPERLINK \l "_Toc18918" </w:instrText>
      </w:r>
      <w:r>
        <w:fldChar w:fldCharType="separate"/>
      </w:r>
      <w:r>
        <w:rPr>
          <w:rFonts w:hint="eastAsia" w:asciiTheme="minorEastAsia" w:hAnsiTheme="minorEastAsia" w:eastAsiaTheme="minorEastAsia" w:cstheme="minorEastAsia"/>
        </w:rPr>
        <w:t>第六章 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_Toc18918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D2DF306">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"_Toc22867" </w:instrText>
      </w:r>
      <w:r>
        <w:fldChar w:fldCharType="separate"/>
      </w:r>
      <w:r>
        <w:rPr>
          <w:rFonts w:hint="eastAsia" w:asciiTheme="minorEastAsia" w:hAnsiTheme="minorEastAsia" w:eastAsiaTheme="minorEastAsia" w:cstheme="minorEastAsia"/>
        </w:rPr>
        <w:t>1、开标一览表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_Toc22867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6D0E202">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"_Toc9466" </w:instrText>
      </w:r>
      <w:r>
        <w:fldChar w:fldCharType="separate"/>
      </w:r>
      <w:r>
        <w:rPr>
          <w:rFonts w:hint="eastAsia" w:asciiTheme="minorEastAsia" w:hAnsiTheme="minorEastAsia" w:eastAsiaTheme="minorEastAsia" w:cstheme="minorEastAsia"/>
        </w:rPr>
        <w:t>2、投标函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_Toc9466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67B1C61">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"_Toc25197" </w:instrText>
      </w:r>
      <w:r>
        <w:fldChar w:fldCharType="separate"/>
      </w:r>
      <w:r>
        <w:rPr>
          <w:rFonts w:hint="eastAsia" w:asciiTheme="minorEastAsia" w:hAnsiTheme="minorEastAsia" w:eastAsiaTheme="minorEastAsia" w:cstheme="minorEastAsia"/>
        </w:rPr>
        <w:t>3、分项报价表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_Toc25197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BFC6AD1">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"_Toc24143" </w:instrText>
      </w:r>
      <w:r>
        <w:fldChar w:fldCharType="separate"/>
      </w:r>
      <w:r>
        <w:rPr>
          <w:rFonts w:hint="eastAsia" w:asciiTheme="minorEastAsia" w:hAnsiTheme="minorEastAsia" w:eastAsiaTheme="minorEastAsia" w:cstheme="minorEastAsia"/>
        </w:rPr>
        <w:t>3、资格审查文件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_Toc24143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D9A8287">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"_Toc19879" </w:instrText>
      </w:r>
      <w:r>
        <w:fldChar w:fldCharType="separate"/>
      </w:r>
      <w:r>
        <w:rPr>
          <w:rFonts w:hint="eastAsia" w:asciiTheme="minorEastAsia" w:hAnsiTheme="minorEastAsia" w:eastAsiaTheme="minorEastAsia" w:cstheme="minorEastAsia"/>
        </w:rPr>
        <w:t>4、拟投入人员配备情况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_Toc19879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B8E747F">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"_Toc6044" </w:instrText>
      </w:r>
      <w:r>
        <w:fldChar w:fldCharType="separate"/>
      </w:r>
      <w:r>
        <w:rPr>
          <w:rFonts w:hint="eastAsia" w:asciiTheme="minorEastAsia" w:hAnsiTheme="minorEastAsia" w:eastAsiaTheme="minorEastAsia" w:cstheme="minorEastAsia"/>
        </w:rPr>
        <w:t>5、业绩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_Toc6044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31804EE">
      <w:pPr>
        <w:pStyle w:val="34"/>
        <w:tabs>
          <w:tab w:val="right" w:leader="dot" w:pos="9070"/>
          <w:tab w:val="clear" w:pos="9060"/>
        </w:tabs>
        <w:ind w:left="480"/>
        <w:rPr>
          <w:rFonts w:hint="eastAsia" w:asciiTheme="minorEastAsia" w:hAnsiTheme="minorEastAsia" w:eastAsiaTheme="minorEastAsia" w:cstheme="minorEastAsia"/>
        </w:rPr>
      </w:pPr>
      <w:r>
        <w:fldChar w:fldCharType="begin"/>
      </w:r>
      <w:r>
        <w:instrText xml:space="preserve"> HYPERLINK \l "_Toc28402" </w:instrText>
      </w:r>
      <w:r>
        <w:fldChar w:fldCharType="separate"/>
      </w:r>
      <w:r>
        <w:rPr>
          <w:rFonts w:hint="eastAsia" w:asciiTheme="minorEastAsia" w:hAnsiTheme="minorEastAsia" w:eastAsiaTheme="minorEastAsia" w:cstheme="minorEastAsia"/>
        </w:rPr>
        <w:t>6、技术内容偏离表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_Toc28402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B81DB4D">
      <w:pPr>
        <w:spacing w:line="440" w:lineRule="exact"/>
        <w:ind w:firstLine="480" w:firstLineChars="20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Cs w:val="24"/>
        </w:rPr>
        <w:fldChar w:fldCharType="end"/>
      </w:r>
    </w:p>
    <w:p w14:paraId="4FC705B2">
      <w:pPr>
        <w:spacing w:line="500" w:lineRule="exact"/>
        <w:rPr>
          <w:rFonts w:hint="eastAsia" w:asciiTheme="minorEastAsia" w:hAnsiTheme="minorEastAsia" w:eastAsiaTheme="minorEastAsia" w:cstheme="minorEastAsia"/>
          <w:b/>
          <w:sz w:val="44"/>
        </w:rPr>
        <w:sectPr>
          <w:footerReference r:id="rId5" w:type="default"/>
          <w:pgSz w:w="11906" w:h="16838"/>
          <w:pgMar w:top="1219" w:right="1418" w:bottom="1418" w:left="1418" w:header="851" w:footer="992" w:gutter="0"/>
          <w:pgNumType w:start="1"/>
          <w:cols w:space="720" w:num="1"/>
          <w:docGrid w:type="lines" w:linePitch="312" w:charSpace="0"/>
        </w:sectPr>
      </w:pPr>
    </w:p>
    <w:p w14:paraId="21325DA6">
      <w:pPr>
        <w:pStyle w:val="3"/>
        <w:rPr>
          <w:rFonts w:hint="eastAsia" w:asciiTheme="minorEastAsia" w:hAnsiTheme="minorEastAsia" w:eastAsiaTheme="minorEastAsia" w:cstheme="minorEastAsia"/>
        </w:rPr>
      </w:pPr>
      <w:bookmarkStart w:id="0" w:name="_Toc3307"/>
      <w:r>
        <w:rPr>
          <w:rFonts w:hint="eastAsia" w:asciiTheme="minorEastAsia" w:hAnsiTheme="minorEastAsia" w:eastAsiaTheme="minorEastAsia" w:cstheme="minorEastAsia"/>
        </w:rPr>
        <w:t>招标公告</w:t>
      </w:r>
      <w:bookmarkEnd w:id="0"/>
    </w:p>
    <w:p w14:paraId="243F76EF">
      <w:pPr>
        <w:adjustRightInd w:val="0"/>
        <w:jc w:val="left"/>
        <w:textAlignment w:val="baseline"/>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项目概况</w:t>
      </w:r>
    </w:p>
    <w:p w14:paraId="31C26932">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木垒县2024年第三批中央财政林业草原生态保护恢复资金（森林生态保护修复）项目无人机巡护租赁服务项目的潜在投标人应在新疆政府采购云平台https：//www.zcygov.cn/获取采购文件，并于2025年6月30日10：30（北京时间）前递交投标文件。</w:t>
      </w:r>
    </w:p>
    <w:p w14:paraId="0A4A69C0">
      <w:pPr>
        <w:adjustRightInd w:val="0"/>
        <w:jc w:val="left"/>
        <w:textAlignment w:val="baseline"/>
        <w:rPr>
          <w:rFonts w:hint="eastAsia" w:asciiTheme="minorEastAsia" w:hAnsiTheme="minorEastAsia" w:eastAsiaTheme="minorEastAsia" w:cstheme="minorEastAsia"/>
          <w:b/>
          <w:bCs/>
          <w:szCs w:val="24"/>
        </w:rPr>
      </w:pPr>
      <w:bookmarkStart w:id="1" w:name="_Toc20925"/>
      <w:bookmarkStart w:id="2" w:name="_Toc4195"/>
      <w:r>
        <w:rPr>
          <w:rFonts w:hint="eastAsia" w:asciiTheme="minorEastAsia" w:hAnsiTheme="minorEastAsia" w:eastAsiaTheme="minorEastAsia" w:cstheme="minorEastAsia"/>
          <w:b/>
          <w:bCs/>
          <w:szCs w:val="24"/>
        </w:rPr>
        <w:t>一、项目基本情况</w:t>
      </w:r>
      <w:bookmarkEnd w:id="1"/>
      <w:bookmarkEnd w:id="2"/>
    </w:p>
    <w:p w14:paraId="63C7A245">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项目编号：XJXSZB【2025】208</w:t>
      </w:r>
    </w:p>
    <w:p w14:paraId="7CA921C1">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项目名称：木垒县2024年第三批中央财政林业草原生态保护恢复资金（森林生态保护修复）项目无人机巡护租赁服务项目</w:t>
      </w:r>
    </w:p>
    <w:p w14:paraId="7F80F081">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采购方式：竞争性磋商</w:t>
      </w:r>
    </w:p>
    <w:p w14:paraId="10978DC3">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预算金额（元）：600,000.00</w:t>
      </w:r>
    </w:p>
    <w:p w14:paraId="21261FEC">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采购需求：标项一</w:t>
      </w:r>
    </w:p>
    <w:p w14:paraId="4EA36F69">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标项名称：木垒县2024年第三批中央财政林业草原生态保护恢复资金（森林生态保护修复）项目无人机巡护租赁服务项目</w:t>
      </w:r>
    </w:p>
    <w:p w14:paraId="6EF5DE57">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简要规格描述或项目基本概况介绍、用途：无人机巡护租赁服务（详见招标需求）</w:t>
      </w:r>
    </w:p>
    <w:p w14:paraId="695FAF95">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本项目（否）接受联合体投标。</w:t>
      </w:r>
    </w:p>
    <w:p w14:paraId="16DFCA43">
      <w:pPr>
        <w:adjustRightInd w:val="0"/>
        <w:ind w:firstLine="480" w:firstLineChars="200"/>
        <w:jc w:val="left"/>
        <w:textAlignment w:val="baseline"/>
        <w:rPr>
          <w:rFonts w:hint="eastAsia" w:asciiTheme="minorEastAsia" w:hAnsiTheme="minorEastAsia" w:eastAsiaTheme="minorEastAsia" w:cstheme="minorEastAsia"/>
          <w:szCs w:val="24"/>
        </w:rPr>
      </w:pPr>
      <w:bookmarkStart w:id="3" w:name="_Toc8067"/>
      <w:bookmarkStart w:id="4" w:name="_Toc3863"/>
      <w:r>
        <w:rPr>
          <w:rFonts w:hint="eastAsia" w:asciiTheme="minorEastAsia" w:hAnsiTheme="minorEastAsia" w:eastAsiaTheme="minorEastAsia" w:cstheme="minorEastAsia"/>
          <w:szCs w:val="24"/>
        </w:rPr>
        <w:t>二、申请人的资格要求</w:t>
      </w:r>
      <w:bookmarkEnd w:id="3"/>
      <w:bookmarkEnd w:id="4"/>
    </w:p>
    <w:p w14:paraId="225F2BBB">
      <w:pPr>
        <w:adjustRightInd w:val="0"/>
        <w:ind w:firstLine="480" w:firstLineChars="200"/>
        <w:jc w:val="left"/>
        <w:textAlignment w:val="baseline"/>
        <w:rPr>
          <w:rFonts w:hint="eastAsia" w:asciiTheme="minorEastAsia" w:hAnsiTheme="minorEastAsia" w:eastAsiaTheme="minorEastAsia" w:cstheme="minorEastAsia"/>
          <w:szCs w:val="24"/>
        </w:rPr>
      </w:pPr>
      <w:bookmarkStart w:id="5" w:name="_Toc23811"/>
      <w:r>
        <w:rPr>
          <w:rFonts w:hint="eastAsia" w:asciiTheme="minorEastAsia" w:hAnsiTheme="minorEastAsia" w:eastAsiaTheme="minorEastAsia" w:cstheme="minorEastAsia"/>
          <w:szCs w:val="24"/>
        </w:rPr>
        <w:t>1.满足《中华人民共和国政府采购法》第二十二条规定；</w:t>
      </w:r>
      <w:bookmarkEnd w:id="5"/>
    </w:p>
    <w:p w14:paraId="381D7209">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（1）法人或者其他组织的营业执照等证明文件，自然人的身份证明；</w:t>
      </w:r>
    </w:p>
    <w:p w14:paraId="5CAC9996">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（2）最近一个年度的财务状况报告（成立不满一年不需提供）；</w:t>
      </w:r>
    </w:p>
    <w:p w14:paraId="648CF2EC">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0E502300">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（4）具备履行合同所必需的设备和专业技术能力的证明材料；</w:t>
      </w:r>
    </w:p>
    <w:p w14:paraId="335B739E">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（5）参加政府采购活动前3年内在经营活动中没有重大违法记录的书面声明；</w:t>
      </w:r>
    </w:p>
    <w:p w14:paraId="566F4C37">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（6）未被“信用中国”网站（www.creditchina.gov.cn）、“中国政府采购网"(www.ccgp.gov.cn)列入失信被执行人、重大税收违法案件当事人名单、政府采购严重失信行为记录名单。</w:t>
      </w:r>
    </w:p>
    <w:p w14:paraId="06CBAF5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（7）法人授权书。</w:t>
      </w:r>
    </w:p>
    <w:p w14:paraId="4F11D8B8">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2.落实政府采购政策需满足的资格要求：本项目专门面向中小企业。</w:t>
      </w:r>
    </w:p>
    <w:p w14:paraId="7AB3F550">
      <w:pPr>
        <w:adjustRightInd w:val="0"/>
        <w:ind w:firstLine="480" w:firstLineChars="200"/>
        <w:jc w:val="left"/>
        <w:textAlignment w:val="baseline"/>
        <w:rPr>
          <w:rFonts w:hint="eastAsia" w:asciiTheme="minorEastAsia" w:hAnsiTheme="minorEastAsia" w:eastAsiaTheme="minorEastAsia" w:cstheme="minorEastAsia"/>
          <w:szCs w:val="24"/>
          <w:highlight w:val="none"/>
        </w:rPr>
      </w:pPr>
      <w:bookmarkStart w:id="6" w:name="_Toc20310"/>
      <w:bookmarkStart w:id="7" w:name="_Toc30433"/>
      <w:bookmarkStart w:id="8" w:name="_Toc8164"/>
      <w:bookmarkStart w:id="9" w:name="_Toc3882"/>
      <w:r>
        <w:rPr>
          <w:rFonts w:hint="eastAsia" w:asciiTheme="minorEastAsia" w:hAnsiTheme="minorEastAsia" w:eastAsiaTheme="minorEastAsia" w:cstheme="minorEastAsia"/>
          <w:szCs w:val="24"/>
          <w:highlight w:val="none"/>
        </w:rPr>
        <w:t>3.本项目的特定资格要求：</w:t>
      </w:r>
      <w:bookmarkEnd w:id="6"/>
      <w:bookmarkEnd w:id="7"/>
      <w:bookmarkEnd w:id="8"/>
      <w:bookmarkEnd w:id="9"/>
      <w:r>
        <w:rPr>
          <w:rFonts w:hint="eastAsia" w:asciiTheme="minorEastAsia" w:hAnsiTheme="minorEastAsia" w:eastAsiaTheme="minorEastAsia" w:cstheme="minorEastAsia"/>
          <w:szCs w:val="24"/>
          <w:highlight w:val="none"/>
        </w:rPr>
        <w:t>无。</w:t>
      </w:r>
    </w:p>
    <w:p w14:paraId="64D70289">
      <w:pPr>
        <w:adjustRightInd w:val="0"/>
        <w:ind w:firstLine="480" w:firstLineChars="200"/>
        <w:jc w:val="left"/>
        <w:textAlignment w:val="baseline"/>
        <w:rPr>
          <w:rFonts w:hint="eastAsia" w:asciiTheme="minorEastAsia" w:hAnsiTheme="minorEastAsia" w:eastAsiaTheme="minorEastAsia" w:cstheme="minorEastAsia"/>
          <w:szCs w:val="24"/>
        </w:rPr>
      </w:pPr>
      <w:bookmarkStart w:id="10" w:name="_Toc4410"/>
      <w:bookmarkStart w:id="11" w:name="_Toc30091"/>
      <w:r>
        <w:rPr>
          <w:rFonts w:hint="eastAsia" w:asciiTheme="minorEastAsia" w:hAnsiTheme="minorEastAsia" w:eastAsiaTheme="minorEastAsia" w:cstheme="minorEastAsia"/>
          <w:szCs w:val="24"/>
        </w:rPr>
        <w:t>4.本项目不接受联合体参与磋商。</w:t>
      </w:r>
    </w:p>
    <w:p w14:paraId="27892101">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三、获取采购文件</w:t>
      </w:r>
      <w:bookmarkEnd w:id="10"/>
      <w:bookmarkEnd w:id="11"/>
    </w:p>
    <w:p w14:paraId="52C3F808">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1.领取时间：2025年6月17日至2026年6月2</w:t>
      </w:r>
      <w:r>
        <w:rPr>
          <w:rFonts w:hint="eastAsia"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rPr>
        <w:t>日每天上午00：00至12：00，下午12：00至23：59（北京时间，法定节假日除外）；</w:t>
      </w:r>
    </w:p>
    <w:p w14:paraId="430F2E7C">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2.领取地点：新疆政府采购云平台https：//www.zcygov.cn/</w:t>
      </w:r>
    </w:p>
    <w:p w14:paraId="3877343F">
      <w:pPr>
        <w:adjustRightInd w:val="0"/>
        <w:ind w:firstLine="480" w:firstLineChars="200"/>
        <w:jc w:val="left"/>
        <w:textAlignment w:val="baseline"/>
        <w:rPr>
          <w:rFonts w:hint="eastAsia" w:asciiTheme="minorEastAsia" w:hAnsiTheme="minorEastAsia" w:eastAsiaTheme="minorEastAsia" w:cstheme="minorEastAsia"/>
          <w:szCs w:val="24"/>
        </w:rPr>
      </w:pPr>
      <w:bookmarkStart w:id="12" w:name="_Toc5902"/>
      <w:r>
        <w:rPr>
          <w:rFonts w:hint="eastAsia" w:asciiTheme="minorEastAsia" w:hAnsiTheme="minorEastAsia" w:eastAsiaTheme="minorEastAsia" w:cstheme="minorEastAsia"/>
          <w:szCs w:val="24"/>
        </w:rPr>
        <w:t>3.招标文件售价：0元</w:t>
      </w:r>
      <w:bookmarkEnd w:id="12"/>
    </w:p>
    <w:p w14:paraId="501C2FA0">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4.获取方式：投标人登录新疆政府采购云平台https：//www.zcygov.cn/在线申请获取招标文件（进入“项目采购”应用，在获取采购文件菜单中选择项目，申请获取招标文件）</w:t>
      </w:r>
    </w:p>
    <w:p w14:paraId="645BE5B0">
      <w:pPr>
        <w:adjustRightInd w:val="0"/>
        <w:ind w:firstLine="480" w:firstLineChars="200"/>
        <w:jc w:val="left"/>
        <w:textAlignment w:val="baseline"/>
        <w:rPr>
          <w:rFonts w:hint="eastAsia" w:asciiTheme="minorEastAsia" w:hAnsiTheme="minorEastAsia" w:eastAsiaTheme="minorEastAsia" w:cstheme="minorEastAsia"/>
          <w:szCs w:val="24"/>
        </w:rPr>
      </w:pPr>
      <w:bookmarkStart w:id="13" w:name="_Toc6508"/>
      <w:bookmarkStart w:id="14" w:name="_Toc4879"/>
      <w:r>
        <w:rPr>
          <w:rFonts w:hint="eastAsia" w:asciiTheme="minorEastAsia" w:hAnsiTheme="minorEastAsia" w:eastAsiaTheme="minorEastAsia" w:cstheme="minorEastAsia"/>
          <w:szCs w:val="24"/>
        </w:rPr>
        <w:t>四、投标文件提交</w:t>
      </w:r>
      <w:bookmarkEnd w:id="13"/>
      <w:bookmarkEnd w:id="14"/>
    </w:p>
    <w:p w14:paraId="3487859A">
      <w:pPr>
        <w:adjustRightInd w:val="0"/>
        <w:ind w:firstLine="480" w:firstLineChars="200"/>
        <w:jc w:val="left"/>
        <w:textAlignment w:val="baseline"/>
        <w:rPr>
          <w:rFonts w:hint="eastAsia" w:asciiTheme="minorEastAsia" w:hAnsiTheme="minorEastAsia" w:eastAsiaTheme="minorEastAsia" w:cstheme="minorEastAsia"/>
          <w:szCs w:val="24"/>
        </w:rPr>
      </w:pPr>
      <w:bookmarkStart w:id="15" w:name="_Toc6548"/>
      <w:bookmarkStart w:id="16" w:name="_Toc23943"/>
      <w:r>
        <w:rPr>
          <w:rFonts w:hint="eastAsia" w:asciiTheme="minorEastAsia" w:hAnsiTheme="minorEastAsia" w:eastAsiaTheme="minorEastAsia" w:cstheme="minorEastAsia"/>
          <w:szCs w:val="24"/>
        </w:rPr>
        <w:t>提交投标文件截止时间：2025年6月30日10：30（北京时间）</w:t>
      </w:r>
    </w:p>
    <w:p w14:paraId="4E1D37AA">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投标文件上传地点：将投标文件上传至政采云平台https://www.zcygov.cn/对应位置（逾期未上传的或不符合规定的投标文件将被拒绝接收）。</w:t>
      </w:r>
    </w:p>
    <w:p w14:paraId="51ED62FA">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开标时间：2025年6月30日10：30（北京时间）</w:t>
      </w:r>
    </w:p>
    <w:p w14:paraId="1AFAF21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开标地点：政采云平台（https://www.zcygov.cn/）/不见面开标大厅</w:t>
      </w:r>
    </w:p>
    <w:p w14:paraId="2825BA4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五、</w:t>
      </w:r>
      <w:bookmarkEnd w:id="15"/>
      <w:bookmarkEnd w:id="16"/>
      <w:r>
        <w:rPr>
          <w:rFonts w:hint="eastAsia" w:asciiTheme="minorEastAsia" w:hAnsiTheme="minorEastAsia" w:eastAsiaTheme="minorEastAsia" w:cstheme="minorEastAsia"/>
          <w:szCs w:val="24"/>
        </w:rPr>
        <w:t>公告期限</w:t>
      </w:r>
    </w:p>
    <w:p w14:paraId="4A6783BE">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自本公告发布之日起5个工作日。</w:t>
      </w:r>
    </w:p>
    <w:p w14:paraId="0035DCFB">
      <w:pPr>
        <w:adjustRightInd w:val="0"/>
        <w:ind w:firstLine="480" w:firstLineChars="200"/>
        <w:jc w:val="left"/>
        <w:textAlignment w:val="baseline"/>
        <w:rPr>
          <w:rFonts w:hint="eastAsia" w:asciiTheme="minorEastAsia" w:hAnsiTheme="minorEastAsia" w:eastAsiaTheme="minorEastAsia" w:cstheme="minorEastAsia"/>
          <w:szCs w:val="24"/>
        </w:rPr>
      </w:pPr>
      <w:bookmarkStart w:id="17" w:name="_Toc10857"/>
      <w:bookmarkStart w:id="18" w:name="_Toc23830"/>
      <w:r>
        <w:rPr>
          <w:rFonts w:hint="eastAsia" w:asciiTheme="minorEastAsia" w:hAnsiTheme="minorEastAsia" w:eastAsiaTheme="minorEastAsia" w:cstheme="minorEastAsia"/>
          <w:szCs w:val="24"/>
        </w:rPr>
        <w:t>六、其他补充事宜</w:t>
      </w:r>
      <w:bookmarkEnd w:id="17"/>
      <w:bookmarkEnd w:id="18"/>
    </w:p>
    <w:p w14:paraId="2D6B2B3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项目为电子招投标项目，投标人需要使用CA加密设备，凡参加本项目投标人可通过新疆数字证书认证中心官网（https：//www.xjca.com.cn/）或下载“新疆政务通”APP自行进行线上申领。如有操作性问题可与政采云在线客服进行咨询。</w:t>
      </w:r>
    </w:p>
    <w:p w14:paraId="03652F3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2.本项目实行网上投标，采用电子投标文件，若投标人参与采购，应自行承担采购一切费用。</w:t>
      </w:r>
    </w:p>
    <w:p w14:paraId="5BD0A06D">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3.投标人应在采购前应确保成为新疆政府采购网正式注册入库投标人，并完成CA 数字证书申领。因未注册入库、未办理CA数字证书等原因造成无法投标或投标失败等后果由投标人自行承担。</w:t>
      </w:r>
    </w:p>
    <w:p w14:paraId="6DA75AD3">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485439B4">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5.投标人应当在递交响应文件截止时间前，将生成的“电子加密响应文件”上传递交至“政府采购云平台”，递交响应文件截止时间后上传递交的响应文件将被“政府采购云平台”拒收。</w:t>
      </w:r>
    </w:p>
    <w:p w14:paraId="62367B57">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6.投标人登录政采云平台，在开标时间后30 分钟内用“项目采购－开标评标”功能进行解密响应文件。若投标人在规定时间内未按时解密的，视为无效响应。解密与加密响应文件须使用同一个CA。</w:t>
      </w:r>
    </w:p>
    <w:p w14:paraId="5F26A759">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投标人在政府采购云平台实行不见面开标操作指南：请潜在投标人自行登录观看政府采购云平台投标人电子标培训视频教程。如因投标人自身原因导致在规定时间内无法正常解密的（如：浏览器故障、未安装相关驱动、网络故障、加密CA与解密CA不一致等），视为投标人自动弃标。</w:t>
      </w:r>
    </w:p>
    <w:p w14:paraId="68EEED00">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14:paraId="310719E1">
      <w:pPr>
        <w:adjustRightInd w:val="0"/>
        <w:ind w:firstLine="480" w:firstLineChars="200"/>
        <w:jc w:val="left"/>
        <w:textAlignment w:val="baseline"/>
        <w:rPr>
          <w:rFonts w:hint="eastAsia" w:asciiTheme="minorEastAsia" w:hAnsiTheme="minorEastAsia" w:eastAsiaTheme="minorEastAsia" w:cstheme="minorEastAsia"/>
          <w:szCs w:val="24"/>
        </w:rPr>
      </w:pPr>
      <w:bookmarkStart w:id="19" w:name="_Toc208"/>
      <w:bookmarkStart w:id="20" w:name="_Toc5365"/>
      <w:r>
        <w:rPr>
          <w:rFonts w:hint="eastAsia" w:asciiTheme="minorEastAsia" w:hAnsiTheme="minorEastAsia" w:eastAsiaTheme="minorEastAsia" w:cstheme="minorEastAsia"/>
          <w:szCs w:val="24"/>
        </w:rPr>
        <w:t>七、对本次招标提出询问，请按以下方式联系</w:t>
      </w:r>
      <w:bookmarkEnd w:id="19"/>
      <w:bookmarkEnd w:id="20"/>
    </w:p>
    <w:p w14:paraId="78789065">
      <w:pPr>
        <w:adjustRightInd w:val="0"/>
        <w:ind w:firstLine="480" w:firstLineChars="200"/>
        <w:jc w:val="left"/>
        <w:textAlignment w:val="baseline"/>
        <w:rPr>
          <w:rFonts w:hint="eastAsia" w:asciiTheme="minorEastAsia" w:hAnsiTheme="minorEastAsia" w:eastAsiaTheme="minorEastAsia" w:cstheme="minorEastAsia"/>
          <w:szCs w:val="24"/>
        </w:rPr>
      </w:pPr>
      <w:bookmarkStart w:id="21" w:name="_Toc30836"/>
      <w:r>
        <w:rPr>
          <w:rFonts w:hint="eastAsia" w:asciiTheme="minorEastAsia" w:hAnsiTheme="minorEastAsia" w:eastAsiaTheme="minorEastAsia" w:cstheme="minorEastAsia"/>
          <w:szCs w:val="24"/>
        </w:rPr>
        <w:t>1.采购人信息</w:t>
      </w:r>
      <w:bookmarkEnd w:id="21"/>
    </w:p>
    <w:p w14:paraId="444873B8">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名称：木垒哈萨克自治县林业和草原综合行政执法大队</w:t>
      </w:r>
    </w:p>
    <w:p w14:paraId="2A8C2B98">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地址：木垒县园林东路</w:t>
      </w:r>
    </w:p>
    <w:p w14:paraId="5E712036">
      <w:pPr>
        <w:adjustRightInd w:val="0"/>
        <w:ind w:firstLine="480" w:firstLineChars="200"/>
        <w:jc w:val="left"/>
        <w:textAlignment w:val="baseline"/>
        <w:rPr>
          <w:rFonts w:hint="eastAsia" w:asciiTheme="minorEastAsia" w:hAnsiTheme="minorEastAsia" w:eastAsiaTheme="minorEastAsia" w:cstheme="minorEastAsia"/>
          <w:szCs w:val="24"/>
        </w:rPr>
      </w:pPr>
      <w:bookmarkStart w:id="22" w:name="_Toc26322"/>
      <w:r>
        <w:rPr>
          <w:rFonts w:hint="eastAsia" w:asciiTheme="minorEastAsia" w:hAnsiTheme="minorEastAsia" w:eastAsiaTheme="minorEastAsia" w:cstheme="minorEastAsia"/>
          <w:szCs w:val="24"/>
        </w:rPr>
        <w:t>联 系 人：金主任</w:t>
      </w:r>
    </w:p>
    <w:p w14:paraId="34EDA816">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联系电话：13095053093</w:t>
      </w:r>
    </w:p>
    <w:p w14:paraId="1C56201F">
      <w:pPr>
        <w:adjustRightInd w:val="0"/>
        <w:ind w:firstLine="480" w:firstLineChars="200"/>
        <w:jc w:val="left"/>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2.采购代理机构信息</w:t>
      </w:r>
      <w:bookmarkEnd w:id="22"/>
    </w:p>
    <w:p w14:paraId="2F1B0DB8">
      <w:pPr>
        <w:spacing w:line="44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名    称：新疆信实工程招标咨询服务有限公司</w:t>
      </w:r>
    </w:p>
    <w:p w14:paraId="3BEA181F">
      <w:pPr>
        <w:spacing w:line="44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    址：新疆乌鲁木齐市青年路235号阳光花苑B座2510室</w:t>
      </w:r>
    </w:p>
    <w:p w14:paraId="1EAC33A8">
      <w:pPr>
        <w:spacing w:line="44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 目 人：王经理            电    话：19915110301</w:t>
      </w:r>
    </w:p>
    <w:p w14:paraId="4F467811">
      <w:pPr>
        <w:widowControl/>
        <w:spacing w:line="240" w:lineRule="auto"/>
        <w:jc w:val="left"/>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14:paraId="5D78FB51">
      <w:pPr>
        <w:pStyle w:val="3"/>
        <w:rPr>
          <w:rFonts w:hint="eastAsia" w:asciiTheme="minorEastAsia" w:hAnsiTheme="minorEastAsia" w:eastAsiaTheme="minorEastAsia" w:cstheme="minorEastAsia"/>
        </w:rPr>
      </w:pPr>
      <w:bookmarkStart w:id="23" w:name="_Toc16830"/>
      <w:r>
        <w:rPr>
          <w:rFonts w:hint="eastAsia" w:asciiTheme="minorEastAsia" w:hAnsiTheme="minorEastAsia" w:eastAsiaTheme="minorEastAsia" w:cstheme="minorEastAsia"/>
        </w:rPr>
        <w:t>投标须知前附表</w:t>
      </w:r>
      <w:bookmarkEnd w:id="23"/>
    </w:p>
    <w:tbl>
      <w:tblPr>
        <w:tblStyle w:val="4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46"/>
        <w:gridCol w:w="6772"/>
      </w:tblGrid>
      <w:tr w14:paraId="5231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59" w:type="dxa"/>
            <w:vAlign w:val="center"/>
          </w:tcPr>
          <w:p w14:paraId="054E35C9">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项号</w:t>
            </w:r>
          </w:p>
        </w:tc>
        <w:tc>
          <w:tcPr>
            <w:tcW w:w="1746" w:type="dxa"/>
            <w:vAlign w:val="center"/>
          </w:tcPr>
          <w:p w14:paraId="24720DF4">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w:t>
            </w:r>
          </w:p>
        </w:tc>
        <w:tc>
          <w:tcPr>
            <w:tcW w:w="6772" w:type="dxa"/>
            <w:vAlign w:val="center"/>
          </w:tcPr>
          <w:p w14:paraId="468E0A61">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内容</w:t>
            </w:r>
          </w:p>
        </w:tc>
      </w:tr>
      <w:tr w14:paraId="2BC9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9" w:type="dxa"/>
            <w:vAlign w:val="center"/>
          </w:tcPr>
          <w:p w14:paraId="3D40A614">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SEQ 前附表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rPr>
              <w:fldChar w:fldCharType="end"/>
            </w:r>
          </w:p>
        </w:tc>
        <w:tc>
          <w:tcPr>
            <w:tcW w:w="1746" w:type="dxa"/>
            <w:vAlign w:val="center"/>
          </w:tcPr>
          <w:p w14:paraId="74301113">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w:t>
            </w:r>
          </w:p>
        </w:tc>
        <w:tc>
          <w:tcPr>
            <w:tcW w:w="6772" w:type="dxa"/>
            <w:vAlign w:val="center"/>
          </w:tcPr>
          <w:p w14:paraId="730BEE80">
            <w:pPr>
              <w:spacing w:line="36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木垒县2024年第三批中央财政林业草原生态保护恢复资金（森林生态保护修复）项目无人机巡护租赁服务项目</w:t>
            </w:r>
          </w:p>
        </w:tc>
      </w:tr>
      <w:tr w14:paraId="22D1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6F47FB96">
            <w:pPr>
              <w:spacing w:line="3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46" w:type="dxa"/>
            <w:vAlign w:val="center"/>
          </w:tcPr>
          <w:p w14:paraId="378BA221">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项目编号</w:t>
            </w:r>
          </w:p>
        </w:tc>
        <w:tc>
          <w:tcPr>
            <w:tcW w:w="6772" w:type="dxa"/>
            <w:vAlign w:val="center"/>
          </w:tcPr>
          <w:p w14:paraId="02D7908D">
            <w:pPr>
              <w:spacing w:line="36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XJXSZB【2025】208</w:t>
            </w:r>
          </w:p>
        </w:tc>
      </w:tr>
      <w:tr w14:paraId="53DE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Align w:val="center"/>
          </w:tcPr>
          <w:p w14:paraId="4DA1CB61">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3</w:t>
            </w:r>
          </w:p>
        </w:tc>
        <w:tc>
          <w:tcPr>
            <w:tcW w:w="1746" w:type="dxa"/>
            <w:vAlign w:val="center"/>
          </w:tcPr>
          <w:p w14:paraId="53043628">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采购范围</w:t>
            </w:r>
          </w:p>
        </w:tc>
        <w:tc>
          <w:tcPr>
            <w:tcW w:w="6772" w:type="dxa"/>
            <w:vAlign w:val="center"/>
          </w:tcPr>
          <w:p w14:paraId="639E8847">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无人机巡护租赁服务（详见招标需求）</w:t>
            </w:r>
          </w:p>
        </w:tc>
      </w:tr>
      <w:tr w14:paraId="2107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2A417C55">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w:t>
            </w:r>
          </w:p>
        </w:tc>
        <w:tc>
          <w:tcPr>
            <w:tcW w:w="1746" w:type="dxa"/>
            <w:vAlign w:val="center"/>
          </w:tcPr>
          <w:p w14:paraId="2D4BA3EB">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预算金额</w:t>
            </w:r>
          </w:p>
        </w:tc>
        <w:tc>
          <w:tcPr>
            <w:tcW w:w="6772" w:type="dxa"/>
            <w:vAlign w:val="center"/>
          </w:tcPr>
          <w:p w14:paraId="49DC3C72">
            <w:pPr>
              <w:spacing w:line="36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60.00万元</w:t>
            </w:r>
          </w:p>
        </w:tc>
      </w:tr>
      <w:tr w14:paraId="6D5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9" w:type="dxa"/>
            <w:vAlign w:val="center"/>
          </w:tcPr>
          <w:p w14:paraId="42342C70">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1746" w:type="dxa"/>
            <w:vAlign w:val="center"/>
          </w:tcPr>
          <w:p w14:paraId="6699A4D2">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合同期限</w:t>
            </w:r>
          </w:p>
        </w:tc>
        <w:tc>
          <w:tcPr>
            <w:tcW w:w="6772" w:type="dxa"/>
            <w:vAlign w:val="center"/>
          </w:tcPr>
          <w:p w14:paraId="2F54E7DA">
            <w:pPr>
              <w:rPr>
                <w:rFonts w:hint="eastAsia" w:asciiTheme="minorEastAsia" w:hAnsiTheme="minorEastAsia" w:eastAsiaTheme="minorEastAsia" w:cstheme="minorEastAsia"/>
                <w:szCs w:val="24"/>
                <w:shd w:val="clear" w:color="auto" w:fill="FFFFFF" w:themeFill="background1"/>
              </w:rPr>
            </w:pPr>
            <w:r>
              <w:rPr>
                <w:rFonts w:hint="eastAsia" w:asciiTheme="minorEastAsia" w:hAnsiTheme="minorEastAsia" w:eastAsiaTheme="minorEastAsia" w:cstheme="minorEastAsia"/>
                <w:szCs w:val="24"/>
              </w:rPr>
              <w:t>服务期限：</w:t>
            </w:r>
            <w:r>
              <w:rPr>
                <w:rFonts w:hint="eastAsia" w:asciiTheme="minorEastAsia" w:hAnsiTheme="minorEastAsia" w:eastAsiaTheme="minorEastAsia" w:cstheme="minorEastAsia"/>
                <w:szCs w:val="24"/>
                <w:shd w:val="clear" w:color="auto" w:fill="FFFFFF" w:themeFill="background1"/>
              </w:rPr>
              <w:t>一年</w:t>
            </w:r>
          </w:p>
          <w:p w14:paraId="674F6EAF">
            <w:pPr>
              <w:spacing w:line="440" w:lineRule="exact"/>
            </w:pPr>
            <w:r>
              <w:rPr>
                <w:rFonts w:hint="eastAsia" w:asciiTheme="minorEastAsia" w:hAnsiTheme="minorEastAsia" w:eastAsiaTheme="minorEastAsia" w:cstheme="minorEastAsia"/>
                <w:szCs w:val="24"/>
              </w:rPr>
              <w:t>付款：合同签订30日内支付合同总价款的40%，合同执行5个月后的10日内支付总价款的15%，合同完成后10日内支付总价款的45%。</w:t>
            </w:r>
          </w:p>
        </w:tc>
      </w:tr>
      <w:tr w14:paraId="1E60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9" w:type="dxa"/>
            <w:vAlign w:val="center"/>
          </w:tcPr>
          <w:p w14:paraId="1BADB6E9">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p>
        </w:tc>
        <w:tc>
          <w:tcPr>
            <w:tcW w:w="1746" w:type="dxa"/>
            <w:vAlign w:val="center"/>
          </w:tcPr>
          <w:p w14:paraId="724ED033">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采购方式</w:t>
            </w:r>
          </w:p>
        </w:tc>
        <w:tc>
          <w:tcPr>
            <w:tcW w:w="6772" w:type="dxa"/>
            <w:vAlign w:val="center"/>
          </w:tcPr>
          <w:p w14:paraId="54962046">
            <w:pPr>
              <w:spacing w:line="36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竞争性磋商</w:t>
            </w:r>
          </w:p>
        </w:tc>
      </w:tr>
      <w:tr w14:paraId="5F7A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59" w:type="dxa"/>
            <w:vAlign w:val="center"/>
          </w:tcPr>
          <w:p w14:paraId="0A25D64B">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w:t>
            </w:r>
          </w:p>
        </w:tc>
        <w:tc>
          <w:tcPr>
            <w:tcW w:w="1746" w:type="dxa"/>
            <w:vAlign w:val="center"/>
          </w:tcPr>
          <w:p w14:paraId="689AA7AD">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投标人资格</w:t>
            </w:r>
          </w:p>
        </w:tc>
        <w:tc>
          <w:tcPr>
            <w:tcW w:w="6772" w:type="dxa"/>
            <w:vAlign w:val="center"/>
          </w:tcPr>
          <w:p w14:paraId="101F8D0A">
            <w:pPr>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bCs/>
                <w:kern w:val="0"/>
                <w:szCs w:val="24"/>
              </w:rPr>
              <w:t>1.满足《中华人民共和国政府采购法》第二十二条规定；</w:t>
            </w:r>
          </w:p>
          <w:p w14:paraId="25726F68">
            <w:pPr>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bCs/>
                <w:kern w:val="0"/>
                <w:szCs w:val="24"/>
              </w:rPr>
              <w:t>2.落实政府采购政策需满足的资格要求：</w:t>
            </w:r>
            <w:r>
              <w:rPr>
                <w:rFonts w:hint="eastAsia" w:asciiTheme="minorEastAsia" w:hAnsiTheme="minorEastAsia" w:eastAsiaTheme="minorEastAsia" w:cstheme="minorEastAsia"/>
                <w:szCs w:val="24"/>
              </w:rPr>
              <w:t>本项目专门面对中小企业</w:t>
            </w:r>
          </w:p>
          <w:p w14:paraId="3228BA28">
            <w:pPr>
              <w:adjustRightInd w:val="0"/>
              <w:jc w:val="left"/>
              <w:textAlignment w:val="baseline"/>
              <w:rPr>
                <w:rFonts w:hint="eastAsia" w:asciiTheme="minorEastAsia" w:hAnsiTheme="minorEastAsia" w:eastAsiaTheme="minorEastAsia" w:cstheme="minorEastAsia"/>
                <w:bCs/>
                <w:kern w:val="0"/>
                <w:szCs w:val="24"/>
                <w:lang w:eastAsia="zh-CN"/>
              </w:rPr>
            </w:pPr>
            <w:r>
              <w:rPr>
                <w:rFonts w:hint="eastAsia" w:asciiTheme="minorEastAsia" w:hAnsiTheme="minorEastAsia" w:eastAsiaTheme="minorEastAsia" w:cstheme="minorEastAsia"/>
                <w:bCs/>
                <w:kern w:val="0"/>
                <w:szCs w:val="24"/>
              </w:rPr>
              <w:t>3.本项目的特定资格要求：</w:t>
            </w:r>
            <w:r>
              <w:rPr>
                <w:rFonts w:hint="eastAsia" w:asciiTheme="minorEastAsia" w:hAnsiTheme="minorEastAsia" w:eastAsiaTheme="minorEastAsia" w:cstheme="minorEastAsia"/>
                <w:szCs w:val="24"/>
                <w:lang w:val="en-US" w:eastAsia="zh-CN"/>
              </w:rPr>
              <w:t>无</w:t>
            </w:r>
          </w:p>
        </w:tc>
      </w:tr>
      <w:tr w14:paraId="6DF6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9" w:type="dxa"/>
            <w:vAlign w:val="center"/>
          </w:tcPr>
          <w:p w14:paraId="72110111">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w:t>
            </w:r>
          </w:p>
        </w:tc>
        <w:tc>
          <w:tcPr>
            <w:tcW w:w="1746" w:type="dxa"/>
            <w:vAlign w:val="center"/>
          </w:tcPr>
          <w:p w14:paraId="1162D9CC">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投标文件有效期</w:t>
            </w:r>
          </w:p>
        </w:tc>
        <w:tc>
          <w:tcPr>
            <w:tcW w:w="6772" w:type="dxa"/>
            <w:vAlign w:val="center"/>
          </w:tcPr>
          <w:p w14:paraId="184A1AE3">
            <w:pPr>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bCs/>
                <w:kern w:val="0"/>
                <w:szCs w:val="24"/>
              </w:rPr>
              <w:t>90日历日（从投标截止之日算起）</w:t>
            </w:r>
          </w:p>
        </w:tc>
      </w:tr>
      <w:tr w14:paraId="20E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9" w:type="dxa"/>
            <w:vAlign w:val="center"/>
          </w:tcPr>
          <w:p w14:paraId="1AA7D236">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w:t>
            </w:r>
          </w:p>
        </w:tc>
        <w:tc>
          <w:tcPr>
            <w:tcW w:w="1746" w:type="dxa"/>
            <w:vAlign w:val="center"/>
          </w:tcPr>
          <w:p w14:paraId="3338316B">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投标保证金</w:t>
            </w:r>
          </w:p>
        </w:tc>
        <w:tc>
          <w:tcPr>
            <w:tcW w:w="6772" w:type="dxa"/>
            <w:vAlign w:val="center"/>
          </w:tcPr>
          <w:p w14:paraId="0DCC9A82">
            <w:pPr>
              <w:spacing w:line="440" w:lineRule="exact"/>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bCs/>
                <w:kern w:val="0"/>
                <w:szCs w:val="24"/>
              </w:rPr>
              <w:t>投标保证金的形式：转账、银行电汇或保函，投标保证金应当从其基本帐户转出。（并注明XX项目的投标保证金，可简写。）</w:t>
            </w:r>
          </w:p>
          <w:p w14:paraId="7D502F63">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Cs/>
                <w:kern w:val="0"/>
                <w:szCs w:val="24"/>
              </w:rPr>
              <w:t>投标保证金截止时间：</w:t>
            </w:r>
            <w:r>
              <w:rPr>
                <w:rFonts w:hint="eastAsia" w:asciiTheme="minorEastAsia" w:hAnsiTheme="minorEastAsia" w:eastAsiaTheme="minorEastAsia" w:cstheme="minorEastAsia"/>
                <w:szCs w:val="24"/>
              </w:rPr>
              <w:t>开标截止时间前到帐，投标人提交投标保证金应充分考虑资金在途时间。</w:t>
            </w:r>
          </w:p>
          <w:p w14:paraId="0836D1B8">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投标保证金的金额：6,000.00元</w:t>
            </w:r>
          </w:p>
          <w:p w14:paraId="3A1830EC">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开户名称：新疆信实工程招标咨询服务有限公司</w:t>
            </w:r>
          </w:p>
          <w:p w14:paraId="4D19A699">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开户银行：乌鲁木齐银行前进支行</w:t>
            </w:r>
          </w:p>
          <w:p w14:paraId="6C1925C1">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开户行行号：313881000674   </w:t>
            </w:r>
          </w:p>
          <w:p w14:paraId="1BCA45B7">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账   号：0000020000110032285763</w:t>
            </w:r>
          </w:p>
          <w:p w14:paraId="39E146D6">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联系人：杨会计     电话：0991-8885782</w:t>
            </w:r>
          </w:p>
          <w:p w14:paraId="126752EA">
            <w:pPr>
              <w:spacing w:line="440" w:lineRule="exact"/>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szCs w:val="24"/>
              </w:rPr>
              <w:t>投标保证金有效期同投标有效期一致。</w:t>
            </w:r>
          </w:p>
        </w:tc>
      </w:tr>
      <w:tr w14:paraId="72C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9" w:type="dxa"/>
            <w:vAlign w:val="center"/>
          </w:tcPr>
          <w:p w14:paraId="7ECD1397">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10</w:t>
            </w:r>
          </w:p>
        </w:tc>
        <w:tc>
          <w:tcPr>
            <w:tcW w:w="1746" w:type="dxa"/>
            <w:vAlign w:val="center"/>
          </w:tcPr>
          <w:p w14:paraId="1C758177">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pacing w:val="-14"/>
                <w:szCs w:val="24"/>
              </w:rPr>
              <w:t>投标文件</w:t>
            </w:r>
            <w:r>
              <w:rPr>
                <w:rFonts w:hint="eastAsia" w:asciiTheme="minorEastAsia" w:hAnsiTheme="minorEastAsia" w:eastAsiaTheme="minorEastAsia" w:cstheme="minorEastAsia"/>
                <w:szCs w:val="24"/>
              </w:rPr>
              <w:t>份数及密封要求</w:t>
            </w:r>
          </w:p>
        </w:tc>
        <w:tc>
          <w:tcPr>
            <w:tcW w:w="6772" w:type="dxa"/>
            <w:vAlign w:val="center"/>
          </w:tcPr>
          <w:p w14:paraId="62F48493">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递交：投标人应于开标截止时间前将电子投标文件上传到“政采云”平台。应按照本项目招标文件和政采云平台的要求编制、加密传输投标文件。投标人对不见面开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14:paraId="598EED24">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（2）中标人须在中标公告发出之日起三个工作日内递交纸质投标文件。</w:t>
            </w:r>
          </w:p>
          <w:p w14:paraId="5B2C73F0">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递交地址：新疆乌鲁木齐市青年路235号阳光花苑B座2510</w:t>
            </w:r>
          </w:p>
          <w:p w14:paraId="5368B3AD">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纸质版投标文件：正本一份、副本二份。</w:t>
            </w:r>
          </w:p>
        </w:tc>
      </w:tr>
      <w:tr w14:paraId="27AC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9" w:type="dxa"/>
            <w:vAlign w:val="center"/>
          </w:tcPr>
          <w:p w14:paraId="0EE8B707">
            <w:pPr>
              <w:spacing w:line="3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746" w:type="dxa"/>
            <w:vAlign w:val="center"/>
          </w:tcPr>
          <w:p w14:paraId="10C246B6">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投标文件递交地点及投标截止日期</w:t>
            </w:r>
          </w:p>
        </w:tc>
        <w:tc>
          <w:tcPr>
            <w:tcW w:w="6772" w:type="dxa"/>
            <w:vAlign w:val="center"/>
          </w:tcPr>
          <w:p w14:paraId="081F6C51">
            <w:pPr>
              <w:pStyle w:val="118"/>
              <w:spacing w:line="360" w:lineRule="auto"/>
              <w:ind w:leftChars="-1" w:hanging="2" w:hangingChars="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□采用见面开标：</w:t>
            </w:r>
          </w:p>
          <w:p w14:paraId="388B1BBE">
            <w:pPr>
              <w:pStyle w:val="118"/>
              <w:adjustRightInd w:val="0"/>
              <w:snapToGrid w:val="0"/>
              <w:spacing w:before="156" w:beforeLines="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（北京时间） </w:t>
            </w:r>
          </w:p>
          <w:p w14:paraId="4BB42A54">
            <w:pPr>
              <w:pStyle w:val="118"/>
              <w:widowControl/>
              <w:spacing w:line="32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谈判地点：</w:t>
            </w:r>
            <w:r>
              <w:rPr>
                <w:rFonts w:hint="eastAsia" w:asciiTheme="minorEastAsia" w:hAnsiTheme="minorEastAsia" w:eastAsiaTheme="minorEastAsia" w:cstheme="minorEastAsia"/>
                <w:sz w:val="24"/>
                <w:u w:val="single"/>
              </w:rPr>
              <w:t xml:space="preserve">                        </w:t>
            </w:r>
          </w:p>
          <w:p w14:paraId="59C8BE58">
            <w:pPr>
              <w:pStyle w:val="118"/>
              <w:widowControl/>
              <w:spacing w:line="320" w:lineRule="exac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color w:val="000000"/>
                <w:kern w:val="0"/>
                <w:sz w:val="24"/>
              </w:rPr>
              <w:sym w:font="Wingdings 2" w:char="F052"/>
            </w:r>
            <w:r>
              <w:rPr>
                <w:rFonts w:hint="eastAsia" w:asciiTheme="minorEastAsia" w:hAnsiTheme="minorEastAsia" w:eastAsiaTheme="minorEastAsia" w:cstheme="minorEastAsia"/>
                <w:sz w:val="24"/>
              </w:rPr>
              <w:t>采用</w:t>
            </w:r>
            <w:r>
              <w:rPr>
                <w:rFonts w:hint="eastAsia" w:asciiTheme="minorEastAsia" w:hAnsiTheme="minorEastAsia" w:eastAsiaTheme="minorEastAsia" w:cstheme="minorEastAsia"/>
                <w:kern w:val="0"/>
                <w:sz w:val="24"/>
              </w:rPr>
              <w:t>不见面开标：</w:t>
            </w:r>
          </w:p>
          <w:p w14:paraId="053B0A0B">
            <w:pPr>
              <w:pStyle w:val="118"/>
              <w:spacing w:line="360" w:lineRule="auto"/>
              <w:ind w:leftChars="-1" w:hanging="2" w:hangingChars="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磋商时间：</w:t>
            </w:r>
            <w:r>
              <w:rPr>
                <w:rFonts w:hint="eastAsia" w:asciiTheme="minorEastAsia" w:hAnsiTheme="minorEastAsia" w:eastAsiaTheme="minorEastAsia" w:cstheme="minorEastAsia"/>
              </w:rPr>
              <w:t>2025年6月30日10：30（北京时间）</w:t>
            </w:r>
          </w:p>
          <w:p w14:paraId="44FCF3D4">
            <w:pPr>
              <w:pStyle w:val="118"/>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谈判地点：远程不见面开标大厅</w:t>
            </w:r>
          </w:p>
          <w:p w14:paraId="3722EFD2">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不见面开标默认时长：</w:t>
            </w:r>
            <w:r>
              <w:rPr>
                <w:rFonts w:hint="eastAsia" w:asciiTheme="minorEastAsia" w:hAnsiTheme="minorEastAsia" w:eastAsiaTheme="minorEastAsia" w:cstheme="minorEastAsia"/>
                <w:sz w:val="24"/>
                <w:u w:val="single"/>
              </w:rPr>
              <w:t>30分钟</w:t>
            </w:r>
          </w:p>
          <w:p w14:paraId="52572308">
            <w:pPr>
              <w:pStyle w:val="118"/>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关于能否延长解密时间的约定：</w:t>
            </w:r>
            <w:r>
              <w:rPr>
                <w:rFonts w:hint="eastAsia" w:asciiTheme="minorEastAsia" w:hAnsiTheme="minorEastAsia" w:eastAsiaTheme="minorEastAsia" w:cstheme="minorEastAsia"/>
                <w:sz w:val="24"/>
                <w:u w:val="single"/>
              </w:rPr>
              <w:t>开标现场若发现默认解密时长不足，由采购人决定是否延长解密时长。</w:t>
            </w:r>
          </w:p>
          <w:p w14:paraId="73E7B847">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(3)其他要求：</w:t>
            </w:r>
            <w:r>
              <w:rPr>
                <w:rFonts w:hint="eastAsia" w:asciiTheme="minorEastAsia" w:hAnsiTheme="minorEastAsia" w:eastAsiaTheme="minorEastAsia" w:cstheme="minorEastAsia"/>
                <w:sz w:val="24"/>
                <w:u w:val="single"/>
              </w:rPr>
              <w:t xml:space="preserve">无                </w:t>
            </w:r>
          </w:p>
          <w:p w14:paraId="1B957BD9">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供应商的法定代表人或其授权代表应当按时参加磋商，并在采购机构按磋商程序进行点名时，现场提交以下证明资料，以证明其出席。未提交以下资料的，其响应文件将被拒收。</w:t>
            </w:r>
          </w:p>
          <w:p w14:paraId="50BCF7A4">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A、法定代表人参加的，应提交法定代表人身份证明文件原件、本人身份证原件；</w:t>
            </w:r>
          </w:p>
          <w:p w14:paraId="7C75372D">
            <w:pPr>
              <w:pStyle w:val="118"/>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B、授权代表参加的应提交法定代表人授权书原件、本人身份证原件，以及近一年内任意三个月在供应商单位缴纳社会养老保险的证书或证明原件。</w:t>
            </w:r>
          </w:p>
          <w:p w14:paraId="37D2A911">
            <w:pPr>
              <w:spacing w:line="36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以上证明资料格式可参照本磋商文件“第六章 响应文件格式”中的相应内容编制。</w:t>
            </w:r>
          </w:p>
        </w:tc>
      </w:tr>
      <w:tr w14:paraId="1AFB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59" w:type="dxa"/>
            <w:vAlign w:val="center"/>
          </w:tcPr>
          <w:p w14:paraId="29F83582">
            <w:pPr>
              <w:spacing w:line="3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746" w:type="dxa"/>
            <w:vAlign w:val="center"/>
          </w:tcPr>
          <w:p w14:paraId="322980A3">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评审地点、时间</w:t>
            </w:r>
          </w:p>
        </w:tc>
        <w:tc>
          <w:tcPr>
            <w:tcW w:w="6772" w:type="dxa"/>
            <w:vAlign w:val="center"/>
          </w:tcPr>
          <w:p w14:paraId="7D38C0D5">
            <w:pPr>
              <w:spacing w:line="36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时间：2025年6月30日10：30（北京时间）</w:t>
            </w:r>
          </w:p>
          <w:p w14:paraId="054AA07F">
            <w:pPr>
              <w:spacing w:line="36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地点：</w:t>
            </w:r>
            <w:r>
              <w:rPr>
                <w:rFonts w:hint="eastAsia" w:asciiTheme="minorEastAsia" w:hAnsiTheme="minorEastAsia" w:eastAsiaTheme="minorEastAsia" w:cstheme="minorEastAsia"/>
                <w:bCs/>
                <w:szCs w:val="24"/>
              </w:rPr>
              <w:t>线上评审</w:t>
            </w:r>
          </w:p>
        </w:tc>
      </w:tr>
      <w:tr w14:paraId="3946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A9AEDEA">
            <w:pPr>
              <w:spacing w:line="3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746" w:type="dxa"/>
            <w:vAlign w:val="center"/>
          </w:tcPr>
          <w:p w14:paraId="34A60964">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评标办法</w:t>
            </w:r>
          </w:p>
        </w:tc>
        <w:tc>
          <w:tcPr>
            <w:tcW w:w="6772" w:type="dxa"/>
            <w:vAlign w:val="center"/>
          </w:tcPr>
          <w:p w14:paraId="60C323EF">
            <w:pPr>
              <w:spacing w:line="36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综合评分法，本项目有二次报价，二次报价即为最终报价。</w:t>
            </w:r>
          </w:p>
        </w:tc>
      </w:tr>
      <w:tr w14:paraId="32E6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5C5705D7">
            <w:pPr>
              <w:spacing w:line="3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746" w:type="dxa"/>
            <w:vAlign w:val="center"/>
          </w:tcPr>
          <w:p w14:paraId="1188032B">
            <w:pPr>
              <w:spacing w:line="36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中标候选人数量</w:t>
            </w:r>
          </w:p>
        </w:tc>
        <w:tc>
          <w:tcPr>
            <w:tcW w:w="6772" w:type="dxa"/>
            <w:vAlign w:val="center"/>
          </w:tcPr>
          <w:p w14:paraId="29EE37FA">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t>推荐1名中标人</w:t>
            </w:r>
          </w:p>
        </w:tc>
      </w:tr>
      <w:tr w14:paraId="4711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6C67184">
            <w:pPr>
              <w:spacing w:line="360" w:lineRule="exact"/>
              <w:jc w:val="center"/>
              <w:rPr>
                <w:rFonts w:hint="eastAsia" w:asciiTheme="minorEastAsia" w:hAnsiTheme="minorEastAsia" w:eastAsiaTheme="minorEastAsia" w:cstheme="minorEastAsia"/>
              </w:rPr>
            </w:pPr>
            <w:bookmarkStart w:id="24" w:name="_Toc227423923"/>
            <w:r>
              <w:rPr>
                <w:rFonts w:hint="eastAsia" w:asciiTheme="minorEastAsia" w:hAnsiTheme="minorEastAsia" w:eastAsiaTheme="minorEastAsia" w:cstheme="minorEastAsia"/>
              </w:rPr>
              <w:t>15</w:t>
            </w:r>
          </w:p>
        </w:tc>
        <w:tc>
          <w:tcPr>
            <w:tcW w:w="1746" w:type="dxa"/>
            <w:vAlign w:val="center"/>
          </w:tcPr>
          <w:p w14:paraId="45FDB4F0">
            <w:pPr>
              <w:spacing w:line="360" w:lineRule="exact"/>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Cs/>
                <w:szCs w:val="24"/>
              </w:rPr>
              <w:t>备注</w:t>
            </w:r>
          </w:p>
        </w:tc>
        <w:tc>
          <w:tcPr>
            <w:tcW w:w="6772" w:type="dxa"/>
            <w:vAlign w:val="center"/>
          </w:tcPr>
          <w:p w14:paraId="311328D0">
            <w:pPr>
              <w:tabs>
                <w:tab w:val="left" w:pos="435"/>
                <w:tab w:val="left" w:pos="855"/>
              </w:tabs>
              <w:autoSpaceDE w:val="0"/>
              <w:autoSpaceDN w:val="0"/>
              <w:adjustRightInd w:val="0"/>
              <w:rPr>
                <w:rFonts w:hint="eastAsia" w:asciiTheme="minorEastAsia" w:hAnsiTheme="minorEastAsia" w:eastAsiaTheme="minorEastAsia" w:cstheme="minorEastAsia"/>
                <w:szCs w:val="24"/>
              </w:rPr>
            </w:pPr>
          </w:p>
        </w:tc>
      </w:tr>
    </w:tbl>
    <w:p w14:paraId="0872EE32">
      <w:pPr>
        <w:spacing w:line="360" w:lineRule="exact"/>
        <w:rPr>
          <w:rFonts w:hint="eastAsia" w:asciiTheme="minorEastAsia" w:hAnsiTheme="minorEastAsia" w:eastAsiaTheme="minorEastAsia" w:cstheme="minorEastAsia"/>
        </w:rPr>
      </w:pPr>
    </w:p>
    <w:p w14:paraId="3C28ABB0">
      <w:pPr>
        <w:pStyle w:val="15"/>
        <w:rPr>
          <w:rFonts w:hint="eastAsia" w:asciiTheme="minorEastAsia" w:hAnsiTheme="minorEastAsia" w:eastAsiaTheme="minorEastAsia" w:cstheme="minorEastAsia"/>
          <w:kern w:val="44"/>
          <w:sz w:val="32"/>
          <w:szCs w:val="44"/>
        </w:rPr>
      </w:pPr>
      <w:r>
        <w:rPr>
          <w:rFonts w:hint="eastAsia" w:asciiTheme="minorEastAsia" w:hAnsiTheme="minorEastAsia" w:eastAsiaTheme="minorEastAsia" w:cstheme="minorEastAsia"/>
        </w:rPr>
        <w:br w:type="page"/>
      </w:r>
    </w:p>
    <w:p w14:paraId="7F4F4943">
      <w:pPr>
        <w:pStyle w:val="3"/>
        <w:rPr>
          <w:rFonts w:hint="eastAsia" w:asciiTheme="minorEastAsia" w:hAnsiTheme="minorEastAsia" w:eastAsiaTheme="minorEastAsia" w:cstheme="minorEastAsia"/>
        </w:rPr>
      </w:pPr>
      <w:bookmarkStart w:id="25" w:name="_Toc18836"/>
      <w:r>
        <w:rPr>
          <w:rFonts w:hint="eastAsia" w:asciiTheme="minorEastAsia" w:hAnsiTheme="minorEastAsia" w:eastAsiaTheme="minorEastAsia" w:cstheme="minorEastAsia"/>
        </w:rPr>
        <w:t>投标人须知</w:t>
      </w:r>
      <w:bookmarkEnd w:id="25"/>
    </w:p>
    <w:p w14:paraId="1FBA96BD">
      <w:pPr>
        <w:pStyle w:val="4"/>
        <w:rPr>
          <w:rFonts w:hint="eastAsia" w:asciiTheme="minorEastAsia" w:hAnsiTheme="minorEastAsia" w:eastAsiaTheme="minorEastAsia" w:cstheme="minorEastAsia"/>
        </w:rPr>
      </w:pPr>
      <w:bookmarkStart w:id="26" w:name="_Toc1108"/>
      <w:r>
        <w:rPr>
          <w:rFonts w:hint="eastAsia" w:asciiTheme="minorEastAsia" w:hAnsiTheme="minorEastAsia" w:eastAsiaTheme="minorEastAsia" w:cstheme="minorEastAsia"/>
        </w:rPr>
        <w:t>1.  概况</w:t>
      </w:r>
      <w:bookmarkEnd w:id="26"/>
    </w:p>
    <w:p w14:paraId="54358CD4">
      <w:pPr>
        <w:pStyle w:val="79"/>
        <w:spacing w:line="440" w:lineRule="exact"/>
        <w:ind w:firstLine="480"/>
        <w:rPr>
          <w:rFonts w:hint="eastAsia" w:asciiTheme="minorEastAsia" w:hAnsiTheme="minorEastAsia" w:eastAsiaTheme="minorEastAsia" w:cstheme="minorEastAsia"/>
          <w:bCs/>
          <w:color w:val="auto"/>
        </w:rPr>
      </w:pPr>
      <w:bookmarkStart w:id="27" w:name="_Toc438370522"/>
      <w:bookmarkStart w:id="28" w:name="_Toc438371744"/>
      <w:bookmarkStart w:id="29" w:name="_Toc438371375"/>
      <w:bookmarkStart w:id="30" w:name="_Toc438371192"/>
      <w:bookmarkStart w:id="31" w:name="_Toc438354293"/>
      <w:bookmarkStart w:id="32" w:name="_Toc438371557"/>
      <w:r>
        <w:rPr>
          <w:rFonts w:hint="eastAsia" w:asciiTheme="minorEastAsia" w:hAnsiTheme="minorEastAsia" w:eastAsiaTheme="minorEastAsia" w:cstheme="minorEastAsia"/>
          <w:bCs/>
          <w:color w:val="auto"/>
        </w:rPr>
        <w:t>1.1、项目名称：详见投标人须知前附表</w:t>
      </w:r>
    </w:p>
    <w:p w14:paraId="25687563">
      <w:pPr>
        <w:pStyle w:val="79"/>
        <w:spacing w:line="440" w:lineRule="exact"/>
        <w:ind w:firstLine="48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1.2、完工期限：详见投标人须知前附表</w:t>
      </w:r>
    </w:p>
    <w:p w14:paraId="336C1EAC">
      <w:pPr>
        <w:pStyle w:val="79"/>
        <w:spacing w:line="440" w:lineRule="exact"/>
        <w:ind w:firstLine="48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1.3、采购范围：详见投标人须知前附表</w:t>
      </w:r>
    </w:p>
    <w:p w14:paraId="55E17FCE">
      <w:pPr>
        <w:pStyle w:val="79"/>
        <w:spacing w:line="440" w:lineRule="exact"/>
        <w:ind w:firstLine="48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1.4、项目地点：乌鲁木齐市</w:t>
      </w:r>
    </w:p>
    <w:p w14:paraId="46F0DB13">
      <w:pPr>
        <w:pStyle w:val="79"/>
        <w:spacing w:line="440" w:lineRule="exact"/>
        <w:ind w:firstLine="48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1.5、质量标准：合格。</w:t>
      </w:r>
    </w:p>
    <w:p w14:paraId="21114E8E">
      <w:pPr>
        <w:pStyle w:val="4"/>
        <w:rPr>
          <w:rFonts w:hint="eastAsia" w:asciiTheme="minorEastAsia" w:hAnsiTheme="minorEastAsia" w:eastAsiaTheme="minorEastAsia" w:cstheme="minorEastAsia"/>
        </w:rPr>
      </w:pPr>
      <w:bookmarkStart w:id="33" w:name="_Toc19902"/>
      <w:r>
        <w:rPr>
          <w:rFonts w:hint="eastAsia" w:asciiTheme="minorEastAsia" w:hAnsiTheme="minorEastAsia" w:eastAsiaTheme="minorEastAsia" w:cstheme="minorEastAsia"/>
        </w:rPr>
        <w:t>2.  合格的</w:t>
      </w:r>
      <w:bookmarkEnd w:id="27"/>
      <w:bookmarkEnd w:id="28"/>
      <w:bookmarkEnd w:id="29"/>
      <w:bookmarkEnd w:id="30"/>
      <w:bookmarkEnd w:id="31"/>
      <w:bookmarkEnd w:id="32"/>
      <w:r>
        <w:rPr>
          <w:rFonts w:hint="eastAsia" w:asciiTheme="minorEastAsia" w:hAnsiTheme="minorEastAsia" w:eastAsiaTheme="minorEastAsia" w:cstheme="minorEastAsia"/>
        </w:rPr>
        <w:t>投标人</w:t>
      </w:r>
      <w:bookmarkEnd w:id="33"/>
    </w:p>
    <w:p w14:paraId="2FFF7195">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2.1详见投标人须知前附表第7条要求。</w:t>
      </w:r>
    </w:p>
    <w:p w14:paraId="75B52C5B">
      <w:pPr>
        <w:pStyle w:val="4"/>
        <w:rPr>
          <w:rFonts w:hint="eastAsia" w:asciiTheme="minorEastAsia" w:hAnsiTheme="minorEastAsia" w:eastAsiaTheme="minorEastAsia" w:cstheme="minorEastAsia"/>
        </w:rPr>
      </w:pPr>
      <w:bookmarkStart w:id="34" w:name="_Toc438371193"/>
      <w:bookmarkStart w:id="35" w:name="_Toc438370523"/>
      <w:bookmarkStart w:id="36" w:name="_Toc438371558"/>
      <w:bookmarkStart w:id="37" w:name="_Toc438371376"/>
      <w:bookmarkStart w:id="38" w:name="_Toc438371745"/>
      <w:bookmarkStart w:id="39" w:name="_Toc438354294"/>
      <w:bookmarkStart w:id="40" w:name="_Toc29485"/>
      <w:r>
        <w:rPr>
          <w:rFonts w:hint="eastAsia" w:asciiTheme="minorEastAsia" w:hAnsiTheme="minorEastAsia" w:eastAsiaTheme="minorEastAsia" w:cstheme="minorEastAsia"/>
        </w:rPr>
        <w:t>3.  投标费用</w:t>
      </w:r>
      <w:bookmarkEnd w:id="34"/>
      <w:bookmarkEnd w:id="35"/>
      <w:bookmarkEnd w:id="36"/>
      <w:bookmarkEnd w:id="37"/>
      <w:bookmarkEnd w:id="38"/>
      <w:bookmarkEnd w:id="39"/>
      <w:bookmarkEnd w:id="40"/>
    </w:p>
    <w:p w14:paraId="427386FC">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3.1无论投标结果如何，与参与招标、投标活动有关的所有费用将由投标方自行承担。</w:t>
      </w:r>
    </w:p>
    <w:p w14:paraId="650E48FC">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3.2投标人被视为熟悉本招标项目的各种情况以及履行合同有关的一切情况。</w:t>
      </w:r>
    </w:p>
    <w:p w14:paraId="7012EAC6">
      <w:pPr>
        <w:spacing w:line="440" w:lineRule="exact"/>
        <w:ind w:firstLine="470"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3.3投标人应承担其编制投标文件与递交投标文件所涉及的一切费用，不论投标结果如何，采购人对上述费用不做任何补偿。</w:t>
      </w:r>
      <w:bookmarkStart w:id="41" w:name="_Toc438370524"/>
      <w:bookmarkStart w:id="42" w:name="_Toc438371559"/>
      <w:bookmarkStart w:id="43" w:name="_Toc438354295"/>
      <w:bookmarkStart w:id="44" w:name="_Toc438371377"/>
      <w:bookmarkStart w:id="45" w:name="_Toc438371746"/>
      <w:bookmarkStart w:id="46" w:name="_Toc438371194"/>
    </w:p>
    <w:p w14:paraId="20C5981B">
      <w:pPr>
        <w:pStyle w:val="4"/>
        <w:rPr>
          <w:rFonts w:hint="eastAsia" w:asciiTheme="minorEastAsia" w:hAnsiTheme="minorEastAsia" w:eastAsiaTheme="minorEastAsia" w:cstheme="minorEastAsia"/>
        </w:rPr>
      </w:pPr>
      <w:bookmarkStart w:id="47" w:name="_Toc29131"/>
      <w:r>
        <w:rPr>
          <w:rFonts w:hint="eastAsia" w:asciiTheme="minorEastAsia" w:hAnsiTheme="minorEastAsia" w:eastAsiaTheme="minorEastAsia" w:cstheme="minorEastAsia"/>
        </w:rPr>
        <w:t>4.  综合说明</w:t>
      </w:r>
      <w:bookmarkEnd w:id="47"/>
    </w:p>
    <w:p w14:paraId="5769061E">
      <w:pPr>
        <w:ind w:firstLine="480" w:firstLineChars="200"/>
        <w:rPr>
          <w:rFonts w:hint="eastAsia" w:asciiTheme="minorEastAsia" w:hAnsiTheme="minorEastAsia" w:eastAsiaTheme="minorEastAsia" w:cstheme="minorEastAsia"/>
        </w:rPr>
      </w:pPr>
      <w:bookmarkStart w:id="48" w:name="_Toc139965329"/>
      <w:bookmarkStart w:id="49" w:name="_Toc128372733"/>
      <w:bookmarkStart w:id="50" w:name="_Toc128372055"/>
      <w:r>
        <w:rPr>
          <w:rFonts w:hint="eastAsia" w:asciiTheme="minorEastAsia" w:hAnsiTheme="minorEastAsia" w:eastAsiaTheme="minorEastAsia" w:cstheme="minorEastAsia"/>
        </w:rPr>
        <w:t>本项目按照《中华人民共和国政府采购法》及相关法规，已办理招标采购申请，并得到财政部门批准，现通过竞争性磋商来择优选定项目的投标人。本招标文件包括本文所列内容及按本须知发出的全部和补充资料。投标人应认真阅读本招标文件中所有的事项、格式、条款、技术规范等实质性的条件和要求。投标人被视为充分熟悉本谈判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文件无效。</w:t>
      </w:r>
    </w:p>
    <w:bookmarkEnd w:id="41"/>
    <w:bookmarkEnd w:id="42"/>
    <w:bookmarkEnd w:id="43"/>
    <w:bookmarkEnd w:id="44"/>
    <w:bookmarkEnd w:id="45"/>
    <w:bookmarkEnd w:id="46"/>
    <w:bookmarkEnd w:id="48"/>
    <w:bookmarkEnd w:id="49"/>
    <w:bookmarkEnd w:id="50"/>
    <w:p w14:paraId="731CA395">
      <w:pPr>
        <w:pStyle w:val="4"/>
        <w:rPr>
          <w:rFonts w:hint="eastAsia" w:asciiTheme="minorEastAsia" w:hAnsiTheme="minorEastAsia" w:eastAsiaTheme="minorEastAsia" w:cstheme="minorEastAsia"/>
        </w:rPr>
      </w:pPr>
      <w:bookmarkStart w:id="51" w:name="_Toc3424"/>
      <w:r>
        <w:rPr>
          <w:rFonts w:hint="eastAsia" w:asciiTheme="minorEastAsia" w:hAnsiTheme="minorEastAsia" w:eastAsiaTheme="minorEastAsia" w:cstheme="minorEastAsia"/>
        </w:rPr>
        <w:t>5.  招标文件</w:t>
      </w:r>
      <w:bookmarkEnd w:id="51"/>
    </w:p>
    <w:p w14:paraId="2CBC808B">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5.1 采购人所作的一切有效的书面通知、修改及补充，都是</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不可分割的部分。</w:t>
      </w:r>
    </w:p>
    <w:p w14:paraId="569C203F">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5.2 投标人应认真阅读</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，如果投标人没有按照</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要求、格式提交资料，或者提交的投标文件没有对</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做出实质性响应，其投标将有可能被拒绝。</w:t>
      </w:r>
    </w:p>
    <w:p w14:paraId="3E8E033A">
      <w:pPr>
        <w:pStyle w:val="4"/>
        <w:rPr>
          <w:rFonts w:hint="eastAsia" w:asciiTheme="minorEastAsia" w:hAnsiTheme="minorEastAsia" w:eastAsiaTheme="minorEastAsia" w:cstheme="minorEastAsia"/>
        </w:rPr>
      </w:pPr>
      <w:bookmarkStart w:id="52" w:name="_Toc438354297"/>
      <w:bookmarkStart w:id="53" w:name="_Toc438371379"/>
      <w:bookmarkStart w:id="54" w:name="_Toc1989"/>
      <w:bookmarkStart w:id="55" w:name="_Toc438371196"/>
      <w:bookmarkStart w:id="56" w:name="_Toc438371748"/>
      <w:bookmarkStart w:id="57" w:name="_Toc438370526"/>
      <w:bookmarkStart w:id="58" w:name="_Toc438371561"/>
      <w:r>
        <w:rPr>
          <w:rFonts w:hint="eastAsia" w:asciiTheme="minorEastAsia" w:hAnsiTheme="minorEastAsia" w:eastAsiaTheme="minorEastAsia" w:cstheme="minorEastAsia"/>
        </w:rPr>
        <w:t>6.  招标文件的澄清</w:t>
      </w:r>
      <w:bookmarkEnd w:id="52"/>
      <w:bookmarkEnd w:id="53"/>
      <w:bookmarkEnd w:id="54"/>
      <w:bookmarkEnd w:id="55"/>
      <w:bookmarkEnd w:id="56"/>
      <w:bookmarkEnd w:id="57"/>
      <w:bookmarkEnd w:id="58"/>
    </w:p>
    <w:p w14:paraId="691EA8F3">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 任何要求对</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进行澄清的投标人，均应在投标截止时间</w:t>
      </w:r>
      <w:r>
        <w:rPr>
          <w:rFonts w:hint="eastAsia" w:asciiTheme="minorEastAsia" w:hAnsiTheme="minorEastAsia" w:eastAsiaTheme="minorEastAsia" w:cstheme="minorEastAsia"/>
          <w:b/>
          <w:bCs/>
          <w:u w:val="single"/>
        </w:rPr>
        <w:t>5</w:t>
      </w:r>
      <w:r>
        <w:rPr>
          <w:rFonts w:hint="eastAsia" w:asciiTheme="minorEastAsia" w:hAnsiTheme="minorEastAsia" w:eastAsiaTheme="minorEastAsia" w:cstheme="minorEastAsia"/>
        </w:rPr>
        <w:t>天前以书面形式通知采购人，采购人最终将以书面形式答复所有投标人。答复中包括所提问题，但不包括问题的来源。</w:t>
      </w:r>
    </w:p>
    <w:p w14:paraId="58446D29">
      <w:pPr>
        <w:pStyle w:val="4"/>
        <w:rPr>
          <w:rFonts w:hint="eastAsia" w:asciiTheme="minorEastAsia" w:hAnsiTheme="minorEastAsia" w:eastAsiaTheme="minorEastAsia" w:cstheme="minorEastAsia"/>
        </w:rPr>
      </w:pPr>
      <w:bookmarkStart w:id="59" w:name="_Toc438371562"/>
      <w:bookmarkStart w:id="60" w:name="_Toc438370527"/>
      <w:bookmarkStart w:id="61" w:name="_Toc438371197"/>
      <w:bookmarkStart w:id="62" w:name="_Toc438354298"/>
      <w:bookmarkStart w:id="63" w:name="_Toc438371749"/>
      <w:bookmarkStart w:id="64" w:name="_Toc438371380"/>
      <w:bookmarkStart w:id="65" w:name="_Toc14039"/>
      <w:r>
        <w:rPr>
          <w:rFonts w:hint="eastAsia" w:asciiTheme="minorEastAsia" w:hAnsiTheme="minorEastAsia" w:eastAsiaTheme="minorEastAsia" w:cstheme="minorEastAsia"/>
        </w:rPr>
        <w:t>7.  招标文件的修改</w:t>
      </w:r>
      <w:bookmarkEnd w:id="59"/>
      <w:bookmarkEnd w:id="60"/>
      <w:bookmarkEnd w:id="61"/>
      <w:bookmarkEnd w:id="62"/>
      <w:bookmarkEnd w:id="63"/>
      <w:bookmarkEnd w:id="64"/>
      <w:bookmarkEnd w:id="65"/>
    </w:p>
    <w:p w14:paraId="541C9389">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7.1 在投标截止日期</w:t>
      </w:r>
      <w:r>
        <w:rPr>
          <w:rFonts w:hint="eastAsia" w:asciiTheme="minorEastAsia" w:hAnsiTheme="minorEastAsia" w:eastAsiaTheme="minorEastAsia" w:cstheme="minorEastAsia"/>
          <w:b/>
          <w:bCs/>
          <w:u w:val="single"/>
        </w:rPr>
        <w:t>5</w:t>
      </w:r>
      <w:r>
        <w:rPr>
          <w:rFonts w:hint="eastAsia" w:asciiTheme="minorEastAsia" w:hAnsiTheme="minorEastAsia" w:eastAsiaTheme="minorEastAsia" w:cstheme="minorEastAsia"/>
        </w:rPr>
        <w:t>天前，采购人可主动地或在解答投标人提出的澄清问题时对</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进行修改。</w:t>
      </w:r>
    </w:p>
    <w:p w14:paraId="6754E035">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7.2 </w:t>
      </w:r>
      <w:r>
        <w:rPr>
          <w:rFonts w:hint="eastAsia" w:asciiTheme="minorEastAsia" w:hAnsiTheme="minorEastAsia" w:eastAsiaTheme="minorEastAsia" w:cstheme="minorEastAsia"/>
          <w:spacing w:val="-14"/>
        </w:rPr>
        <w:t>招标文件</w:t>
      </w:r>
      <w:r>
        <w:rPr>
          <w:rFonts w:hint="eastAsia" w:asciiTheme="minorEastAsia" w:hAnsiTheme="minorEastAsia" w:eastAsiaTheme="minorEastAsia" w:cstheme="minorEastAsia"/>
        </w:rPr>
        <w:t>的修改将以书面形式通知所有投标人，投标人应立即确认已收到修改。</w:t>
      </w:r>
    </w:p>
    <w:p w14:paraId="3E2A519B">
      <w:pPr>
        <w:pStyle w:val="4"/>
        <w:rPr>
          <w:rFonts w:hint="eastAsia" w:asciiTheme="minorEastAsia" w:hAnsiTheme="minorEastAsia" w:eastAsiaTheme="minorEastAsia" w:cstheme="minorEastAsia"/>
        </w:rPr>
      </w:pPr>
      <w:bookmarkStart w:id="66" w:name="_Toc32211"/>
      <w:bookmarkStart w:id="67" w:name="_Toc438371565"/>
      <w:bookmarkStart w:id="68" w:name="_Toc438371200"/>
      <w:bookmarkStart w:id="69" w:name="_Toc438370530"/>
      <w:bookmarkStart w:id="70" w:name="_Toc438354301"/>
      <w:bookmarkStart w:id="71" w:name="_Toc438371752"/>
      <w:bookmarkStart w:id="72" w:name="_Toc438371383"/>
      <w:r>
        <w:rPr>
          <w:rFonts w:hint="eastAsia" w:asciiTheme="minorEastAsia" w:hAnsiTheme="minorEastAsia" w:eastAsiaTheme="minorEastAsia" w:cstheme="minorEastAsia"/>
        </w:rPr>
        <w:t>8.  投标语言</w:t>
      </w:r>
      <w:bookmarkEnd w:id="66"/>
    </w:p>
    <w:p w14:paraId="788986EA">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8.1 投标人准备的投标文件和投标人与采购人之间往来的所有与招标文件有关的函电、文件等均应以中文书写。如果投标人提供的文件资料以其它语言书写，投标人应将其译成中文作为投标的语言，如有差异，以中文为准。</w:t>
      </w:r>
    </w:p>
    <w:bookmarkEnd w:id="67"/>
    <w:bookmarkEnd w:id="68"/>
    <w:bookmarkEnd w:id="69"/>
    <w:bookmarkEnd w:id="70"/>
    <w:bookmarkEnd w:id="71"/>
    <w:bookmarkEnd w:id="72"/>
    <w:p w14:paraId="4F09B685">
      <w:pPr>
        <w:pStyle w:val="4"/>
        <w:rPr>
          <w:rFonts w:hint="eastAsia" w:asciiTheme="minorEastAsia" w:hAnsiTheme="minorEastAsia" w:eastAsiaTheme="minorEastAsia" w:cstheme="minorEastAsia"/>
        </w:rPr>
      </w:pPr>
      <w:bookmarkStart w:id="73" w:name="_Toc24439"/>
      <w:r>
        <w:rPr>
          <w:rFonts w:hint="eastAsia" w:asciiTheme="minorEastAsia" w:hAnsiTheme="minorEastAsia" w:eastAsiaTheme="minorEastAsia" w:cstheme="minorEastAsia"/>
        </w:rPr>
        <w:t>9.  投标文件的编制</w:t>
      </w:r>
      <w:bookmarkEnd w:id="73"/>
    </w:p>
    <w:p w14:paraId="42ABDB5E">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9.1 总则</w:t>
      </w:r>
    </w:p>
    <w:p w14:paraId="560B70D3">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9.1.1 投标人应仔细阅读本招标文件对投标文件规范性制作的各项条款要求，在充分理解招标文件提出的服务要求和各项条件后，制作投标文件。</w:t>
      </w:r>
    </w:p>
    <w:p w14:paraId="0FF43A07">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9.1.2 投标人对招标文件所要求的任何条款有偏离的，均应按本招标文件所附的附件格式表注明偏离事项，作为此次招标的重要依据；如果投标人未对招标文件部分或全部提出偏离，则采购人有充分理由认为投标人已完全满足招标文件的部分或全部条款。</w:t>
      </w:r>
    </w:p>
    <w:p w14:paraId="2762DD2F">
      <w:pPr>
        <w:tabs>
          <w:tab w:val="left" w:pos="8925"/>
        </w:tabs>
        <w:adjustRightInd w:val="0"/>
        <w:snapToGrid w:val="0"/>
        <w:spacing w:line="440" w:lineRule="exact"/>
        <w:ind w:firstLine="480" w:firstLineChars="2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rPr>
        <w:t>9.1.3 本招标文件所附的附件提供了一部分用于编制投标文件时的必要格式，投标人应按所提供的格式填报，格式可扩展。对于招标文件中未提供格式的投标内容，由投标人自行编制。</w:t>
      </w:r>
    </w:p>
    <w:p w14:paraId="16CC2839">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9.2 投标文件的构成</w:t>
      </w:r>
    </w:p>
    <w:p w14:paraId="312FC582">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投标文件是评估投标人投标有效性的重要文件，投标人必须按要求如实、准确、完整的提供评估因素要求的各类文件资料。投标文件包括经济标、技术标两部分组成（但不局限于以下部分）。</w:t>
      </w:r>
    </w:p>
    <w:p w14:paraId="10B8EBEA">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（1）开标一览表；</w:t>
      </w:r>
    </w:p>
    <w:p w14:paraId="213F21C3">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（2）投标函；</w:t>
      </w:r>
    </w:p>
    <w:p w14:paraId="0DFF00B2">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（3）分项报价表；</w:t>
      </w:r>
    </w:p>
    <w:p w14:paraId="0ACA71C0">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（3）企业营业执照副本；</w:t>
      </w:r>
    </w:p>
    <w:p w14:paraId="137A985D">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（4）法定代表人身份证明书；</w:t>
      </w:r>
    </w:p>
    <w:p w14:paraId="6133D172">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（5）法定代表人授权书及被授权人身份证复印件</w:t>
      </w:r>
    </w:p>
    <w:p w14:paraId="1BF6DBF5">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（6）企业资质证书；</w:t>
      </w:r>
    </w:p>
    <w:p w14:paraId="6860FBCD">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（7）拟投入本项目成员及相关证件复印件、企业认为有必要提供的其他相关证件复印件。</w:t>
      </w:r>
    </w:p>
    <w:p w14:paraId="6BA8D158">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（8）反商业贿赂承诺书；</w:t>
      </w:r>
    </w:p>
    <w:p w14:paraId="4674100F">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（9）投标保证金有关单据（复印件）；</w:t>
      </w:r>
    </w:p>
    <w:p w14:paraId="6D98E949">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（10）技术标</w:t>
      </w:r>
    </w:p>
    <w:p w14:paraId="1E3A8D8F">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（11）服务承诺书；</w:t>
      </w:r>
    </w:p>
    <w:p w14:paraId="47555A20">
      <w:pPr>
        <w:adjustRightInd w:val="0"/>
        <w:snapToGrid w:val="0"/>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（12）售后服务方案；</w:t>
      </w:r>
    </w:p>
    <w:p w14:paraId="306F59CA">
      <w:pPr>
        <w:adjustRightInd w:val="0"/>
        <w:snapToGrid w:val="0"/>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（13）其他需要提交的资料（根据招标文件的要求和投标人认为需要提供的资料）。</w:t>
      </w:r>
    </w:p>
    <w:p w14:paraId="3AD45DE5">
      <w:pPr>
        <w:pStyle w:val="4"/>
        <w:rPr>
          <w:rFonts w:hint="eastAsia" w:asciiTheme="minorEastAsia" w:hAnsiTheme="minorEastAsia" w:eastAsiaTheme="minorEastAsia" w:cstheme="minorEastAsia"/>
        </w:rPr>
      </w:pPr>
      <w:bookmarkStart w:id="74" w:name="_Toc15670"/>
      <w:r>
        <w:rPr>
          <w:rFonts w:hint="eastAsia" w:asciiTheme="minorEastAsia" w:hAnsiTheme="minorEastAsia" w:eastAsiaTheme="minorEastAsia" w:cstheme="minorEastAsia"/>
        </w:rPr>
        <w:t>10.投标文件格式</w:t>
      </w:r>
      <w:bookmarkEnd w:id="74"/>
    </w:p>
    <w:p w14:paraId="0022E6EC">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10.1 本项目要求按照上述内容编制标书，并按照标书中所附的投标文件规格编写，并要求打印装订成册。不得采用活页装订，否则其投标文件将被拒绝评审。</w:t>
      </w:r>
    </w:p>
    <w:p w14:paraId="56019F36">
      <w:pPr>
        <w:spacing w:line="440" w:lineRule="exact"/>
        <w:ind w:firstLine="480" w:firstLineChars="200"/>
        <w:rPr>
          <w:rFonts w:hint="eastAsia" w:asciiTheme="minorEastAsia" w:hAnsiTheme="minorEastAsia" w:eastAsiaTheme="minorEastAsia" w:cstheme="minorEastAsia"/>
          <w:b/>
          <w:kern w:val="0"/>
          <w:u w:val="single"/>
        </w:rPr>
      </w:pPr>
      <w:r>
        <w:rPr>
          <w:rFonts w:hint="eastAsia" w:asciiTheme="minorEastAsia" w:hAnsiTheme="minorEastAsia" w:eastAsiaTheme="minorEastAsia" w:cstheme="minorEastAsia"/>
        </w:rPr>
        <w:t>10.2 投标人应按招标文件的内容与要求和提供的格式编写其投标文件，投标人不得缺少或留空任何招标文件要求填写的表格或提交的资料。</w:t>
      </w:r>
      <w:r>
        <w:rPr>
          <w:rFonts w:hint="eastAsia" w:asciiTheme="minorEastAsia" w:hAnsiTheme="minorEastAsia" w:eastAsiaTheme="minorEastAsia" w:cstheme="minorEastAsia"/>
          <w:b/>
          <w:kern w:val="0"/>
          <w:szCs w:val="22"/>
          <w:u w:val="single"/>
        </w:rPr>
        <w:t>如招标文件没有</w:t>
      </w:r>
      <w:r>
        <w:rPr>
          <w:rFonts w:hint="eastAsia" w:asciiTheme="minorEastAsia" w:hAnsiTheme="minorEastAsia" w:eastAsiaTheme="minorEastAsia" w:cstheme="minorEastAsia"/>
          <w:b/>
          <w:kern w:val="0"/>
          <w:u w:val="single"/>
        </w:rPr>
        <w:t>提供格式的，投标人可自行设置。</w:t>
      </w:r>
    </w:p>
    <w:p w14:paraId="1745AC4B">
      <w:pPr>
        <w:pStyle w:val="4"/>
        <w:rPr>
          <w:rFonts w:hint="eastAsia" w:asciiTheme="minorEastAsia" w:hAnsiTheme="minorEastAsia" w:eastAsiaTheme="minorEastAsia" w:cstheme="minorEastAsia"/>
        </w:rPr>
      </w:pPr>
      <w:bookmarkStart w:id="75" w:name="_Toc26790"/>
      <w:r>
        <w:rPr>
          <w:rFonts w:hint="eastAsia" w:asciiTheme="minorEastAsia" w:hAnsiTheme="minorEastAsia" w:eastAsiaTheme="minorEastAsia" w:cstheme="minorEastAsia"/>
        </w:rPr>
        <w:t>11.投标有效期</w:t>
      </w:r>
      <w:bookmarkEnd w:id="75"/>
    </w:p>
    <w:p w14:paraId="66EF7AA8">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11.1投标文件从开标之日起计算，投标有效期详投标人须知前附表。</w:t>
      </w:r>
    </w:p>
    <w:p w14:paraId="0C416ED4">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11.2在特殊情况下，采购人可与投标人协商延长投标文件的有效期。</w:t>
      </w:r>
    </w:p>
    <w:p w14:paraId="45456ECB">
      <w:pPr>
        <w:pStyle w:val="4"/>
        <w:rPr>
          <w:rFonts w:hint="eastAsia" w:asciiTheme="minorEastAsia" w:hAnsiTheme="minorEastAsia" w:eastAsiaTheme="minorEastAsia" w:cstheme="minorEastAsia"/>
        </w:rPr>
      </w:pPr>
      <w:bookmarkStart w:id="76" w:name="_Toc29246"/>
      <w:r>
        <w:rPr>
          <w:rFonts w:hint="eastAsia" w:asciiTheme="minorEastAsia" w:hAnsiTheme="minorEastAsia" w:eastAsiaTheme="minorEastAsia" w:cstheme="minorEastAsia"/>
        </w:rPr>
        <w:t>12.投标文件的签署规定</w:t>
      </w:r>
      <w:bookmarkEnd w:id="76"/>
    </w:p>
    <w:p w14:paraId="13B828EE">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12.1投标文件的页面必须用印刷体打印。</w:t>
      </w:r>
    </w:p>
    <w:p w14:paraId="1B06FB5E">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12.2投标文件应清楚工整，一般不准修改。个别非实质性修改之处应由投标人的被授权人或法人代表签章。</w:t>
      </w:r>
    </w:p>
    <w:p w14:paraId="75E614DF">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12.3投标文件应由法人代表或授权代表在规定的签章处逐一签署并加盖单位公章，其它有文字显示的内容需加盖投标人公章，投标文件方为有效。</w:t>
      </w:r>
    </w:p>
    <w:p w14:paraId="16BB930B">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12.4电报、电话、传真、电子邮件等形式的投标概不接受。</w:t>
      </w:r>
    </w:p>
    <w:p w14:paraId="3504D35B">
      <w:pPr>
        <w:pStyle w:val="4"/>
        <w:rPr>
          <w:rFonts w:hint="eastAsia" w:asciiTheme="minorEastAsia" w:hAnsiTheme="minorEastAsia" w:eastAsiaTheme="minorEastAsia" w:cstheme="minorEastAsia"/>
        </w:rPr>
      </w:pPr>
      <w:bookmarkStart w:id="77" w:name="_Toc25583"/>
      <w:r>
        <w:rPr>
          <w:rFonts w:hint="eastAsia" w:asciiTheme="minorEastAsia" w:hAnsiTheme="minorEastAsia" w:eastAsiaTheme="minorEastAsia" w:cstheme="minorEastAsia"/>
        </w:rPr>
        <w:t>13.投标保证金</w:t>
      </w:r>
      <w:bookmarkEnd w:id="77"/>
    </w:p>
    <w:p w14:paraId="152D130B">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13.1 投标保证金是为了保护采购人免遭因投标人的行为而蒙受损失。采购人在因投标人的行为受到损害时可根据本须知的规定没收投标人的投标保证金。</w:t>
      </w:r>
    </w:p>
    <w:p w14:paraId="7D403D52">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13.2 投标保证金的货币为人民币，并采用电汇、转账支票等形式交纳，如电汇产生的一切费用由投标人自行承担。（电汇、转账支票均须在递交保证金截止时间前确认到账，由于转账当天不一定能够到账，为避免因保证金未到账而导致投标被拒，建议至少提前1日转账。）</w:t>
      </w:r>
    </w:p>
    <w:p w14:paraId="247D7910">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凡未要求提交保证金的投标，将视为非实质性响应性投标而被拒绝。</w:t>
      </w:r>
    </w:p>
    <w:p w14:paraId="7C9A217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13.3 凡没有根据本须知的规定随附保证金的投标，将被视为非响应性投标予以拒绝。</w:t>
      </w:r>
    </w:p>
    <w:p w14:paraId="4002DD73">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13.4 未中标投标人的保证金，将在中标通知书发出后5日内，原额退还投标人。</w:t>
      </w:r>
    </w:p>
    <w:p w14:paraId="48F64B23">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13.5 中标人的保证金在合同签订后5日内退还。</w:t>
      </w:r>
    </w:p>
    <w:p w14:paraId="2BAD46B2">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13.6下列任何情况发生时，投标保证金将被没收。</w:t>
      </w:r>
    </w:p>
    <w:p w14:paraId="317DF15B">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  投标人在提交投标文件截止时间后撤回投标文件的；</w:t>
      </w:r>
    </w:p>
    <w:p w14:paraId="47A10FF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  中标人在规定期限内未按规定向采购人缴纳履约保证金；</w:t>
      </w:r>
    </w:p>
    <w:p w14:paraId="08EE63C1">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  投标人在投标文件中提供虚假材料的；</w:t>
      </w:r>
    </w:p>
    <w:p w14:paraId="3C75A19B">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  除因不可抗力或招标文件认可的情形以外，中标投标人不与采购人签订合同的；</w:t>
      </w:r>
    </w:p>
    <w:p w14:paraId="07C57D85">
      <w:pPr>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（5）  投标人与采购人、其他投标人或者采购代理机构恶意串通的； </w:t>
      </w:r>
    </w:p>
    <w:p w14:paraId="3E6D125C">
      <w:pPr>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（6）  中标人在开标后3日内不能履约的；</w:t>
      </w:r>
    </w:p>
    <w:p w14:paraId="7966325A">
      <w:pPr>
        <w:spacing w:line="440" w:lineRule="exact"/>
        <w:ind w:firstLine="480" w:firstLineChars="200"/>
        <w:rPr>
          <w:rFonts w:hint="eastAsia" w:asciiTheme="minorEastAsia" w:hAnsiTheme="minorEastAsia" w:eastAsiaTheme="minorEastAsia" w:cstheme="minorEastAsia"/>
        </w:rPr>
      </w:pPr>
    </w:p>
    <w:p w14:paraId="60A6AC37">
      <w:pPr>
        <w:pStyle w:val="4"/>
        <w:rPr>
          <w:rFonts w:hint="eastAsia" w:asciiTheme="minorEastAsia" w:hAnsiTheme="minorEastAsia" w:eastAsiaTheme="minorEastAsia" w:cstheme="minorEastAsia"/>
        </w:rPr>
      </w:pPr>
      <w:bookmarkStart w:id="78" w:name="_Toc3289"/>
      <w:r>
        <w:rPr>
          <w:rFonts w:hint="eastAsia" w:asciiTheme="minorEastAsia" w:hAnsiTheme="minorEastAsia" w:eastAsiaTheme="minorEastAsia" w:cstheme="minorEastAsia"/>
        </w:rPr>
        <w:t>14.投标文件的递交</w:t>
      </w:r>
      <w:bookmarkEnd w:id="78"/>
    </w:p>
    <w:p w14:paraId="7529AE31">
      <w:pPr>
        <w:spacing w:line="440" w:lineRule="exact"/>
        <w:ind w:firstLine="48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rPr>
        <w:t>14.1投标文件的递交截止时间已在</w:t>
      </w:r>
      <w:r>
        <w:rPr>
          <w:rFonts w:hint="eastAsia" w:asciiTheme="minorEastAsia" w:hAnsiTheme="minorEastAsia" w:eastAsiaTheme="minorEastAsia" w:cstheme="minorEastAsia"/>
        </w:rPr>
        <w:t>投标人须知前附表中列清</w:t>
      </w:r>
      <w:r>
        <w:rPr>
          <w:rFonts w:hint="eastAsia" w:asciiTheme="minorEastAsia" w:hAnsiTheme="minorEastAsia" w:eastAsiaTheme="minorEastAsia" w:cstheme="minorEastAsia"/>
          <w:b/>
          <w:bCs/>
          <w:kern w:val="0"/>
          <w:szCs w:val="24"/>
        </w:rPr>
        <w:t>。</w:t>
      </w:r>
    </w:p>
    <w:p w14:paraId="5B0C8370">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14.2所有投标文件派人送交、网上递交，都必须在采购人规定的截止时间之前送达招标文件指定的地点，在此之后送达的投标文件，为无效投标，投标文件将一律被拒绝。</w:t>
      </w:r>
    </w:p>
    <w:p w14:paraId="0A1B406C">
      <w:pPr>
        <w:pStyle w:val="4"/>
        <w:rPr>
          <w:rFonts w:hint="eastAsia" w:asciiTheme="minorEastAsia" w:hAnsiTheme="minorEastAsia" w:eastAsiaTheme="minorEastAsia" w:cstheme="minorEastAsia"/>
        </w:rPr>
      </w:pPr>
      <w:bookmarkStart w:id="79" w:name="_Toc23509"/>
      <w:r>
        <w:rPr>
          <w:rFonts w:hint="eastAsia" w:asciiTheme="minorEastAsia" w:hAnsiTheme="minorEastAsia" w:eastAsiaTheme="minorEastAsia" w:cstheme="minorEastAsia"/>
        </w:rPr>
        <w:t>15.投标文件的修改和撤销</w:t>
      </w:r>
      <w:bookmarkEnd w:id="79"/>
    </w:p>
    <w:p w14:paraId="528335D1">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15.1投标人在递交投标文件后，可在规定的截止时间之前，对其投标文件以书面通知的形式进行修改或撤销。</w:t>
      </w:r>
    </w:p>
    <w:p w14:paraId="0EB470D0">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15.2投标人对投标文件修改的书面材料或撤消通知应按招标文件要求进行密封、标注和递交，并注明“修改投标文件”或“撤消投标”字样，修改或撤消的内容须按招标文件的要求签署、盖章，并作为投标文件和组成部分。</w:t>
      </w:r>
    </w:p>
    <w:p w14:paraId="3B58A5E4">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15.3对投标文件修改的书面材料应于截止时间前送达，截止时间以后不得修改投标文件。</w:t>
      </w:r>
    </w:p>
    <w:p w14:paraId="52E0FCDC">
      <w:pPr>
        <w:spacing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15.4投标人不得在开标后至投标有期满前撤销投标文件，否则采购人将没收其保证金。</w:t>
      </w:r>
    </w:p>
    <w:p w14:paraId="1C516661">
      <w:pPr>
        <w:spacing w:line="440" w:lineRule="exact"/>
        <w:ind w:firstLine="480" w:firstLineChars="200"/>
        <w:rPr>
          <w:rFonts w:hint="eastAsia" w:asciiTheme="minorEastAsia" w:hAnsiTheme="minorEastAsia" w:eastAsiaTheme="minorEastAsia" w:cstheme="minorEastAsia"/>
        </w:rPr>
      </w:pPr>
    </w:p>
    <w:p w14:paraId="79D164A3">
      <w:pPr>
        <w:pStyle w:val="4"/>
        <w:rPr>
          <w:rFonts w:hint="eastAsia" w:asciiTheme="minorEastAsia" w:hAnsiTheme="minorEastAsia" w:eastAsiaTheme="minorEastAsia" w:cstheme="minorEastAsia"/>
        </w:rPr>
      </w:pPr>
      <w:bookmarkStart w:id="80" w:name="_Toc1705"/>
      <w:r>
        <w:rPr>
          <w:rFonts w:hint="eastAsia" w:asciiTheme="minorEastAsia" w:hAnsiTheme="minorEastAsia" w:eastAsiaTheme="minorEastAsia" w:cstheme="minorEastAsia"/>
        </w:rPr>
        <w:t>16.评标会</w:t>
      </w:r>
      <w:bookmarkEnd w:id="80"/>
    </w:p>
    <w:p w14:paraId="710EB36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16.1本次评标会按招标文件中规定的时间和地点进行开标，邀请投标人的法定代表人或其授权人参加开标会。</w:t>
      </w:r>
    </w:p>
    <w:p w14:paraId="5C056FBA">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招标项目开标的时间、地点已在</w:t>
      </w:r>
      <w:r>
        <w:rPr>
          <w:rFonts w:hint="eastAsia" w:asciiTheme="minorEastAsia" w:hAnsiTheme="minorEastAsia" w:eastAsiaTheme="minorEastAsia" w:cstheme="minorEastAsia"/>
          <w:bCs/>
        </w:rPr>
        <w:t>投标人须知前附表</w:t>
      </w:r>
      <w:r>
        <w:rPr>
          <w:rFonts w:hint="eastAsia" w:asciiTheme="minorEastAsia" w:hAnsiTheme="minorEastAsia" w:eastAsiaTheme="minorEastAsia" w:cstheme="minorEastAsia"/>
        </w:rPr>
        <w:t>说明。</w:t>
      </w:r>
    </w:p>
    <w:p w14:paraId="579C0F68">
      <w:pPr>
        <w:spacing w:line="440" w:lineRule="exact"/>
        <w:ind w:firstLine="48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rPr>
        <w:t>16.2、采购人将邀请所有投标人派代表参加开标会。但请投标人代表随身携带相关资料</w:t>
      </w:r>
      <w:r>
        <w:rPr>
          <w:rFonts w:hint="eastAsia" w:asciiTheme="minorEastAsia" w:hAnsiTheme="minorEastAsia" w:eastAsiaTheme="minorEastAsia" w:cstheme="minorEastAsia"/>
          <w:szCs w:val="22"/>
        </w:rPr>
        <w:t>供监督人查验（投标人须知前附表：16项），证件不全者，其投标文件将被拒绝评审。</w:t>
      </w:r>
    </w:p>
    <w:p w14:paraId="1907E4A5">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16</w:t>
      </w:r>
      <w:r>
        <w:rPr>
          <w:rFonts w:hint="eastAsia" w:asciiTheme="minorEastAsia" w:hAnsiTheme="minorEastAsia" w:eastAsiaTheme="minorEastAsia" w:cstheme="minorEastAsia"/>
          <w:bCs/>
        </w:rPr>
        <w:t>.3、评标会程序</w:t>
      </w:r>
    </w:p>
    <w:p w14:paraId="5EDB5BF1">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16.3.1、标前会</w:t>
      </w:r>
    </w:p>
    <w:p w14:paraId="206309C4">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16.3.1.1、采购人和监督人参加。</w:t>
      </w:r>
    </w:p>
    <w:p w14:paraId="127A562F">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16.3.1.2、标前会由代理机构人员主持。</w:t>
      </w:r>
    </w:p>
    <w:p w14:paraId="7A49027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16.3.1.3、采购代理机构在标前会现场确定评标委员会负责人、开标会主持人、记录人。</w:t>
      </w:r>
    </w:p>
    <w:p w14:paraId="5DF094AD">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评标委员会主任职责是宣布评标纪律、总分、中标人等内容。评标委员会负责人如果参与评审则与其他专家的权利相同。</w:t>
      </w:r>
    </w:p>
    <w:p w14:paraId="71849E04">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开标会主持人职责是按本招标文件规定的开标会程序主持招标会。</w:t>
      </w:r>
    </w:p>
    <w:p w14:paraId="07AEF23F">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记录人职责是对整个招标会情况进行记录。</w:t>
      </w:r>
    </w:p>
    <w:p w14:paraId="5D9018DA">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唱标人职责是公开宣读投标文件的投标报价。</w:t>
      </w:r>
    </w:p>
    <w:p w14:paraId="7C164559">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16.4、评标会</w:t>
      </w:r>
    </w:p>
    <w:p w14:paraId="7D6F6595">
      <w:pPr>
        <w:spacing w:line="440" w:lineRule="exact"/>
        <w:ind w:firstLine="480" w:firstLineChars="20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16.4.1、请参加开标的投标人代表签名报到，并由评标委员会进行资格审查</w:t>
      </w:r>
      <w:r>
        <w:rPr>
          <w:rFonts w:hint="eastAsia" w:asciiTheme="minorEastAsia" w:hAnsiTheme="minorEastAsia" w:eastAsiaTheme="minorEastAsia" w:cstheme="minorEastAsia"/>
          <w:kern w:val="0"/>
          <w:szCs w:val="24"/>
        </w:rPr>
        <w:t>；</w:t>
      </w:r>
    </w:p>
    <w:p w14:paraId="359907E1">
      <w:pPr>
        <w:ind w:firstLine="482" w:firstLineChars="20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投标人资格审查表</w:t>
      </w:r>
    </w:p>
    <w:tbl>
      <w:tblPr>
        <w:tblStyle w:val="4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670"/>
        <w:gridCol w:w="4078"/>
      </w:tblGrid>
      <w:tr w14:paraId="252F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01" w:type="dxa"/>
            <w:vAlign w:val="center"/>
          </w:tcPr>
          <w:p w14:paraId="4AD01B3A">
            <w:pPr>
              <w:spacing w:line="44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3670" w:type="dxa"/>
            <w:vAlign w:val="center"/>
          </w:tcPr>
          <w:p w14:paraId="2CB16DC4">
            <w:pPr>
              <w:spacing w:line="440" w:lineRule="exact"/>
              <w:ind w:firstLine="480" w:firstLineChars="20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标准</w:t>
            </w:r>
          </w:p>
        </w:tc>
        <w:tc>
          <w:tcPr>
            <w:tcW w:w="4078" w:type="dxa"/>
            <w:vAlign w:val="center"/>
          </w:tcPr>
          <w:p w14:paraId="2DCCCF0C">
            <w:pPr>
              <w:spacing w:line="44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提供材料</w:t>
            </w:r>
          </w:p>
        </w:tc>
      </w:tr>
      <w:tr w14:paraId="6CBA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34EC0AE3">
            <w:pPr>
              <w:spacing w:line="44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3670" w:type="dxa"/>
            <w:vAlign w:val="center"/>
          </w:tcPr>
          <w:p w14:paraId="5E6A65B4">
            <w:pPr>
              <w:spacing w:line="4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rPr>
              <w:t>满足《中华人民共和国政府采购法》第 二十二条规定。</w:t>
            </w:r>
          </w:p>
        </w:tc>
        <w:tc>
          <w:tcPr>
            <w:tcW w:w="4078" w:type="dxa"/>
            <w:vAlign w:val="center"/>
          </w:tcPr>
          <w:p w14:paraId="32CC8FEB">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提供下列材料：①、法人或者其他组织的营业执照等证明文件，自然人的身份证明；②、近1年财务状况报告，近6个月依法缴纳税收和社会保障资金的相关材料；③、具备履行合同所必需的设备和专业技术能力的承诺书；④、参加政府采购活动前 3 年内在经营活动中没有重大违法记录 的书面声明。</w:t>
            </w:r>
          </w:p>
        </w:tc>
      </w:tr>
      <w:tr w14:paraId="7D7E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37F57524">
            <w:pPr>
              <w:spacing w:line="44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3670" w:type="dxa"/>
            <w:vAlign w:val="center"/>
          </w:tcPr>
          <w:p w14:paraId="5E9BC875">
            <w:pPr>
              <w:spacing w:line="4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4078" w:type="dxa"/>
            <w:vAlign w:val="center"/>
          </w:tcPr>
          <w:p w14:paraId="19661D4D">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以采购人或者采购代理机构查询记录为准。</w:t>
            </w:r>
          </w:p>
        </w:tc>
      </w:tr>
      <w:tr w14:paraId="19D9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07D44A4F">
            <w:pPr>
              <w:spacing w:line="44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3670" w:type="dxa"/>
            <w:vAlign w:val="center"/>
          </w:tcPr>
          <w:p w14:paraId="763372C4">
            <w:pPr>
              <w:spacing w:line="440" w:lineRule="exact"/>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rPr>
              <w:t>投标保证金必须按照招标文件要求缴纳。</w:t>
            </w:r>
          </w:p>
        </w:tc>
        <w:tc>
          <w:tcPr>
            <w:tcW w:w="4078" w:type="dxa"/>
            <w:vAlign w:val="center"/>
          </w:tcPr>
          <w:p w14:paraId="2EC6C0A4">
            <w:pPr>
              <w:spacing w:line="440" w:lineRule="exact"/>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rPr>
              <w:t>保证金缴纳凭证：投标人可将本项目保证金支付的汇款凭证、支票、汇票或保证金收据的扫描件作为缴纳凭证制作在投标文件中。</w:t>
            </w:r>
          </w:p>
        </w:tc>
      </w:tr>
      <w:tr w14:paraId="3ACE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1439E739">
            <w:pPr>
              <w:spacing w:line="44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w:t>
            </w:r>
          </w:p>
        </w:tc>
        <w:tc>
          <w:tcPr>
            <w:tcW w:w="3670" w:type="dxa"/>
            <w:vAlign w:val="center"/>
          </w:tcPr>
          <w:p w14:paraId="0C68231E">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本项目专门面对中小企业</w:t>
            </w:r>
          </w:p>
        </w:tc>
        <w:tc>
          <w:tcPr>
            <w:tcW w:w="4078" w:type="dxa"/>
            <w:vAlign w:val="center"/>
          </w:tcPr>
          <w:p w14:paraId="1217EC39">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tc>
      </w:tr>
      <w:tr w14:paraId="366B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gridSpan w:val="3"/>
            <w:vAlign w:val="center"/>
          </w:tcPr>
          <w:p w14:paraId="0EFA6119">
            <w:pPr>
              <w:spacing w:line="440" w:lineRule="exact"/>
              <w:ind w:firstLine="48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投标人的投标文件如出现以上条款不允许或未提供的情况，其投标将被拒绝。</w:t>
            </w:r>
          </w:p>
        </w:tc>
      </w:tr>
    </w:tbl>
    <w:p w14:paraId="5C9F6E18">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如果资格审查造成投标人不足三个的，</w:t>
      </w:r>
      <w:r>
        <w:rPr>
          <w:rFonts w:hint="eastAsia" w:asciiTheme="minorEastAsia" w:hAnsiTheme="minorEastAsia" w:eastAsiaTheme="minorEastAsia" w:cstheme="minorEastAsia"/>
        </w:rPr>
        <w:t>按照招标的相关法规处理。</w:t>
      </w:r>
    </w:p>
    <w:p w14:paraId="6B4F7152">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16.4.2、开标会主持人介绍参加会议的人员。</w:t>
      </w:r>
    </w:p>
    <w:p w14:paraId="61BB587D">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16.4</w:t>
      </w:r>
      <w:r>
        <w:rPr>
          <w:rFonts w:hint="eastAsia" w:asciiTheme="minorEastAsia" w:hAnsiTheme="minorEastAsia" w:eastAsiaTheme="minorEastAsia" w:cstheme="minorEastAsia"/>
          <w:bCs/>
        </w:rPr>
        <w:t>.4、开标会主持人宣布投标文件送达时间是否符合招标文件要求。</w:t>
      </w:r>
    </w:p>
    <w:p w14:paraId="6B3E9D6E">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16.4.5</w:t>
      </w:r>
      <w:r>
        <w:rPr>
          <w:rFonts w:hint="eastAsia" w:asciiTheme="minorEastAsia" w:hAnsiTheme="minorEastAsia" w:eastAsiaTheme="minorEastAsia" w:cstheme="minorEastAsia"/>
          <w:bCs/>
        </w:rPr>
        <w:t>、按招标文件要求开启解密。</w:t>
      </w:r>
    </w:p>
    <w:p w14:paraId="5C2A85FC">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16.4.6</w:t>
      </w:r>
      <w:r>
        <w:rPr>
          <w:rFonts w:hint="eastAsia" w:asciiTheme="minorEastAsia" w:hAnsiTheme="minorEastAsia" w:eastAsiaTheme="minorEastAsia" w:cstheme="minorEastAsia"/>
          <w:bCs/>
        </w:rPr>
        <w:t>、投标人休会，进入评标阶段。</w:t>
      </w:r>
    </w:p>
    <w:p w14:paraId="66630CA8">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16.5投标时间截止后，提交投标文件的投标人不足三家时，按照招标的相关法规处理。</w:t>
      </w:r>
    </w:p>
    <w:p w14:paraId="00E96965">
      <w:pPr>
        <w:pStyle w:val="4"/>
        <w:rPr>
          <w:rFonts w:hint="eastAsia" w:asciiTheme="minorEastAsia" w:hAnsiTheme="minorEastAsia" w:eastAsiaTheme="minorEastAsia" w:cstheme="minorEastAsia"/>
        </w:rPr>
      </w:pPr>
      <w:bookmarkStart w:id="81" w:name="_Toc8199"/>
      <w:r>
        <w:rPr>
          <w:rFonts w:hint="eastAsia" w:asciiTheme="minorEastAsia" w:hAnsiTheme="minorEastAsia" w:eastAsiaTheme="minorEastAsia" w:cstheme="minorEastAsia"/>
        </w:rPr>
        <w:t>17.评标原则及依据</w:t>
      </w:r>
      <w:bookmarkEnd w:id="81"/>
    </w:p>
    <w:p w14:paraId="157CEB6F">
      <w:pPr>
        <w:spacing w:line="440" w:lineRule="exact"/>
        <w:ind w:firstLine="480"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17.1评、定标依据《中华人民共和国政府采购法》、《中华人民共和国政府采购实施条例》、《财政部87号令》及其它政府采购法规等相关规定，遵循公开、公平、公正、竞争的原则。维护采购人、投标人的合法权益，选择对采购人最为有利的投标人或候选投标人。</w:t>
      </w:r>
    </w:p>
    <w:p w14:paraId="7460CD73">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17.2评审的依据为招标文件（包括采购人的招标文件和投标人的投标文件）。</w:t>
      </w:r>
    </w:p>
    <w:p w14:paraId="40B6AF19">
      <w:pPr>
        <w:pStyle w:val="4"/>
        <w:rPr>
          <w:rFonts w:hint="eastAsia" w:asciiTheme="minorEastAsia" w:hAnsiTheme="minorEastAsia" w:eastAsiaTheme="minorEastAsia" w:cstheme="minorEastAsia"/>
        </w:rPr>
      </w:pPr>
      <w:bookmarkStart w:id="82" w:name="_Toc8904"/>
      <w:r>
        <w:rPr>
          <w:rFonts w:hint="eastAsia" w:asciiTheme="minorEastAsia" w:hAnsiTheme="minorEastAsia" w:eastAsiaTheme="minorEastAsia" w:cstheme="minorEastAsia"/>
        </w:rPr>
        <w:t>18.评审</w:t>
      </w:r>
      <w:bookmarkEnd w:id="82"/>
    </w:p>
    <w:p w14:paraId="3B682D1F">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18.1评标委员会</w:t>
      </w:r>
    </w:p>
    <w:p w14:paraId="2697CC5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18.1.1会议将根据</w:t>
      </w:r>
      <w:r>
        <w:rPr>
          <w:rFonts w:hint="eastAsia" w:asciiTheme="minorEastAsia" w:hAnsiTheme="minorEastAsia" w:eastAsiaTheme="minorEastAsia" w:cstheme="minorEastAsia"/>
          <w:kern w:val="0"/>
        </w:rPr>
        <w:t>《中华人民共和国政府采购法》、《中华人民共和国政府采购实施条例》、《财政部87号令》</w:t>
      </w:r>
      <w:r>
        <w:rPr>
          <w:rFonts w:hint="eastAsia" w:asciiTheme="minorEastAsia" w:hAnsiTheme="minorEastAsia" w:eastAsiaTheme="minorEastAsia" w:cstheme="minorEastAsia"/>
        </w:rPr>
        <w:t>相关法律的规定，依法组建本次采购的评标委员会，负责本次评审活动。</w:t>
      </w:r>
    </w:p>
    <w:p w14:paraId="2886E36C">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18.1.2评标委员会人选评审前确定。评标委员会成员名单在中标结果确定前保密。评标工作由评审专家组建的评标委员会承担。评审专家从评审专家库中随机抽取组建评标委员会，其成员由有关技术、经济等方面的专家组成。评标委员会在监督部门的监督下独立完成评标工作，负责对投标文件进行审查、质询、评审、推选中标候选人。评标委员会专家为5人以上的单数。</w:t>
      </w:r>
    </w:p>
    <w:p w14:paraId="59CF7A74">
      <w:pPr>
        <w:pStyle w:val="4"/>
        <w:rPr>
          <w:rFonts w:hint="eastAsia" w:asciiTheme="minorEastAsia" w:hAnsiTheme="minorEastAsia" w:eastAsiaTheme="minorEastAsia" w:cstheme="minorEastAsia"/>
        </w:rPr>
      </w:pPr>
      <w:bookmarkStart w:id="83" w:name="_Toc6310"/>
      <w:r>
        <w:rPr>
          <w:rFonts w:hint="eastAsia" w:asciiTheme="minorEastAsia" w:hAnsiTheme="minorEastAsia" w:eastAsiaTheme="minorEastAsia" w:cstheme="minorEastAsia"/>
        </w:rPr>
        <w:t>19.评审标准</w:t>
      </w:r>
      <w:bookmarkEnd w:id="83"/>
    </w:p>
    <w:p w14:paraId="0799944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19.1评标委员会应当根据招标文件规定的评审标准和方法，对投标文件进行系统地评审和比较。</w:t>
      </w:r>
    </w:p>
    <w:p w14:paraId="29DA1CFE">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19.2、本项目招标定标奉行公开、公平、公正和诚实守信的原则，评审中各评标委员会成员若发生意见分歧，以少数服从多数为原则决定。</w:t>
      </w:r>
    </w:p>
    <w:p w14:paraId="2F9714C4">
      <w:pPr>
        <w:spacing w:line="440" w:lineRule="exact"/>
        <w:ind w:firstLine="48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19.3、本次招标项目采用</w:t>
      </w:r>
      <w:r>
        <w:rPr>
          <w:rFonts w:hint="eastAsia" w:asciiTheme="minorEastAsia" w:hAnsiTheme="minorEastAsia" w:eastAsiaTheme="minorEastAsia" w:cstheme="minorEastAsia"/>
          <w:b/>
          <w:bCs/>
          <w:u w:val="single"/>
        </w:rPr>
        <w:t>综合评分法</w:t>
      </w:r>
      <w:r>
        <w:rPr>
          <w:rFonts w:hint="eastAsia" w:asciiTheme="minorEastAsia" w:hAnsiTheme="minorEastAsia" w:eastAsiaTheme="minorEastAsia" w:cstheme="minorEastAsia"/>
        </w:rPr>
        <w:t>，由评标委员会推荐三名中标候选人，并由评标委员会确定排名第一的中标候选人为中标人</w:t>
      </w:r>
      <w:r>
        <w:rPr>
          <w:rFonts w:hint="eastAsia" w:asciiTheme="minorEastAsia" w:hAnsiTheme="minorEastAsia" w:eastAsiaTheme="minorEastAsia" w:cstheme="minorEastAsia"/>
          <w:b/>
          <w:bCs/>
        </w:rPr>
        <w:t>。</w:t>
      </w:r>
    </w:p>
    <w:p w14:paraId="52046A89">
      <w:pPr>
        <w:spacing w:line="440" w:lineRule="exact"/>
        <w:ind w:firstLine="48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综合评分法，是指在最大限度地满足招标文件实质性要求前提下，按照本招标文件中规定的各项因素进行综合评审后，以评审总得分由高到低</w:t>
      </w:r>
      <w:r>
        <w:rPr>
          <w:rFonts w:hint="eastAsia" w:asciiTheme="minorEastAsia" w:hAnsiTheme="minorEastAsia" w:eastAsiaTheme="minorEastAsia" w:cstheme="minorEastAsia"/>
          <w:b/>
        </w:rPr>
        <w:t>（如果最终得分相同时，则以投标人报价低者优先在前），</w:t>
      </w:r>
      <w:r>
        <w:rPr>
          <w:rFonts w:hint="eastAsia" w:asciiTheme="minorEastAsia" w:hAnsiTheme="minorEastAsia" w:eastAsiaTheme="minorEastAsia" w:cstheme="minorEastAsia"/>
        </w:rPr>
        <w:t>确定中标候选人或中标人的评标办法。</w:t>
      </w:r>
    </w:p>
    <w:bookmarkEnd w:id="24"/>
    <w:p w14:paraId="0E77E09D">
      <w:pPr>
        <w:spacing w:line="440" w:lineRule="exact"/>
        <w:ind w:firstLine="480" w:firstLineChars="200"/>
        <w:rPr>
          <w:rFonts w:hint="eastAsia" w:asciiTheme="minorEastAsia" w:hAnsiTheme="minorEastAsia" w:eastAsiaTheme="minorEastAsia" w:cstheme="minorEastAsia"/>
          <w:bCs/>
        </w:rPr>
      </w:pPr>
      <w:bookmarkStart w:id="84" w:name="_七____中标及合同签订"/>
      <w:bookmarkStart w:id="85" w:name="_Toc374356192"/>
      <w:bookmarkStart w:id="86" w:name="_Toc227423924"/>
      <w:r>
        <w:rPr>
          <w:rFonts w:hint="eastAsia" w:asciiTheme="minorEastAsia" w:hAnsiTheme="minorEastAsia" w:eastAsiaTheme="minorEastAsia" w:cstheme="minorEastAsia"/>
          <w:bCs/>
        </w:rPr>
        <w:t>19.3.1、投标文件的初步评审</w:t>
      </w:r>
    </w:p>
    <w:p w14:paraId="27F0AE85">
      <w:pPr>
        <w:spacing w:line="440" w:lineRule="exact"/>
        <w:ind w:firstLine="480" w:firstLineChars="200"/>
        <w:rPr>
          <w:rFonts w:hint="eastAsia" w:asciiTheme="minorEastAsia" w:hAnsiTheme="minorEastAsia" w:eastAsiaTheme="minorEastAsia" w:cstheme="minorEastAsia"/>
          <w:bCs/>
          <w:szCs w:val="22"/>
        </w:rPr>
      </w:pPr>
      <w:r>
        <w:rPr>
          <w:rFonts w:hint="eastAsia" w:asciiTheme="minorEastAsia" w:hAnsiTheme="minorEastAsia" w:eastAsiaTheme="minorEastAsia" w:cstheme="minorEastAsia"/>
          <w:bCs/>
        </w:rPr>
        <w:t>评标委员会将对投标文件按《</w:t>
      </w:r>
      <w:r>
        <w:rPr>
          <w:rFonts w:hint="eastAsia" w:asciiTheme="minorEastAsia" w:hAnsiTheme="minorEastAsia" w:eastAsiaTheme="minorEastAsia" w:cstheme="minorEastAsia"/>
        </w:rPr>
        <w:t>投标文件完备性及符合性审查标准》</w:t>
      </w:r>
      <w:r>
        <w:rPr>
          <w:rFonts w:hint="eastAsia" w:asciiTheme="minorEastAsia" w:hAnsiTheme="minorEastAsia" w:eastAsiaTheme="minorEastAsia" w:cstheme="minorEastAsia"/>
          <w:bCs/>
        </w:rPr>
        <w:t>初步评审，如果投标文件中有一项未通过审查标准，评标委员会将认定该投标文件不响应</w:t>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bCs/>
        </w:rPr>
        <w:t>而予以废标，并且不允许投标人通过修改或撤销其不符合要求的差异或保留，使之成为</w:t>
      </w:r>
      <w:r>
        <w:rPr>
          <w:rFonts w:hint="eastAsia" w:asciiTheme="minorEastAsia" w:hAnsiTheme="minorEastAsia" w:eastAsiaTheme="minorEastAsia" w:cstheme="minorEastAsia"/>
          <w:bCs/>
          <w:szCs w:val="22"/>
        </w:rPr>
        <w:t>具有响应性的投标。</w:t>
      </w:r>
    </w:p>
    <w:p w14:paraId="5763E2BB">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Cs w:val="22"/>
        </w:rPr>
        <w:t>如果投标文件初步评审造成投标人不足三个的，评标委员会按照招标的相关法规处理。</w:t>
      </w:r>
      <w:bookmarkStart w:id="87" w:name="_Toc315982452"/>
    </w:p>
    <w:p w14:paraId="2DFE058A">
      <w:pPr>
        <w:widowControl/>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p w14:paraId="05273E4D">
      <w:pPr>
        <w:ind w:firstLine="482" w:firstLineChars="20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《投标文件完备性及符合性审查标准》</w:t>
      </w:r>
      <w:bookmarkEnd w:id="87"/>
    </w:p>
    <w:tbl>
      <w:tblPr>
        <w:tblStyle w:val="42"/>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706"/>
      </w:tblGrid>
      <w:tr w14:paraId="188F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4D8DC82B">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7706" w:type="dxa"/>
            <w:vAlign w:val="center"/>
          </w:tcPr>
          <w:p w14:paraId="5344FC4D">
            <w:pPr>
              <w:spacing w:line="380" w:lineRule="exact"/>
              <w:ind w:firstLine="480" w:firstLineChars="20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标准</w:t>
            </w:r>
          </w:p>
        </w:tc>
      </w:tr>
      <w:tr w14:paraId="2176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6634A19E">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7706" w:type="dxa"/>
            <w:vAlign w:val="center"/>
          </w:tcPr>
          <w:p w14:paraId="0C2924D6">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投标文件必须按照招标文件规定要求加盖投标人电子印章、法定代表人电子印章。</w:t>
            </w:r>
          </w:p>
        </w:tc>
      </w:tr>
      <w:tr w14:paraId="2FF3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6652D834">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7706" w:type="dxa"/>
            <w:vAlign w:val="center"/>
          </w:tcPr>
          <w:p w14:paraId="133D40FF">
            <w:pPr>
              <w:spacing w:line="38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评标委员会共同确定有实质上不响应招标文件要求的；</w:t>
            </w:r>
          </w:p>
        </w:tc>
      </w:tr>
      <w:tr w14:paraId="70BF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22AB5DC8">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7706" w:type="dxa"/>
            <w:vAlign w:val="center"/>
          </w:tcPr>
          <w:p w14:paraId="23398565">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招标文件附有采购人不能接受条件的；</w:t>
            </w:r>
          </w:p>
        </w:tc>
      </w:tr>
      <w:tr w14:paraId="03F9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717960D7">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7706" w:type="dxa"/>
            <w:vAlign w:val="center"/>
          </w:tcPr>
          <w:p w14:paraId="5885116A">
            <w:pPr>
              <w:spacing w:line="38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不满足招标文件实质性要求的其他情形；</w:t>
            </w:r>
          </w:p>
        </w:tc>
      </w:tr>
      <w:tr w14:paraId="2CA3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25ECC7D5">
            <w:pPr>
              <w:spacing w:line="3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7706" w:type="dxa"/>
            <w:vAlign w:val="center"/>
          </w:tcPr>
          <w:p w14:paraId="07BB0462">
            <w:pPr>
              <w:spacing w:line="38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报价超过采购预算最高限价的：</w:t>
            </w:r>
          </w:p>
        </w:tc>
      </w:tr>
      <w:tr w14:paraId="168E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7" w:type="dxa"/>
            <w:gridSpan w:val="2"/>
            <w:vAlign w:val="center"/>
          </w:tcPr>
          <w:p w14:paraId="2500461F">
            <w:pPr>
              <w:spacing w:line="380" w:lineRule="exact"/>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投标人的投标文件如出现以上条款不允许或未提供的情况，其投标将被拒绝。</w:t>
            </w:r>
          </w:p>
        </w:tc>
      </w:tr>
    </w:tbl>
    <w:p w14:paraId="7F4E281D">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19.3.3、投标文件的详细评审</w:t>
      </w:r>
    </w:p>
    <w:p w14:paraId="7465CDA1">
      <w:pPr>
        <w:spacing w:line="440" w:lineRule="exact"/>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19.3.3.1、评标委员会将按照《商务部分评分标准》对通过初评的投标文件进行详细评审。</w:t>
      </w:r>
      <w:bookmarkStart w:id="88" w:name="_Hlk170185927"/>
    </w:p>
    <w:p w14:paraId="008E8550">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769D1039">
      <w:pPr>
        <w:spacing w:line="440" w:lineRule="exact"/>
        <w:ind w:firstLine="48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技术标、商务标评分标准</w:t>
      </w:r>
    </w:p>
    <w:bookmarkEnd w:id="88"/>
    <w:tbl>
      <w:tblPr>
        <w:tblStyle w:val="121"/>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137"/>
        <w:gridCol w:w="1002"/>
        <w:gridCol w:w="5670"/>
      </w:tblGrid>
      <w:tr w14:paraId="7D49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55" w:type="dxa"/>
            <w:vAlign w:val="center"/>
          </w:tcPr>
          <w:p w14:paraId="02844376">
            <w:pPr>
              <w:autoSpaceDE w:val="0"/>
              <w:autoSpaceDN w:val="0"/>
              <w:jc w:val="center"/>
              <w:rPr>
                <w:rFonts w:hint="eastAsia" w:asciiTheme="minorEastAsia" w:hAnsiTheme="minorEastAsia" w:eastAsiaTheme="minorEastAsia" w:cstheme="minorEastAsia"/>
                <w:b/>
                <w:bCs/>
                <w:szCs w:val="24"/>
                <w:lang w:eastAsia="en-US"/>
              </w:rPr>
            </w:pPr>
            <w:r>
              <w:rPr>
                <w:rFonts w:hint="eastAsia" w:asciiTheme="minorEastAsia" w:hAnsiTheme="minorEastAsia" w:eastAsiaTheme="minorEastAsia" w:cstheme="minorEastAsia"/>
                <w:b/>
                <w:bCs/>
                <w:szCs w:val="24"/>
                <w:lang w:eastAsia="en-US"/>
              </w:rPr>
              <w:t>序号</w:t>
            </w:r>
          </w:p>
        </w:tc>
        <w:tc>
          <w:tcPr>
            <w:tcW w:w="1137" w:type="dxa"/>
            <w:vAlign w:val="center"/>
          </w:tcPr>
          <w:p w14:paraId="271CC256">
            <w:pPr>
              <w:autoSpaceDE w:val="0"/>
              <w:autoSpaceDN w:val="0"/>
              <w:jc w:val="center"/>
              <w:rPr>
                <w:rFonts w:hint="eastAsia" w:asciiTheme="minorEastAsia" w:hAnsiTheme="minorEastAsia" w:eastAsiaTheme="minorEastAsia" w:cstheme="minorEastAsia"/>
                <w:b/>
                <w:bCs/>
                <w:szCs w:val="24"/>
                <w:lang w:eastAsia="en-US"/>
              </w:rPr>
            </w:pPr>
            <w:r>
              <w:rPr>
                <w:rFonts w:hint="eastAsia" w:asciiTheme="minorEastAsia" w:hAnsiTheme="minorEastAsia" w:eastAsiaTheme="minorEastAsia" w:cstheme="minorEastAsia"/>
                <w:b/>
                <w:bCs/>
                <w:szCs w:val="24"/>
                <w:lang w:eastAsia="en-US"/>
              </w:rPr>
              <w:t>评审项目</w:t>
            </w:r>
          </w:p>
        </w:tc>
        <w:tc>
          <w:tcPr>
            <w:tcW w:w="1002" w:type="dxa"/>
            <w:vAlign w:val="center"/>
          </w:tcPr>
          <w:p w14:paraId="15582720">
            <w:pPr>
              <w:autoSpaceDE w:val="0"/>
              <w:autoSpaceDN w:val="0"/>
              <w:jc w:val="center"/>
              <w:rPr>
                <w:rFonts w:hint="eastAsia" w:asciiTheme="minorEastAsia" w:hAnsiTheme="minorEastAsia" w:eastAsiaTheme="minorEastAsia" w:cstheme="minorEastAsia"/>
                <w:b/>
                <w:bCs/>
                <w:szCs w:val="24"/>
                <w:lang w:eastAsia="en-US"/>
              </w:rPr>
            </w:pPr>
            <w:r>
              <w:rPr>
                <w:rFonts w:hint="eastAsia" w:asciiTheme="minorEastAsia" w:hAnsiTheme="minorEastAsia" w:eastAsiaTheme="minorEastAsia" w:cstheme="minorEastAsia"/>
                <w:b/>
                <w:bCs/>
                <w:spacing w:val="-4"/>
                <w:szCs w:val="24"/>
                <w:lang w:eastAsia="en-US"/>
              </w:rPr>
              <w:t>标准分</w:t>
            </w:r>
          </w:p>
        </w:tc>
        <w:tc>
          <w:tcPr>
            <w:tcW w:w="5670" w:type="dxa"/>
            <w:vAlign w:val="center"/>
          </w:tcPr>
          <w:p w14:paraId="71E1C4D9">
            <w:pPr>
              <w:autoSpaceDE w:val="0"/>
              <w:autoSpaceDN w:val="0"/>
              <w:jc w:val="center"/>
              <w:rPr>
                <w:rFonts w:hint="eastAsia" w:asciiTheme="minorEastAsia" w:hAnsiTheme="minorEastAsia" w:eastAsiaTheme="minorEastAsia" w:cstheme="minorEastAsia"/>
                <w:b/>
                <w:bCs/>
                <w:szCs w:val="24"/>
                <w:lang w:eastAsia="en-US"/>
              </w:rPr>
            </w:pPr>
            <w:r>
              <w:rPr>
                <w:rFonts w:hint="eastAsia" w:asciiTheme="minorEastAsia" w:hAnsiTheme="minorEastAsia" w:eastAsiaTheme="minorEastAsia" w:cstheme="minorEastAsia"/>
                <w:b/>
                <w:bCs/>
                <w:szCs w:val="24"/>
                <w:lang w:eastAsia="en-US"/>
              </w:rPr>
              <w:t>打分标准与分值（保留两位小数</w:t>
            </w:r>
            <w:r>
              <w:rPr>
                <w:rFonts w:hint="eastAsia" w:asciiTheme="minorEastAsia" w:hAnsiTheme="minorEastAsia" w:eastAsiaTheme="minorEastAsia" w:cstheme="minorEastAsia"/>
                <w:b/>
                <w:bCs/>
                <w:spacing w:val="-10"/>
                <w:szCs w:val="24"/>
                <w:lang w:eastAsia="en-US"/>
              </w:rPr>
              <w:t>）</w:t>
            </w:r>
          </w:p>
        </w:tc>
      </w:tr>
      <w:tr w14:paraId="6A7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555" w:type="dxa"/>
            <w:vAlign w:val="center"/>
          </w:tcPr>
          <w:p w14:paraId="0E2FF855">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1</w:t>
            </w:r>
          </w:p>
        </w:tc>
        <w:tc>
          <w:tcPr>
            <w:tcW w:w="1137" w:type="dxa"/>
            <w:vAlign w:val="center"/>
          </w:tcPr>
          <w:p w14:paraId="61569671">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投标报价</w:t>
            </w:r>
          </w:p>
        </w:tc>
        <w:tc>
          <w:tcPr>
            <w:tcW w:w="1002" w:type="dxa"/>
            <w:vAlign w:val="center"/>
          </w:tcPr>
          <w:p w14:paraId="51D6446B">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0-10分</w:t>
            </w:r>
          </w:p>
        </w:tc>
        <w:tc>
          <w:tcPr>
            <w:tcW w:w="5670" w:type="dxa"/>
            <w:vAlign w:val="center"/>
          </w:tcPr>
          <w:p w14:paraId="240B8EC5">
            <w:pPr>
              <w:widowControl/>
              <w:autoSpaceDE w:val="0"/>
              <w:autoSpaceDN w:val="0"/>
              <w:jc w:val="left"/>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bCs/>
                <w:kern w:val="1"/>
                <w:szCs w:val="24"/>
                <w:lang w:eastAsia="en-US"/>
              </w:rPr>
              <w:t>本项目允许供应商按递交响应文件时间的逆顺序作出第二次报价，第二次报价为最终报价。基准价为合理低价，即满足文件要求且报价最低的报价为评标基准价，其价格分为满分。其他供应商的价格分统一按照下列公式计算：磋商报价得分=（磋商基准价／最后磋商报价）×价格权值×100</w:t>
            </w:r>
          </w:p>
        </w:tc>
      </w:tr>
      <w:tr w14:paraId="3D2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55" w:type="dxa"/>
            <w:vAlign w:val="center"/>
          </w:tcPr>
          <w:p w14:paraId="07D4675E">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2</w:t>
            </w:r>
          </w:p>
        </w:tc>
        <w:tc>
          <w:tcPr>
            <w:tcW w:w="1137" w:type="dxa"/>
            <w:vAlign w:val="center"/>
          </w:tcPr>
          <w:p w14:paraId="7A8E27A9">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资信部分</w:t>
            </w:r>
          </w:p>
        </w:tc>
        <w:tc>
          <w:tcPr>
            <w:tcW w:w="1002" w:type="dxa"/>
            <w:vAlign w:val="center"/>
          </w:tcPr>
          <w:p w14:paraId="3A94662C">
            <w:pPr>
              <w:autoSpaceDE w:val="0"/>
              <w:autoSpaceDN w:val="0"/>
              <w:jc w:val="center"/>
              <w:rPr>
                <w:rFonts w:hint="eastAsia" w:asciiTheme="minorEastAsia" w:hAnsiTheme="minorEastAsia" w:eastAsiaTheme="minorEastAsia" w:cstheme="minorEastAsia"/>
                <w:spacing w:val="-5"/>
                <w:szCs w:val="24"/>
                <w:lang w:eastAsia="en-US"/>
              </w:rPr>
            </w:pPr>
            <w:r>
              <w:rPr>
                <w:rFonts w:hint="eastAsia" w:asciiTheme="minorEastAsia" w:hAnsiTheme="minorEastAsia" w:eastAsiaTheme="minorEastAsia" w:cstheme="minorEastAsia"/>
                <w:szCs w:val="24"/>
                <w:lang w:eastAsia="en-US"/>
              </w:rPr>
              <w:t>0-5</w:t>
            </w:r>
            <w:r>
              <w:rPr>
                <w:rFonts w:hint="eastAsia" w:asciiTheme="minorEastAsia" w:hAnsiTheme="minorEastAsia" w:eastAsiaTheme="minorEastAsia" w:cstheme="minorEastAsia"/>
                <w:spacing w:val="-35"/>
                <w:szCs w:val="24"/>
                <w:lang w:eastAsia="en-US"/>
              </w:rPr>
              <w:t>分</w:t>
            </w:r>
          </w:p>
        </w:tc>
        <w:tc>
          <w:tcPr>
            <w:tcW w:w="5670" w:type="dxa"/>
            <w:vAlign w:val="center"/>
          </w:tcPr>
          <w:p w14:paraId="7961EF84">
            <w:pPr>
              <w:widowControl/>
              <w:autoSpaceDE w:val="0"/>
              <w:autoSpaceDN w:val="0"/>
              <w:jc w:val="left"/>
              <w:rPr>
                <w:rFonts w:hint="eastAsia" w:asciiTheme="minorEastAsia" w:hAnsiTheme="minorEastAsia" w:eastAsiaTheme="minorEastAsia" w:cstheme="minorEastAsia"/>
                <w:bCs/>
                <w:kern w:val="1"/>
                <w:szCs w:val="24"/>
                <w:lang w:eastAsia="en-US"/>
              </w:rPr>
            </w:pPr>
            <w:r>
              <w:rPr>
                <w:rFonts w:hint="eastAsia" w:asciiTheme="minorEastAsia" w:hAnsiTheme="minorEastAsia" w:eastAsiaTheme="minorEastAsia" w:cstheme="minorEastAsia"/>
                <w:bCs/>
                <w:kern w:val="1"/>
                <w:szCs w:val="24"/>
                <w:lang w:eastAsia="en-US"/>
              </w:rPr>
              <w:t>供应商具备</w:t>
            </w:r>
            <w:r>
              <w:rPr>
                <w:rFonts w:hint="eastAsia" w:asciiTheme="minorEastAsia" w:hAnsiTheme="minorEastAsia" w:eastAsiaTheme="minorEastAsia" w:cstheme="minorEastAsia"/>
                <w:bCs/>
                <w:kern w:val="1"/>
                <w:szCs w:val="24"/>
                <w:lang w:val="en-US" w:eastAsia="en-US"/>
              </w:rPr>
              <w:t>在有效期内的</w:t>
            </w:r>
            <w:r>
              <w:rPr>
                <w:rFonts w:hint="eastAsia" w:asciiTheme="minorEastAsia" w:hAnsiTheme="minorEastAsia" w:eastAsiaTheme="minorEastAsia" w:cstheme="minorEastAsia"/>
                <w:bCs/>
                <w:kern w:val="1"/>
                <w:szCs w:val="24"/>
                <w:lang w:eastAsia="en-US"/>
              </w:rPr>
              <w:t>ISO</w:t>
            </w:r>
            <w:r>
              <w:rPr>
                <w:rFonts w:hint="eastAsia" w:asciiTheme="minorEastAsia" w:hAnsiTheme="minorEastAsia" w:eastAsiaTheme="minorEastAsia" w:cstheme="minorEastAsia"/>
                <w:bCs/>
                <w:kern w:val="1"/>
                <w:szCs w:val="24"/>
                <w:lang w:val="en-US" w:eastAsia="en-US"/>
              </w:rPr>
              <w:t>9001质量管理</w:t>
            </w:r>
            <w:r>
              <w:rPr>
                <w:rFonts w:hint="eastAsia" w:asciiTheme="minorEastAsia" w:hAnsiTheme="minorEastAsia" w:eastAsiaTheme="minorEastAsia" w:cstheme="minorEastAsia"/>
                <w:bCs/>
                <w:kern w:val="1"/>
                <w:szCs w:val="24"/>
                <w:lang w:eastAsia="en-US"/>
              </w:rPr>
              <w:t>体系认证</w:t>
            </w:r>
            <w:r>
              <w:rPr>
                <w:rFonts w:hint="eastAsia" w:asciiTheme="minorEastAsia" w:hAnsiTheme="minorEastAsia" w:eastAsiaTheme="minorEastAsia" w:cstheme="minorEastAsia"/>
                <w:bCs/>
                <w:kern w:val="1"/>
                <w:szCs w:val="24"/>
                <w:lang w:val="en-US" w:eastAsia="en-US"/>
              </w:rPr>
              <w:t>的</w:t>
            </w:r>
            <w:r>
              <w:rPr>
                <w:rFonts w:hint="eastAsia" w:asciiTheme="minorEastAsia" w:hAnsiTheme="minorEastAsia" w:eastAsiaTheme="minorEastAsia" w:cstheme="minorEastAsia"/>
                <w:bCs/>
                <w:kern w:val="1"/>
                <w:szCs w:val="24"/>
                <w:lang w:eastAsia="en-US"/>
              </w:rPr>
              <w:t>得3分，最多</w:t>
            </w:r>
            <w:r>
              <w:rPr>
                <w:rFonts w:hint="eastAsia" w:asciiTheme="minorEastAsia" w:hAnsiTheme="minorEastAsia" w:eastAsiaTheme="minorEastAsia" w:cstheme="minorEastAsia"/>
                <w:bCs/>
                <w:kern w:val="1"/>
                <w:szCs w:val="24"/>
                <w:lang w:val="en-US" w:eastAsia="zh-CN"/>
              </w:rPr>
              <w:t>5</w:t>
            </w:r>
            <w:bookmarkStart w:id="174" w:name="_GoBack"/>
            <w:bookmarkEnd w:id="174"/>
            <w:r>
              <w:rPr>
                <w:rFonts w:hint="eastAsia" w:asciiTheme="minorEastAsia" w:hAnsiTheme="minorEastAsia" w:eastAsiaTheme="minorEastAsia" w:cstheme="minorEastAsia"/>
                <w:bCs/>
                <w:kern w:val="1"/>
                <w:szCs w:val="24"/>
                <w:lang w:eastAsia="en-US"/>
              </w:rPr>
              <w:t>分；</w:t>
            </w:r>
          </w:p>
        </w:tc>
      </w:tr>
      <w:tr w14:paraId="33A3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trPr>
        <w:tc>
          <w:tcPr>
            <w:tcW w:w="555" w:type="dxa"/>
            <w:vAlign w:val="center"/>
          </w:tcPr>
          <w:p w14:paraId="3C994698">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3</w:t>
            </w:r>
          </w:p>
        </w:tc>
        <w:tc>
          <w:tcPr>
            <w:tcW w:w="1137" w:type="dxa"/>
            <w:vAlign w:val="center"/>
          </w:tcPr>
          <w:p w14:paraId="5F360863">
            <w:pPr>
              <w:autoSpaceDE w:val="0"/>
              <w:autoSpaceDN w:val="0"/>
              <w:jc w:val="center"/>
              <w:rPr>
                <w:rFonts w:hint="eastAsia" w:asciiTheme="minorEastAsia" w:hAnsiTheme="minorEastAsia" w:eastAsiaTheme="minorEastAsia" w:cstheme="minorEastAsia"/>
                <w:szCs w:val="24"/>
                <w:lang w:eastAsia="en-US"/>
              </w:rPr>
            </w:pPr>
            <w:r>
              <w:rPr>
                <w:rFonts w:ascii="宋体" w:hAnsi="宋体"/>
                <w:bCs/>
                <w:szCs w:val="24"/>
                <w:lang w:eastAsia="en-US"/>
              </w:rPr>
              <w:t>巡护服务方案</w:t>
            </w:r>
          </w:p>
        </w:tc>
        <w:tc>
          <w:tcPr>
            <w:tcW w:w="1002" w:type="dxa"/>
            <w:vAlign w:val="center"/>
          </w:tcPr>
          <w:p w14:paraId="36ECAFA2">
            <w:pPr>
              <w:autoSpaceDE w:val="0"/>
              <w:autoSpaceDN w:val="0"/>
              <w:jc w:val="center"/>
              <w:rPr>
                <w:rFonts w:hint="eastAsia" w:asciiTheme="minorEastAsia" w:hAnsiTheme="minorEastAsia" w:eastAsiaTheme="minorEastAsia" w:cstheme="minorEastAsia"/>
                <w:szCs w:val="24"/>
                <w:lang w:eastAsia="en-US"/>
              </w:rPr>
            </w:pPr>
            <w:r>
              <w:rPr>
                <w:rFonts w:hint="eastAsia" w:ascii="宋体" w:hAnsi="宋体"/>
                <w:bCs/>
                <w:szCs w:val="24"/>
                <w:lang w:eastAsia="en-US"/>
              </w:rPr>
              <w:t>0-40</w:t>
            </w:r>
          </w:p>
        </w:tc>
        <w:tc>
          <w:tcPr>
            <w:tcW w:w="5670" w:type="dxa"/>
            <w:vAlign w:val="center"/>
          </w:tcPr>
          <w:p w14:paraId="311AA262">
            <w:pPr>
              <w:pStyle w:val="13"/>
              <w:ind w:firstLine="0"/>
              <w:rPr>
                <w:rFonts w:hint="eastAsia" w:asciiTheme="minorEastAsia" w:hAnsiTheme="minorEastAsia" w:eastAsiaTheme="minorEastAsia" w:cstheme="minorEastAsia"/>
                <w:sz w:val="24"/>
                <w:szCs w:val="24"/>
                <w:lang w:eastAsia="en-US"/>
              </w:rPr>
            </w:pPr>
            <w:r>
              <w:rPr>
                <w:rFonts w:hint="eastAsia" w:hAnsi="宋体" w:cs="宋体"/>
                <w:sz w:val="24"/>
                <w:szCs w:val="24"/>
                <w:lang w:eastAsia="en-US"/>
              </w:rPr>
              <w:t>供应商应从以下几个方面针对本项目做详细总体说明。</w:t>
            </w:r>
            <w:r>
              <w:rPr>
                <w:rFonts w:hint="eastAsia" w:asciiTheme="minorEastAsia" w:hAnsiTheme="minorEastAsia" w:eastAsiaTheme="minorEastAsia" w:cstheme="minorEastAsia"/>
                <w:sz w:val="24"/>
                <w:szCs w:val="24"/>
                <w:lang w:eastAsia="en-US"/>
              </w:rPr>
              <w:t>其内容应包含且不限于：</w:t>
            </w:r>
          </w:p>
          <w:p w14:paraId="65D45CD8">
            <w:pPr>
              <w:pStyle w:val="13"/>
              <w:ind w:firstLine="0"/>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①整体服务目标；</w:t>
            </w:r>
          </w:p>
          <w:p w14:paraId="1EFAC31B">
            <w:pPr>
              <w:pStyle w:val="13"/>
              <w:ind w:firstLine="0"/>
              <w:rPr>
                <w:rFonts w:hint="eastAsia" w:hAnsi="宋体" w:cs="宋体"/>
                <w:sz w:val="24"/>
                <w:szCs w:val="24"/>
                <w:lang w:eastAsia="en-US"/>
              </w:rPr>
            </w:pPr>
            <w:r>
              <w:rPr>
                <w:rFonts w:hint="eastAsia" w:hAnsi="宋体" w:cs="宋体"/>
                <w:sz w:val="24"/>
                <w:szCs w:val="24"/>
                <w:lang w:eastAsia="en-US" w:bidi="ar"/>
              </w:rPr>
              <w:t>②</w:t>
            </w:r>
            <w:r>
              <w:rPr>
                <w:rFonts w:hint="eastAsia" w:hAnsi="宋体" w:cs="宋体"/>
                <w:sz w:val="24"/>
                <w:szCs w:val="24"/>
                <w:lang w:eastAsia="en-US"/>
              </w:rPr>
              <w:t>项目服务内容；</w:t>
            </w:r>
          </w:p>
          <w:p w14:paraId="151BA739">
            <w:pPr>
              <w:pStyle w:val="13"/>
              <w:ind w:firstLine="0"/>
              <w:rPr>
                <w:rFonts w:hint="eastAsia" w:asciiTheme="minorEastAsia" w:hAnsiTheme="minorEastAsia" w:eastAsiaTheme="minorEastAsia" w:cstheme="minorEastAsia"/>
                <w:sz w:val="24"/>
                <w:szCs w:val="24"/>
                <w:lang w:eastAsia="en-US"/>
              </w:rPr>
            </w:pPr>
            <w:r>
              <w:rPr>
                <w:rFonts w:hint="eastAsia" w:hAnsi="宋体" w:cs="宋体"/>
                <w:sz w:val="24"/>
                <w:szCs w:val="24"/>
                <w:lang w:eastAsia="en-US" w:bidi="ar"/>
              </w:rPr>
              <w:t>③项目实施计划</w:t>
            </w:r>
            <w:r>
              <w:rPr>
                <w:rFonts w:hint="eastAsia" w:asciiTheme="minorEastAsia" w:hAnsiTheme="minorEastAsia" w:eastAsiaTheme="minorEastAsia" w:cstheme="minorEastAsia"/>
                <w:sz w:val="24"/>
                <w:szCs w:val="24"/>
                <w:lang w:eastAsia="en-US"/>
              </w:rPr>
              <w:t>；</w:t>
            </w:r>
          </w:p>
          <w:p w14:paraId="60EAE2F6">
            <w:pPr>
              <w:pStyle w:val="13"/>
              <w:ind w:firstLine="0"/>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④</w:t>
            </w:r>
            <w:r>
              <w:rPr>
                <w:rFonts w:hint="eastAsia" w:hAnsi="宋体" w:cs="宋体"/>
                <w:sz w:val="24"/>
                <w:szCs w:val="24"/>
                <w:lang w:eastAsia="en-US"/>
              </w:rPr>
              <w:t>服务体系架构</w:t>
            </w:r>
            <w:r>
              <w:rPr>
                <w:rFonts w:hint="eastAsia" w:asciiTheme="minorEastAsia" w:hAnsiTheme="minorEastAsia" w:eastAsiaTheme="minorEastAsia" w:cstheme="minorEastAsia"/>
                <w:sz w:val="24"/>
                <w:szCs w:val="24"/>
                <w:lang w:eastAsia="en-US"/>
              </w:rPr>
              <w:t>；</w:t>
            </w:r>
          </w:p>
          <w:p w14:paraId="2E11EC7B">
            <w:pPr>
              <w:pStyle w:val="13"/>
              <w:ind w:firstLine="0"/>
              <w:rPr>
                <w:rFonts w:hint="eastAsia" w:hAnsi="宋体" w:cs="宋体"/>
                <w:sz w:val="24"/>
                <w:szCs w:val="24"/>
                <w:lang w:eastAsia="en-US" w:bidi="ar"/>
              </w:rPr>
            </w:pPr>
            <w:r>
              <w:rPr>
                <w:rFonts w:hint="eastAsia" w:asciiTheme="minorEastAsia" w:hAnsiTheme="minorEastAsia" w:eastAsiaTheme="minorEastAsia" w:cstheme="minorEastAsia"/>
                <w:sz w:val="24"/>
                <w:szCs w:val="24"/>
                <w:lang w:eastAsia="en-US"/>
              </w:rPr>
              <w:t>⑤人员组织架构</w:t>
            </w:r>
            <w:r>
              <w:rPr>
                <w:rFonts w:hint="eastAsia" w:hAnsi="宋体" w:cs="宋体"/>
                <w:sz w:val="24"/>
                <w:szCs w:val="24"/>
                <w:lang w:eastAsia="en-US" w:bidi="ar"/>
              </w:rPr>
              <w:t>；</w:t>
            </w:r>
          </w:p>
          <w:p w14:paraId="00AA00DB">
            <w:pPr>
              <w:pStyle w:val="13"/>
              <w:ind w:firstLine="0"/>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⑥</w:t>
            </w:r>
            <w:r>
              <w:rPr>
                <w:rFonts w:hint="eastAsia" w:hAnsi="宋体" w:cs="宋体"/>
                <w:sz w:val="24"/>
                <w:szCs w:val="24"/>
                <w:lang w:eastAsia="en-US" w:bidi="ar"/>
              </w:rPr>
              <w:t>日常运转协调</w:t>
            </w:r>
            <w:r>
              <w:rPr>
                <w:rFonts w:hint="eastAsia" w:asciiTheme="minorEastAsia" w:hAnsiTheme="minorEastAsia" w:eastAsiaTheme="minorEastAsia" w:cstheme="minorEastAsia"/>
                <w:sz w:val="24"/>
                <w:szCs w:val="24"/>
                <w:lang w:eastAsia="en-US"/>
              </w:rPr>
              <w:t>；</w:t>
            </w:r>
          </w:p>
          <w:p w14:paraId="14EF80B1">
            <w:pPr>
              <w:pStyle w:val="13"/>
              <w:ind w:firstLine="0"/>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⑦</w:t>
            </w:r>
            <w:r>
              <w:rPr>
                <w:rFonts w:hint="eastAsia" w:hAnsi="宋体" w:cs="宋体"/>
                <w:sz w:val="24"/>
                <w:szCs w:val="24"/>
                <w:lang w:eastAsia="en-US"/>
              </w:rPr>
              <w:t>应急措施</w:t>
            </w:r>
            <w:r>
              <w:rPr>
                <w:rFonts w:hint="eastAsia" w:asciiTheme="minorEastAsia" w:hAnsiTheme="minorEastAsia" w:eastAsiaTheme="minorEastAsia" w:cstheme="minorEastAsia"/>
                <w:sz w:val="24"/>
                <w:szCs w:val="24"/>
                <w:lang w:eastAsia="en-US"/>
              </w:rPr>
              <w:t>；</w:t>
            </w:r>
          </w:p>
          <w:p w14:paraId="4328C372">
            <w:pPr>
              <w:pStyle w:val="13"/>
              <w:ind w:firstLine="0"/>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⑧质量保证措施等。</w:t>
            </w:r>
          </w:p>
          <w:p w14:paraId="0DDEB3C9">
            <w:pPr>
              <w:pStyle w:val="13"/>
              <w:ind w:firstLine="0"/>
              <w:rPr>
                <w:rFonts w:hint="eastAsia" w:asciiTheme="minorEastAsia" w:hAnsiTheme="minorEastAsia" w:eastAsiaTheme="minorEastAsia" w:cstheme="minorEastAsia"/>
                <w:bCs/>
                <w:kern w:val="1"/>
                <w:sz w:val="24"/>
                <w:szCs w:val="24"/>
                <w:lang w:eastAsia="en-US"/>
              </w:rPr>
            </w:pPr>
            <w:r>
              <w:rPr>
                <w:rFonts w:hint="eastAsia" w:asciiTheme="minorEastAsia" w:hAnsiTheme="minorEastAsia" w:eastAsiaTheme="minorEastAsia" w:cstheme="minorEastAsia"/>
                <w:sz w:val="24"/>
                <w:szCs w:val="24"/>
                <w:lang w:eastAsia="en-US"/>
              </w:rPr>
              <w:t>根据采购方招标需求内容，以上8项内容每有一项未提供的扣5分，全部完整无缺漏的得40分，每有一项不完整或有缺陷的扣</w:t>
            </w:r>
            <w:r>
              <w:rPr>
                <w:rFonts w:asciiTheme="minorEastAsia" w:hAnsiTheme="minorEastAsia" w:eastAsiaTheme="minorEastAsia" w:cstheme="minorEastAsia"/>
                <w:sz w:val="24"/>
                <w:szCs w:val="24"/>
                <w:lang w:eastAsia="en-US"/>
              </w:rPr>
              <w:t>3</w:t>
            </w:r>
            <w:r>
              <w:rPr>
                <w:rFonts w:hint="eastAsia" w:asciiTheme="minorEastAsia" w:hAnsiTheme="minorEastAsia" w:eastAsiaTheme="minorEastAsia" w:cstheme="minorEastAsia"/>
                <w:sz w:val="24"/>
                <w:szCs w:val="24"/>
                <w:lang w:eastAsia="en-US"/>
              </w:rPr>
              <w:t>分，扣完为止。</w:t>
            </w:r>
          </w:p>
        </w:tc>
      </w:tr>
      <w:tr w14:paraId="66B2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trPr>
        <w:tc>
          <w:tcPr>
            <w:tcW w:w="555" w:type="dxa"/>
            <w:vAlign w:val="center"/>
          </w:tcPr>
          <w:p w14:paraId="32CFACCC">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4</w:t>
            </w:r>
          </w:p>
        </w:tc>
        <w:tc>
          <w:tcPr>
            <w:tcW w:w="1137" w:type="dxa"/>
            <w:vAlign w:val="center"/>
          </w:tcPr>
          <w:p w14:paraId="6424DDD5">
            <w:pPr>
              <w:autoSpaceDE w:val="0"/>
              <w:autoSpaceDN w:val="0"/>
              <w:jc w:val="center"/>
              <w:rPr>
                <w:rFonts w:hint="eastAsia" w:asciiTheme="minorEastAsia" w:hAnsiTheme="minorEastAsia" w:eastAsiaTheme="minorEastAsia" w:cstheme="minorEastAsia"/>
                <w:szCs w:val="24"/>
                <w:lang w:eastAsia="en-US"/>
              </w:rPr>
            </w:pPr>
            <w:r>
              <w:rPr>
                <w:rFonts w:hint="eastAsia" w:ascii="宋体" w:hAnsi="宋体" w:cs="宋体"/>
                <w:kern w:val="0"/>
                <w:szCs w:val="24"/>
                <w:lang w:eastAsia="en-US"/>
              </w:rPr>
              <w:t>服务体系及服务情况</w:t>
            </w:r>
          </w:p>
        </w:tc>
        <w:tc>
          <w:tcPr>
            <w:tcW w:w="1002" w:type="dxa"/>
            <w:vAlign w:val="center"/>
          </w:tcPr>
          <w:p w14:paraId="755F1868">
            <w:pPr>
              <w:autoSpaceDE w:val="0"/>
              <w:autoSpaceDN w:val="0"/>
              <w:jc w:val="center"/>
              <w:rPr>
                <w:rFonts w:hint="eastAsia" w:asciiTheme="minorEastAsia" w:hAnsiTheme="minorEastAsia" w:eastAsiaTheme="minorEastAsia" w:cstheme="minorEastAsia"/>
                <w:szCs w:val="24"/>
                <w:lang w:eastAsia="en-US"/>
              </w:rPr>
            </w:pPr>
            <w:r>
              <w:rPr>
                <w:rFonts w:hint="eastAsia" w:ascii="宋体" w:hAnsi="宋体"/>
                <w:bCs/>
                <w:szCs w:val="24"/>
                <w:lang w:eastAsia="en-US"/>
              </w:rPr>
              <w:t>0-30</w:t>
            </w:r>
          </w:p>
        </w:tc>
        <w:tc>
          <w:tcPr>
            <w:tcW w:w="5670" w:type="dxa"/>
            <w:vAlign w:val="center"/>
          </w:tcPr>
          <w:p w14:paraId="5C383A6D">
            <w:pPr>
              <w:widowControl/>
              <w:autoSpaceDE w:val="0"/>
              <w:autoSpaceDN w:val="0"/>
              <w:jc w:val="left"/>
              <w:rPr>
                <w:rFonts w:hint="eastAsia" w:ascii="宋体" w:hAnsi="宋体" w:cs="宋体"/>
                <w:color w:val="242424"/>
                <w:kern w:val="0"/>
                <w:szCs w:val="24"/>
                <w:lang w:eastAsia="en-US"/>
              </w:rPr>
            </w:pPr>
            <w:r>
              <w:rPr>
                <w:rFonts w:hint="eastAsia" w:ascii="宋体" w:hAnsi="宋体" w:cs="宋体"/>
                <w:kern w:val="0"/>
                <w:szCs w:val="24"/>
                <w:lang w:eastAsia="en-US"/>
              </w:rPr>
              <w:t>供应商应</w:t>
            </w:r>
            <w:r>
              <w:rPr>
                <w:rFonts w:hint="eastAsia" w:ascii="宋体" w:hAnsi="宋体" w:cs="宋体"/>
                <w:color w:val="242424"/>
                <w:kern w:val="0"/>
                <w:szCs w:val="24"/>
                <w:lang w:eastAsia="en-US"/>
              </w:rPr>
              <w:t>根据项目需求，提供完善的组织机构及人员。内容应包含：</w:t>
            </w:r>
          </w:p>
          <w:p w14:paraId="7426501F">
            <w:pPr>
              <w:widowControl/>
              <w:autoSpaceDE w:val="0"/>
              <w:autoSpaceDN w:val="0"/>
              <w:jc w:val="left"/>
              <w:rPr>
                <w:rFonts w:hint="eastAsia" w:ascii="宋体" w:hAnsi="宋体" w:cs="宋体"/>
                <w:color w:val="242424"/>
                <w:kern w:val="0"/>
                <w:szCs w:val="24"/>
                <w:lang w:eastAsia="en-US"/>
              </w:rPr>
            </w:pPr>
            <w:r>
              <w:rPr>
                <w:rFonts w:hint="eastAsia" w:asciiTheme="minorEastAsia" w:hAnsiTheme="minorEastAsia" w:eastAsiaTheme="minorEastAsia" w:cstheme="minorEastAsia"/>
                <w:szCs w:val="24"/>
                <w:lang w:eastAsia="en-US"/>
              </w:rPr>
              <w:t>①</w:t>
            </w:r>
            <w:r>
              <w:rPr>
                <w:rFonts w:hint="eastAsia" w:ascii="宋体" w:hAnsi="宋体" w:cs="宋体"/>
                <w:color w:val="242424"/>
                <w:kern w:val="0"/>
                <w:szCs w:val="24"/>
                <w:lang w:eastAsia="en-US"/>
              </w:rPr>
              <w:t>配备人员；</w:t>
            </w:r>
          </w:p>
          <w:p w14:paraId="7CDC9E02">
            <w:pPr>
              <w:widowControl/>
              <w:autoSpaceDE w:val="0"/>
              <w:autoSpaceDN w:val="0"/>
              <w:jc w:val="left"/>
              <w:rPr>
                <w:rFonts w:hint="eastAsia" w:ascii="宋体" w:hAnsi="宋体" w:cs="宋体"/>
                <w:color w:val="242424"/>
                <w:kern w:val="0"/>
                <w:szCs w:val="24"/>
                <w:lang w:eastAsia="en-US"/>
              </w:rPr>
            </w:pPr>
            <w:r>
              <w:rPr>
                <w:rFonts w:hint="eastAsia" w:ascii="宋体" w:hAnsi="宋体" w:cs="宋体"/>
                <w:color w:val="000000"/>
                <w:kern w:val="0"/>
                <w:szCs w:val="24"/>
                <w:lang w:eastAsia="en-US" w:bidi="ar"/>
              </w:rPr>
              <w:t>②</w:t>
            </w:r>
            <w:r>
              <w:rPr>
                <w:rFonts w:hint="eastAsia" w:ascii="宋体" w:hAnsi="宋体" w:cs="宋体"/>
                <w:color w:val="242424"/>
                <w:kern w:val="0"/>
                <w:szCs w:val="24"/>
                <w:lang w:eastAsia="en-US"/>
              </w:rPr>
              <w:t>岗位职责；</w:t>
            </w:r>
          </w:p>
          <w:p w14:paraId="36A6B088">
            <w:pPr>
              <w:widowControl/>
              <w:autoSpaceDE w:val="0"/>
              <w:autoSpaceDN w:val="0"/>
              <w:jc w:val="left"/>
              <w:rPr>
                <w:rFonts w:hint="eastAsia" w:ascii="宋体" w:hAnsi="宋体" w:cs="宋体"/>
                <w:color w:val="242424"/>
                <w:kern w:val="0"/>
                <w:szCs w:val="24"/>
                <w:lang w:eastAsia="en-US"/>
              </w:rPr>
            </w:pPr>
            <w:r>
              <w:rPr>
                <w:rFonts w:hint="eastAsia" w:ascii="宋体" w:hAnsi="宋体" w:cs="宋体"/>
                <w:color w:val="000000"/>
                <w:kern w:val="0"/>
                <w:szCs w:val="24"/>
                <w:lang w:eastAsia="en-US" w:bidi="ar"/>
              </w:rPr>
              <w:t>③</w:t>
            </w:r>
            <w:r>
              <w:rPr>
                <w:rFonts w:hint="eastAsia" w:ascii="宋体" w:hAnsi="宋体" w:cs="宋体"/>
                <w:color w:val="242424"/>
                <w:kern w:val="0"/>
                <w:szCs w:val="24"/>
                <w:lang w:eastAsia="en-US"/>
              </w:rPr>
              <w:t>运维计划；</w:t>
            </w:r>
          </w:p>
          <w:p w14:paraId="33CF2A59">
            <w:pPr>
              <w:widowControl/>
              <w:autoSpaceDE w:val="0"/>
              <w:autoSpaceDN w:val="0"/>
              <w:jc w:val="left"/>
              <w:rPr>
                <w:rFonts w:hint="eastAsia" w:ascii="宋体" w:hAnsi="宋体" w:cs="宋体"/>
                <w:color w:val="242424"/>
                <w:kern w:val="0"/>
                <w:szCs w:val="24"/>
                <w:lang w:eastAsia="en-US"/>
              </w:rPr>
            </w:pPr>
            <w:r>
              <w:rPr>
                <w:rFonts w:hint="eastAsia" w:asciiTheme="minorEastAsia" w:hAnsiTheme="minorEastAsia" w:eastAsiaTheme="minorEastAsia" w:cstheme="minorEastAsia"/>
                <w:szCs w:val="24"/>
                <w:lang w:eastAsia="en-US"/>
              </w:rPr>
              <w:t>④</w:t>
            </w:r>
            <w:r>
              <w:rPr>
                <w:rFonts w:hint="eastAsia" w:ascii="宋体" w:hAnsi="宋体" w:cs="宋体"/>
                <w:color w:val="242424"/>
                <w:kern w:val="0"/>
                <w:szCs w:val="24"/>
                <w:lang w:eastAsia="en-US"/>
              </w:rPr>
              <w:t>工作流程；</w:t>
            </w:r>
          </w:p>
          <w:p w14:paraId="2D98631D">
            <w:pPr>
              <w:widowControl/>
              <w:autoSpaceDE w:val="0"/>
              <w:autoSpaceDN w:val="0"/>
              <w:jc w:val="left"/>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⑤人员协调。</w:t>
            </w:r>
          </w:p>
          <w:p w14:paraId="4A1F0DA7">
            <w:pPr>
              <w:widowControl/>
              <w:autoSpaceDE w:val="0"/>
              <w:autoSpaceDN w:val="0"/>
              <w:jc w:val="left"/>
              <w:rPr>
                <w:lang w:eastAsia="en-US"/>
              </w:rPr>
            </w:pPr>
            <w:r>
              <w:rPr>
                <w:rFonts w:hint="eastAsia"/>
                <w:lang w:eastAsia="en-US"/>
              </w:rPr>
              <w:t>⑥</w:t>
            </w:r>
            <w:r>
              <w:rPr>
                <w:rFonts w:hint="eastAsia" w:asciiTheme="minorEastAsia" w:hAnsiTheme="minorEastAsia" w:eastAsiaTheme="minorEastAsia" w:cstheme="minorEastAsia"/>
                <w:szCs w:val="24"/>
                <w:lang w:eastAsia="en-US"/>
              </w:rPr>
              <w:t>服务规范</w:t>
            </w:r>
          </w:p>
          <w:p w14:paraId="245B8966">
            <w:pPr>
              <w:widowControl/>
              <w:autoSpaceDE w:val="0"/>
              <w:autoSpaceDN w:val="0"/>
              <w:jc w:val="left"/>
              <w:rPr>
                <w:rFonts w:hint="eastAsia" w:asciiTheme="minorEastAsia" w:hAnsiTheme="minorEastAsia" w:eastAsiaTheme="minorEastAsia" w:cstheme="minorEastAsia"/>
                <w:bCs/>
                <w:kern w:val="1"/>
                <w:szCs w:val="24"/>
                <w:lang w:eastAsia="en-US"/>
              </w:rPr>
            </w:pPr>
            <w:r>
              <w:rPr>
                <w:rFonts w:hint="eastAsia" w:hAnsi="宋体" w:cs="宋体" w:eastAsiaTheme="minorEastAsia"/>
                <w:color w:val="242424"/>
                <w:kern w:val="0"/>
                <w:szCs w:val="24"/>
                <w:lang w:eastAsia="en-US"/>
              </w:rPr>
              <w:t>其内容应配备合理、分工明确、有条理性且符合实际情况。</w:t>
            </w:r>
            <w:r>
              <w:rPr>
                <w:rFonts w:hint="eastAsia" w:asciiTheme="minorEastAsia" w:hAnsiTheme="minorEastAsia" w:eastAsiaTheme="minorEastAsia" w:cstheme="minorEastAsia"/>
                <w:szCs w:val="24"/>
                <w:lang w:eastAsia="en-US"/>
              </w:rPr>
              <w:t>以上6项内容每有一项未提供的扣5分，全部完整无缺漏的得30分，每有一项不完整或有缺陷的扣</w:t>
            </w:r>
            <w:r>
              <w:rPr>
                <w:rFonts w:asciiTheme="minorEastAsia" w:hAnsiTheme="minorEastAsia" w:eastAsiaTheme="minorEastAsia" w:cstheme="minorEastAsia"/>
                <w:szCs w:val="24"/>
                <w:lang w:eastAsia="en-US"/>
              </w:rPr>
              <w:t>3</w:t>
            </w:r>
            <w:r>
              <w:rPr>
                <w:rFonts w:hint="eastAsia" w:asciiTheme="minorEastAsia" w:hAnsiTheme="minorEastAsia" w:eastAsiaTheme="minorEastAsia" w:cstheme="minorEastAsia"/>
                <w:szCs w:val="24"/>
                <w:lang w:eastAsia="en-US"/>
              </w:rPr>
              <w:t>分，扣完为止。</w:t>
            </w:r>
          </w:p>
        </w:tc>
      </w:tr>
      <w:tr w14:paraId="237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trPr>
        <w:tc>
          <w:tcPr>
            <w:tcW w:w="555" w:type="dxa"/>
            <w:vAlign w:val="center"/>
          </w:tcPr>
          <w:p w14:paraId="76F01F73">
            <w:pPr>
              <w:autoSpaceDE w:val="0"/>
              <w:autoSpaceDN w:val="0"/>
              <w:jc w:val="center"/>
              <w:rPr>
                <w:rFonts w:hint="eastAsia" w:asciiTheme="minorEastAsia" w:hAnsiTheme="minorEastAsia" w:eastAsiaTheme="minorEastAsia" w:cstheme="minorEastAsia"/>
                <w:spacing w:val="-2"/>
                <w:szCs w:val="24"/>
                <w:lang w:eastAsia="en-US"/>
              </w:rPr>
            </w:pPr>
            <w:r>
              <w:rPr>
                <w:rFonts w:hint="eastAsia" w:asciiTheme="minorEastAsia" w:hAnsiTheme="minorEastAsia" w:eastAsiaTheme="minorEastAsia" w:cstheme="minorEastAsia"/>
                <w:spacing w:val="-2"/>
                <w:szCs w:val="24"/>
                <w:lang w:eastAsia="en-US"/>
              </w:rPr>
              <w:t>5</w:t>
            </w:r>
          </w:p>
        </w:tc>
        <w:tc>
          <w:tcPr>
            <w:tcW w:w="1137" w:type="dxa"/>
            <w:vAlign w:val="center"/>
          </w:tcPr>
          <w:p w14:paraId="74F36F8B">
            <w:pPr>
              <w:autoSpaceDE w:val="0"/>
              <w:autoSpaceDN w:val="0"/>
              <w:jc w:val="center"/>
              <w:rPr>
                <w:rFonts w:hint="eastAsia" w:asciiTheme="minorEastAsia" w:hAnsiTheme="minorEastAsia" w:eastAsiaTheme="minorEastAsia" w:cstheme="minorEastAsia"/>
                <w:spacing w:val="-2"/>
                <w:szCs w:val="24"/>
                <w:lang w:eastAsia="en-US"/>
              </w:rPr>
            </w:pPr>
            <w:r>
              <w:rPr>
                <w:rFonts w:hint="eastAsia" w:ascii="宋体" w:hAnsi="宋体" w:cs="宋体"/>
                <w:kern w:val="0"/>
                <w:szCs w:val="24"/>
                <w:lang w:eastAsia="en-US"/>
              </w:rPr>
              <w:t>突发情况及应急预案</w:t>
            </w:r>
          </w:p>
        </w:tc>
        <w:tc>
          <w:tcPr>
            <w:tcW w:w="1002" w:type="dxa"/>
            <w:vAlign w:val="center"/>
          </w:tcPr>
          <w:p w14:paraId="3A0B0F92">
            <w:pPr>
              <w:autoSpaceDE w:val="0"/>
              <w:autoSpaceDN w:val="0"/>
              <w:jc w:val="center"/>
              <w:rPr>
                <w:rFonts w:hint="eastAsia" w:asciiTheme="minorEastAsia" w:hAnsiTheme="minorEastAsia" w:eastAsiaTheme="minorEastAsia" w:cstheme="minorEastAsia"/>
                <w:spacing w:val="-5"/>
                <w:szCs w:val="24"/>
                <w:lang w:eastAsia="en-US"/>
              </w:rPr>
            </w:pPr>
            <w:r>
              <w:rPr>
                <w:rFonts w:hint="eastAsia" w:ascii="宋体" w:hAnsi="宋体"/>
                <w:bCs/>
                <w:szCs w:val="24"/>
                <w:lang w:eastAsia="en-US"/>
              </w:rPr>
              <w:t>0-15</w:t>
            </w:r>
          </w:p>
        </w:tc>
        <w:tc>
          <w:tcPr>
            <w:tcW w:w="5670" w:type="dxa"/>
            <w:vAlign w:val="center"/>
          </w:tcPr>
          <w:p w14:paraId="5561396B">
            <w:pPr>
              <w:pStyle w:val="13"/>
              <w:ind w:firstLine="0"/>
              <w:rPr>
                <w:rFonts w:hint="eastAsia" w:hAnsi="宋体" w:cs="宋体"/>
                <w:sz w:val="24"/>
                <w:szCs w:val="24"/>
                <w:lang w:eastAsia="en-US"/>
              </w:rPr>
            </w:pPr>
            <w:r>
              <w:rPr>
                <w:rFonts w:hint="eastAsia" w:hAnsi="宋体" w:cs="宋体"/>
                <w:sz w:val="24"/>
                <w:szCs w:val="24"/>
                <w:lang w:eastAsia="en-US"/>
              </w:rPr>
              <w:t>供应商应根据以往经验列出实际可能出现的突发情况，并根据实际情形作出相应有效的解决方案。其解决方案内容应包含：</w:t>
            </w:r>
          </w:p>
          <w:p w14:paraId="0DE48E7F">
            <w:pPr>
              <w:pStyle w:val="13"/>
              <w:ind w:firstLine="0"/>
              <w:rPr>
                <w:rFonts w:hint="eastAsia" w:hAnsi="宋体" w:cs="宋体"/>
                <w:sz w:val="24"/>
                <w:szCs w:val="24"/>
                <w:lang w:eastAsia="en-US"/>
              </w:rPr>
            </w:pPr>
            <w:r>
              <w:rPr>
                <w:rFonts w:hint="eastAsia" w:asciiTheme="minorEastAsia" w:hAnsiTheme="minorEastAsia" w:eastAsiaTheme="minorEastAsia" w:cstheme="minorEastAsia"/>
                <w:sz w:val="24"/>
                <w:szCs w:val="24"/>
                <w:lang w:eastAsia="en-US"/>
              </w:rPr>
              <w:t>①</w:t>
            </w:r>
            <w:r>
              <w:rPr>
                <w:rFonts w:hint="eastAsia" w:hAnsi="宋体" w:cs="宋体"/>
                <w:sz w:val="24"/>
                <w:szCs w:val="24"/>
                <w:lang w:eastAsia="en-US"/>
              </w:rPr>
              <w:t>事先预防措施；</w:t>
            </w:r>
          </w:p>
          <w:p w14:paraId="143B62B3">
            <w:pPr>
              <w:pStyle w:val="13"/>
              <w:ind w:firstLine="0"/>
              <w:rPr>
                <w:rFonts w:hint="eastAsia" w:hAnsi="宋体" w:cs="宋体"/>
                <w:sz w:val="24"/>
                <w:szCs w:val="24"/>
                <w:lang w:eastAsia="en-US"/>
              </w:rPr>
            </w:pPr>
            <w:r>
              <w:rPr>
                <w:rFonts w:hint="eastAsia" w:hAnsi="宋体" w:cs="宋体"/>
                <w:color w:val="000000"/>
                <w:sz w:val="24"/>
                <w:szCs w:val="24"/>
                <w:lang w:eastAsia="en-US" w:bidi="ar"/>
              </w:rPr>
              <w:t>②</w:t>
            </w:r>
            <w:r>
              <w:rPr>
                <w:rFonts w:hint="eastAsia" w:hAnsi="宋体" w:cs="宋体"/>
                <w:sz w:val="24"/>
                <w:szCs w:val="24"/>
                <w:lang w:eastAsia="en-US"/>
              </w:rPr>
              <w:t>事中解决措施；</w:t>
            </w:r>
          </w:p>
          <w:p w14:paraId="45462838">
            <w:pPr>
              <w:pStyle w:val="13"/>
              <w:ind w:firstLine="0"/>
              <w:rPr>
                <w:rFonts w:hint="eastAsia" w:hAnsi="宋体" w:cs="宋体"/>
                <w:sz w:val="24"/>
                <w:szCs w:val="24"/>
                <w:lang w:eastAsia="en-US"/>
              </w:rPr>
            </w:pPr>
            <w:r>
              <w:rPr>
                <w:rFonts w:hint="eastAsia" w:hAnsi="宋体" w:cs="宋体"/>
                <w:color w:val="000000"/>
                <w:sz w:val="24"/>
                <w:szCs w:val="24"/>
                <w:lang w:eastAsia="en-US" w:bidi="ar"/>
              </w:rPr>
              <w:t>③</w:t>
            </w:r>
            <w:r>
              <w:rPr>
                <w:rFonts w:hint="eastAsia" w:hAnsi="宋体" w:cs="宋体"/>
                <w:sz w:val="24"/>
                <w:szCs w:val="24"/>
                <w:lang w:eastAsia="en-US"/>
              </w:rPr>
              <w:t>事后完善措施。</w:t>
            </w:r>
          </w:p>
          <w:p w14:paraId="2F81D937">
            <w:pPr>
              <w:pStyle w:val="13"/>
              <w:ind w:firstLine="0"/>
              <w:rPr>
                <w:rFonts w:hint="eastAsia" w:asciiTheme="minorEastAsia" w:hAnsiTheme="minorEastAsia" w:eastAsiaTheme="minorEastAsia" w:cstheme="minorEastAsia"/>
                <w:bCs/>
                <w:kern w:val="1"/>
                <w:sz w:val="24"/>
                <w:szCs w:val="24"/>
                <w:lang w:eastAsia="en-US"/>
              </w:rPr>
            </w:pPr>
            <w:r>
              <w:rPr>
                <w:rFonts w:hint="eastAsia" w:hAnsi="宋体" w:cs="宋体"/>
                <w:sz w:val="24"/>
                <w:szCs w:val="24"/>
                <w:lang w:eastAsia="en-US"/>
              </w:rPr>
              <w:t>其内容应符合实际情况，与供应商自身的项目方案、服务体系相呼应，针对本项目可执行。</w:t>
            </w:r>
            <w:r>
              <w:rPr>
                <w:rFonts w:hint="eastAsia" w:asciiTheme="minorEastAsia" w:hAnsiTheme="minorEastAsia" w:eastAsiaTheme="minorEastAsia" w:cstheme="minorEastAsia"/>
                <w:sz w:val="24"/>
                <w:szCs w:val="24"/>
                <w:lang w:eastAsia="en-US"/>
              </w:rPr>
              <w:t>以上3项内容每有一项未提供的扣5分，全部完整无缺漏的得15分，每有一项不完整或有缺陷的扣</w:t>
            </w:r>
            <w:r>
              <w:rPr>
                <w:rFonts w:asciiTheme="minorEastAsia" w:hAnsiTheme="minorEastAsia" w:eastAsiaTheme="minorEastAsia" w:cstheme="minorEastAsia"/>
                <w:sz w:val="24"/>
                <w:szCs w:val="24"/>
                <w:lang w:eastAsia="en-US"/>
              </w:rPr>
              <w:t>3</w:t>
            </w:r>
            <w:r>
              <w:rPr>
                <w:rFonts w:hint="eastAsia" w:asciiTheme="minorEastAsia" w:hAnsiTheme="minorEastAsia" w:eastAsiaTheme="minorEastAsia" w:cstheme="minorEastAsia"/>
                <w:sz w:val="24"/>
                <w:szCs w:val="24"/>
                <w:lang w:eastAsia="en-US"/>
              </w:rPr>
              <w:t>分，扣完为止。</w:t>
            </w:r>
          </w:p>
        </w:tc>
      </w:tr>
      <w:tr w14:paraId="1E73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692" w:type="dxa"/>
            <w:gridSpan w:val="2"/>
            <w:vAlign w:val="center"/>
          </w:tcPr>
          <w:p w14:paraId="23F7EB02">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总分</w:t>
            </w:r>
          </w:p>
        </w:tc>
        <w:tc>
          <w:tcPr>
            <w:tcW w:w="1002" w:type="dxa"/>
            <w:vAlign w:val="center"/>
          </w:tcPr>
          <w:p w14:paraId="78FF6605">
            <w:pPr>
              <w:autoSpaceDE w:val="0"/>
              <w:autoSpaceDN w:val="0"/>
              <w:jc w:val="center"/>
              <w:rPr>
                <w:rFonts w:hint="eastAsia" w:asciiTheme="minorEastAsia" w:hAnsiTheme="minorEastAsia" w:eastAsiaTheme="minorEastAsia" w:cstheme="minorEastAsia"/>
                <w:szCs w:val="24"/>
                <w:lang w:eastAsia="en-US"/>
              </w:rPr>
            </w:pPr>
            <w:r>
              <w:rPr>
                <w:rFonts w:hint="eastAsia" w:asciiTheme="minorEastAsia" w:hAnsiTheme="minorEastAsia" w:eastAsiaTheme="minorEastAsia" w:cstheme="minorEastAsia"/>
                <w:szCs w:val="24"/>
                <w:lang w:eastAsia="en-US"/>
              </w:rPr>
              <w:t>100分</w:t>
            </w:r>
          </w:p>
        </w:tc>
        <w:tc>
          <w:tcPr>
            <w:tcW w:w="5670" w:type="dxa"/>
            <w:vAlign w:val="center"/>
          </w:tcPr>
          <w:p w14:paraId="78F9B3CA">
            <w:pPr>
              <w:autoSpaceDE w:val="0"/>
              <w:autoSpaceDN w:val="0"/>
              <w:ind w:left="240" w:leftChars="100"/>
              <w:jc w:val="left"/>
              <w:rPr>
                <w:rFonts w:hint="eastAsia" w:asciiTheme="minorEastAsia" w:hAnsiTheme="minorEastAsia" w:eastAsiaTheme="minorEastAsia" w:cstheme="minorEastAsia"/>
                <w:szCs w:val="24"/>
                <w:lang w:eastAsia="en-US"/>
              </w:rPr>
            </w:pPr>
          </w:p>
        </w:tc>
      </w:tr>
    </w:tbl>
    <w:p w14:paraId="498A1A03"/>
    <w:p w14:paraId="5214CC7D">
      <w:pP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备注：</w:t>
      </w:r>
    </w:p>
    <w:p w14:paraId="02F5CABB">
      <w:pPr>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 若出现综合得分并列时，比较技术得分，此分项得分高者排序在前；若技术得分仍相同，比较商务得分，此分项得分高者排序在前；若商务得分仍相同，则由评标委员会无记名投票，得票高者排序在前。</w:t>
      </w:r>
    </w:p>
    <w:p w14:paraId="2A6F09F4">
      <w:pPr>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 投标文件中缺少某分项时，该分项为0分。</w:t>
      </w:r>
    </w:p>
    <w:p w14:paraId="00DD9AF5">
      <w:pPr>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 各种计算采用插入法，数字均保留两位小数，第三位“四舍五入”。</w:t>
      </w:r>
    </w:p>
    <w:p w14:paraId="508E4DCB">
      <w:pPr>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4）最低报价不是中标的唯一条件。</w:t>
      </w:r>
    </w:p>
    <w:p w14:paraId="7E4B45B3">
      <w:pPr>
        <w:pStyle w:val="4"/>
        <w:rPr>
          <w:rFonts w:hint="eastAsia" w:asciiTheme="minorEastAsia" w:hAnsiTheme="minorEastAsia" w:eastAsiaTheme="minorEastAsia" w:cstheme="minorEastAsia"/>
        </w:rPr>
      </w:pPr>
      <w:bookmarkStart w:id="89" w:name="_Toc15516"/>
      <w:r>
        <w:rPr>
          <w:rFonts w:hint="eastAsia" w:asciiTheme="minorEastAsia" w:hAnsiTheme="minorEastAsia" w:eastAsiaTheme="minorEastAsia" w:cstheme="minorEastAsia"/>
        </w:rPr>
        <w:t>20.定标</w:t>
      </w:r>
      <w:bookmarkEnd w:id="89"/>
    </w:p>
    <w:p w14:paraId="28BDF158">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确定中标候选人的方式：竞争性磋商按照投标人最终得分由高到低顺序确定出各投标人排名顺序确定出前三名作为中标候选人，并由评标委员会确定排名第一的中标候选人为中标人。</w:t>
      </w:r>
    </w:p>
    <w:p w14:paraId="19E086A0">
      <w:pPr>
        <w:spacing w:line="440" w:lineRule="exact"/>
        <w:ind w:left="2" w:leftChars="1" w:firstLine="48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20、中标通知书</w:t>
      </w:r>
    </w:p>
    <w:p w14:paraId="559970CE">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中标公示1个工作日内若无异议，采购人将以书面形式发出《中标通知书》。《中标通知书》将作为签订合同的依据。</w:t>
      </w:r>
    </w:p>
    <w:p w14:paraId="7A897004">
      <w:pPr>
        <w:spacing w:line="440" w:lineRule="exact"/>
        <w:ind w:left="2" w:leftChars="1" w:firstLine="480" w:firstLineChars="200"/>
        <w:rPr>
          <w:rFonts w:hint="eastAsia" w:asciiTheme="minorEastAsia" w:hAnsiTheme="minorEastAsia" w:eastAsiaTheme="minorEastAsia" w:cstheme="minorEastAsia"/>
        </w:rPr>
      </w:pPr>
      <w:r>
        <w:rPr>
          <w:rFonts w:hint="eastAsia" w:ascii="宋体" w:hAnsi="宋体"/>
        </w:rPr>
        <w:t>中标服务费，</w:t>
      </w:r>
      <w:r>
        <w:rPr>
          <w:rFonts w:hint="eastAsia" w:ascii="宋体" w:hAnsi="宋体" w:cs="宋体"/>
        </w:rPr>
        <w:t>依据《招标代理服务收费管理暂行办法》（计价格[2002]1980号）、《关于招标代理服务费收费有关问题的通知》（发改办价格[2003]857号文）、《国家发展改革委关于进一步放开建设项目专业服务价格的通知（发改价格【2015】299号）》，本工程招标代理服务费由中标人支付</w:t>
      </w:r>
      <w:r>
        <w:rPr>
          <w:rFonts w:hint="eastAsia" w:ascii="宋体" w:hAnsi="宋体"/>
        </w:rPr>
        <w:t>。</w:t>
      </w:r>
    </w:p>
    <w:bookmarkEnd w:id="84"/>
    <w:bookmarkEnd w:id="85"/>
    <w:bookmarkEnd w:id="86"/>
    <w:p w14:paraId="059B39D9">
      <w:pPr>
        <w:pStyle w:val="4"/>
        <w:rPr>
          <w:rFonts w:hint="eastAsia" w:asciiTheme="minorEastAsia" w:hAnsiTheme="minorEastAsia" w:eastAsiaTheme="minorEastAsia" w:cstheme="minorEastAsia"/>
        </w:rPr>
      </w:pPr>
      <w:bookmarkStart w:id="90" w:name="_Toc52"/>
      <w:r>
        <w:rPr>
          <w:rFonts w:hint="eastAsia" w:asciiTheme="minorEastAsia" w:hAnsiTheme="minorEastAsia" w:eastAsiaTheme="minorEastAsia" w:cstheme="minorEastAsia"/>
        </w:rPr>
        <w:t>21.合同签订</w:t>
      </w:r>
      <w:bookmarkEnd w:id="90"/>
    </w:p>
    <w:p w14:paraId="2F06FEFE">
      <w:pPr>
        <w:pStyle w:val="15"/>
        <w:ind w:firstLine="482" w:firstLineChars="200"/>
        <w:jc w:val="both"/>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21.合同签订</w:t>
      </w:r>
    </w:p>
    <w:p w14:paraId="3A7122DA">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21.1、签订合同前，采购人可对中标人的投标文件（含答复、补充文件）进行真实性查验，凡有虚假的，其中标无效，并依据有关规定给予违法违规处理。</w:t>
      </w:r>
    </w:p>
    <w:p w14:paraId="2152D11A">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21.2、采购人与中标投标人应当在中标通知书发出之日起30日内，按照招标文件确定的合同文本以及采购标的、采购金额、采购数量、技术和服务要求等事项签订政府采购合同。</w:t>
      </w:r>
    </w:p>
    <w:p w14:paraId="012C8600">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21.3、本招标文件（含补充、修改文件）、中标人的投标文件（含答复、补充文件）均为签订合同的依据。</w:t>
      </w:r>
    </w:p>
    <w:p w14:paraId="241D6047">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21.4、采购人不得向中标人提出任何不合理的要求，作为签订合同的条件；不得与中标人私下订立背离合同实质性内容的协议。</w:t>
      </w:r>
    </w:p>
    <w:p w14:paraId="16035911">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21.5、中标人因不可抗力或自身原因不能签订招标合同或者不能履行合同的，采购人可以按中标候选顺序依次递进确定新的中标人并签订合同，以此类推，或重新进行招标。</w:t>
      </w:r>
    </w:p>
    <w:p w14:paraId="197C94EB">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21.6、采购人在授予合同时有权对本招标文件规定的服务予以适当的增加或减少，可以根据实际情况规定处罚或奖励条件，但不得改变单价或其他条款和条件。</w:t>
      </w:r>
    </w:p>
    <w:p w14:paraId="5B69ABE3">
      <w:pPr>
        <w:spacing w:line="440" w:lineRule="exact"/>
        <w:ind w:left="2" w:leftChars="1"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21.7、除本招标文件另有规定外，中标人应当按照合同约定履行义务，完成中标项目，不得将中标项目转让给他人，也不得将中标项目进行分包转让。</w:t>
      </w:r>
    </w:p>
    <w:p w14:paraId="7FF4019C">
      <w:pPr>
        <w:spacing w:line="440" w:lineRule="exact"/>
        <w:ind w:left="2" w:leftChars="1" w:firstLine="480" w:firstLineChars="200"/>
        <w:rPr>
          <w:rFonts w:hint="eastAsia" w:asciiTheme="minorEastAsia" w:hAnsiTheme="minorEastAsia" w:eastAsiaTheme="minorEastAsia" w:cstheme="minorEastAsia"/>
        </w:rPr>
      </w:pPr>
    </w:p>
    <w:p w14:paraId="4EEEB39C">
      <w:pPr>
        <w:pStyle w:val="4"/>
        <w:rPr>
          <w:rFonts w:hint="eastAsia" w:asciiTheme="minorEastAsia" w:hAnsiTheme="minorEastAsia" w:eastAsiaTheme="minorEastAsia" w:cstheme="minorEastAsia"/>
        </w:rPr>
      </w:pPr>
      <w:bookmarkStart w:id="91" w:name="_Toc227423926"/>
      <w:bookmarkStart w:id="92" w:name="_Toc9843"/>
      <w:r>
        <w:rPr>
          <w:rFonts w:hint="eastAsia" w:asciiTheme="minorEastAsia" w:hAnsiTheme="minorEastAsia" w:eastAsiaTheme="minorEastAsia" w:cstheme="minorEastAsia"/>
        </w:rPr>
        <w:t>22.质疑</w:t>
      </w:r>
      <w:bookmarkEnd w:id="91"/>
      <w:bookmarkEnd w:id="92"/>
    </w:p>
    <w:p w14:paraId="366D3DEA">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22.1、投标人对中标公示有异议的，应当在中标公示发布之日起5个工作日内，以书面形式向招标单位提出质疑。</w:t>
      </w:r>
    </w:p>
    <w:p w14:paraId="17ED1679">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22.2、质疑书应列明理由、依据，法人代表或授权代表签字，并加盖单位公章。未署名、未加盖投标人公章和非书面形式的质疑，招标单位概不受理。</w:t>
      </w:r>
    </w:p>
    <w:p w14:paraId="7D83D8F9">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22.3、投标人提出质疑应符合下列条件：</w:t>
      </w:r>
    </w:p>
    <w:p w14:paraId="4627D16D">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（一）参与了所质疑项目的招标活动；</w:t>
      </w:r>
    </w:p>
    <w:p w14:paraId="009A1DF0">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（二）在质疑有效期内提出质疑；</w:t>
      </w:r>
    </w:p>
    <w:p w14:paraId="337B43C6">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（三）质疑书格式和内容均符合本通知规定；</w:t>
      </w:r>
    </w:p>
    <w:p w14:paraId="1AE3D6A1">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（四）质疑事项属于被质疑人组织的所质疑招标活动范围内的事项；</w:t>
      </w:r>
    </w:p>
    <w:p w14:paraId="31AD9958">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（五）证据真实，来源合法；</w:t>
      </w:r>
    </w:p>
    <w:p w14:paraId="6BE0A5A9">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22.4、招标单位应当在收到投标人书面质疑后七个工作日内，对质疑内容做出书面答复，但涉及商业秘密内容的除外。</w:t>
      </w:r>
    </w:p>
    <w:p w14:paraId="2440410A">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22.5投标人须对质疑内容的真实性承担责任。</w:t>
      </w:r>
    </w:p>
    <w:p w14:paraId="500BE96F">
      <w:pPr>
        <w:pStyle w:val="4"/>
        <w:rPr>
          <w:rFonts w:hint="eastAsia" w:asciiTheme="minorEastAsia" w:hAnsiTheme="minorEastAsia" w:eastAsiaTheme="minorEastAsia" w:cstheme="minorEastAsia"/>
        </w:rPr>
      </w:pPr>
      <w:bookmarkStart w:id="93" w:name="_Toc8792"/>
      <w:r>
        <w:rPr>
          <w:rFonts w:hint="eastAsia" w:asciiTheme="minorEastAsia" w:hAnsiTheme="minorEastAsia" w:eastAsiaTheme="minorEastAsia" w:cstheme="minorEastAsia"/>
        </w:rPr>
        <w:t>23.投诉</w:t>
      </w:r>
      <w:bookmarkEnd w:id="93"/>
    </w:p>
    <w:p w14:paraId="74072821">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23.1、质疑投标人对招标单位的答复不满意或者招标单位未在规定时间内答复的，可以在答复期满后七个工作日内按有关规定，向主管部门投诉。</w:t>
      </w:r>
    </w:p>
    <w:p w14:paraId="519B6DE7">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23.2、处理投诉事项期间，暂停签订合同等活动，但暂停时间最长不得超过三十日。</w:t>
      </w:r>
    </w:p>
    <w:p w14:paraId="52D410C2">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23.4、投标人投诉实行实名制，其投诉应当有具体的投诉事项及事实根据，不得进行虚假、恶意投诉。</w:t>
      </w:r>
    </w:p>
    <w:p w14:paraId="2C93B426">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23.5、投诉人提起投诉应当符合下列条件：</w:t>
      </w:r>
    </w:p>
    <w:p w14:paraId="3972EF32">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（一）投诉人是参与所投诉招标活动的投标人；</w:t>
      </w:r>
    </w:p>
    <w:p w14:paraId="094F1F65">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（二）提起投诉前已依法进行质疑；</w:t>
      </w:r>
    </w:p>
    <w:p w14:paraId="3B740B15">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（三）投诉书内容符合招标文件的规定；</w:t>
      </w:r>
    </w:p>
    <w:p w14:paraId="6DD9F09B">
      <w:pPr>
        <w:spacing w:line="44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（四）在投诉有效期限内提起投诉；</w:t>
      </w:r>
    </w:p>
    <w:p w14:paraId="5CF04B30">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23.6、投诉人有下列情形之一的，属于虚假、恶意投诉，采购人应当驳回投诉，将其列入不良行为记录名单：</w:t>
      </w:r>
    </w:p>
    <w:p w14:paraId="09816B66">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（一）一年内三次以上投诉均查无实据的；</w:t>
      </w:r>
    </w:p>
    <w:p w14:paraId="4501DE4E">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（二）捏造事实或者提供虚假投诉材料的。</w:t>
      </w:r>
      <w:bookmarkStart w:id="94" w:name="_Toc374356200"/>
      <w:bookmarkStart w:id="95" w:name="_Toc301273125"/>
      <w:bookmarkStart w:id="96" w:name="_Toc374356199"/>
      <w:bookmarkStart w:id="97" w:name="_Toc227520434"/>
    </w:p>
    <w:bookmarkEnd w:id="94"/>
    <w:bookmarkEnd w:id="95"/>
    <w:bookmarkEnd w:id="96"/>
    <w:p w14:paraId="73BA1D4A">
      <w:pPr>
        <w:widowControl/>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14:paraId="4602A09C">
      <w:pPr>
        <w:pStyle w:val="3"/>
        <w:spacing w:line="400" w:lineRule="exact"/>
        <w:rPr>
          <w:rFonts w:hint="eastAsia" w:asciiTheme="minorEastAsia" w:hAnsiTheme="minorEastAsia" w:eastAsiaTheme="minorEastAsia" w:cstheme="minorEastAsia"/>
          <w:szCs w:val="32"/>
        </w:rPr>
      </w:pPr>
      <w:bookmarkStart w:id="98" w:name="_Toc23986"/>
      <w:r>
        <w:rPr>
          <w:rFonts w:hint="eastAsia" w:asciiTheme="minorEastAsia" w:hAnsiTheme="minorEastAsia" w:eastAsiaTheme="minorEastAsia" w:cstheme="minorEastAsia"/>
          <w:szCs w:val="32"/>
        </w:rPr>
        <w:t>合同条款</w:t>
      </w:r>
      <w:bookmarkEnd w:id="98"/>
    </w:p>
    <w:p w14:paraId="6DD85CE8">
      <w:pPr>
        <w:jc w:val="center"/>
        <w:rPr>
          <w:rFonts w:hint="eastAsia" w:asciiTheme="minorEastAsia" w:hAnsiTheme="minorEastAsia" w:eastAsiaTheme="minorEastAsia" w:cstheme="minorEastAsia"/>
          <w:sz w:val="28"/>
          <w:szCs w:val="28"/>
        </w:rPr>
      </w:pPr>
      <w:bookmarkStart w:id="99" w:name="_Toc296890982"/>
      <w:bookmarkStart w:id="100" w:name="_Toc296503025"/>
      <w:r>
        <w:rPr>
          <w:rFonts w:hint="eastAsia" w:asciiTheme="minorEastAsia" w:hAnsiTheme="minorEastAsia" w:eastAsiaTheme="minorEastAsia" w:cstheme="minorEastAsia"/>
          <w:sz w:val="28"/>
          <w:szCs w:val="28"/>
        </w:rPr>
        <w:t>（此合同样本仅供参考,合同具体条款以双方最终签订的为准。）</w:t>
      </w:r>
    </w:p>
    <w:p w14:paraId="2071212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合同编号：</w:t>
      </w:r>
      <w:r>
        <w:rPr>
          <w:rFonts w:hint="eastAsia" w:asciiTheme="minorEastAsia" w:hAnsiTheme="minorEastAsia" w:eastAsiaTheme="minorEastAsia" w:cstheme="minorEastAsia"/>
          <w:u w:val="single"/>
        </w:rPr>
        <w:t xml:space="preserve">                                                              </w:t>
      </w:r>
    </w:p>
    <w:p w14:paraId="2F10916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xml:space="preserve">                                                              </w:t>
      </w:r>
    </w:p>
    <w:p w14:paraId="29A61E6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甲    方：</w:t>
      </w:r>
      <w:r>
        <w:rPr>
          <w:rFonts w:hint="eastAsia" w:asciiTheme="minorEastAsia" w:hAnsiTheme="minorEastAsia" w:eastAsiaTheme="minorEastAsia" w:cstheme="minorEastAsia"/>
          <w:u w:val="single"/>
        </w:rPr>
        <w:t xml:space="preserve">                                                              </w:t>
      </w:r>
    </w:p>
    <w:p w14:paraId="64E8A83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 xml:space="preserve">                                                              </w:t>
      </w:r>
    </w:p>
    <w:p w14:paraId="4C8AF1B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乙    方：</w:t>
      </w:r>
      <w:r>
        <w:rPr>
          <w:rFonts w:hint="eastAsia" w:asciiTheme="minorEastAsia" w:hAnsiTheme="minorEastAsia" w:eastAsiaTheme="minorEastAsia" w:cstheme="minorEastAsia"/>
          <w:u w:val="single"/>
        </w:rPr>
        <w:t xml:space="preserve">                                                              </w:t>
      </w:r>
    </w:p>
    <w:p w14:paraId="096702B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 xml:space="preserve">                                                              </w:t>
      </w:r>
    </w:p>
    <w:p w14:paraId="4FE02A8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鉴于甲、乙双方在友好协商的基础上，就以下事项达成一致意见，特订立本合同：</w:t>
      </w:r>
    </w:p>
    <w:p w14:paraId="65CB72A6">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第一条、服务内容</w:t>
      </w:r>
    </w:p>
    <w:p w14:paraId="48FA37B3">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1.1甲方委托乙方提供以下服务（以下简称"服务"）：</w:t>
      </w:r>
    </w:p>
    <w:p w14:paraId="4237AF5C">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【详细的服务内容描述】</w:t>
      </w:r>
    </w:p>
    <w:p w14:paraId="6D4F3463">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1.2甲方及乙方同意按照本合同约定的方式进行服务，并保证积极履行合同义务。</w:t>
      </w:r>
    </w:p>
    <w:p w14:paraId="12999D3F">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第二条、服务期限</w:t>
      </w:r>
    </w:p>
    <w:p w14:paraId="2A32474A">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2.1本合同的服务期限为</w:t>
      </w:r>
      <w:r>
        <w:rPr>
          <w:rFonts w:hint="eastAsia" w:asciiTheme="minorEastAsia" w:hAnsiTheme="minorEastAsia" w:eastAsiaTheme="minorEastAsia" w:cstheme="minorEastAsia"/>
          <w:u w:val="single"/>
        </w:rPr>
        <w:t>一年</w:t>
      </w: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日止。</w:t>
      </w:r>
    </w:p>
    <w:p w14:paraId="65E5ADB5">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2.2在服务期限届满前，双方如有需要，可协商续签或变更本合同。</w:t>
      </w:r>
    </w:p>
    <w:p w14:paraId="3745F210">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第三条、服务费用及支付方式</w:t>
      </w:r>
    </w:p>
    <w:p w14:paraId="11642C94">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3.1乙方提供的服务，甲方应按照以下方式支付服务费用：</w:t>
      </w:r>
    </w:p>
    <w:p w14:paraId="4B0ED84C">
      <w:pPr>
        <w:ind w:firstLine="480" w:firstLineChars="200"/>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u w:val="single"/>
        </w:rPr>
        <w:t>合同签订30日内支付合同总价款的40%，合同执行5个月后的15日内支付总价款的15%，合同完成并通过验收后15日内支付总价款的45%。</w:t>
      </w:r>
    </w:p>
    <w:p w14:paraId="138CADBC">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3.2甲方需按约定时间和方式向乙方支付服务费用。如逾期未支付，甲方将承担相应的逾期违约责任，包括但不限于支付滞纳金等。</w:t>
      </w:r>
    </w:p>
    <w:p w14:paraId="16F1BBC6">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第四条、保密条款</w:t>
      </w:r>
    </w:p>
    <w:p w14:paraId="52BD506D">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4.1双方同意在本合同履行过程中获悉的有关对方商业秘密、经营策略、技术信息等不对外披露，除非征得对方明确书面同意。</w:t>
      </w:r>
    </w:p>
    <w:p w14:paraId="43C359F6">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4.2本条款的保密义务在本合同终止或解除后仍然有效，不因任何原因而失效。</w:t>
      </w:r>
    </w:p>
    <w:p w14:paraId="385F0F94">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第五条、违约责任</w:t>
      </w:r>
    </w:p>
    <w:p w14:paraId="31E5791B">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5.1如任何一方违反本合同约定，给对方造成损失的，应承担相应的赔偿责任。</w:t>
      </w:r>
    </w:p>
    <w:p w14:paraId="4B63E091">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5.2如因不可抗力等不可预见的原因导致无法履行本合同的，双方可协商解决或终止本合同，并在双方合理范围内取得协议。</w:t>
      </w:r>
    </w:p>
    <w:p w14:paraId="51AAF9C2">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第六条、合同解除与终止</w:t>
      </w:r>
    </w:p>
    <w:p w14:paraId="273C7493">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6.1在以下情况下，本合同可以被单方解除：</w:t>
      </w:r>
    </w:p>
    <w:p w14:paraId="5550F0DC">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（1）一方严重违反本合同约定，经另一方书面通知后，未在合理期限内纠正；</w:t>
      </w:r>
    </w:p>
    <w:p w14:paraId="1D351060">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（2）一方发生严重经营困难，无法履行合同义务。</w:t>
      </w:r>
    </w:p>
    <w:p w14:paraId="17C1EE4C">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6.2在本合同终止下，双方应及时结算未完成的服务费用，并处理好双方合同关系的相关事宜。</w:t>
      </w:r>
    </w:p>
    <w:p w14:paraId="05DF8EAA">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第七条、争议解决</w:t>
      </w:r>
    </w:p>
    <w:p w14:paraId="6C70B3F2">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7.1双方因本合同的履行发生争议时，应协商解决。协商不成的，双方可向有管辖权的人民法院提起诉讼。</w:t>
      </w:r>
    </w:p>
    <w:p w14:paraId="3AB440DA">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第八条、其他约定</w:t>
      </w:r>
    </w:p>
    <w:p w14:paraId="3028C170">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8.1本合同未尽事宜，双方可通过书面协议进行补充或变更。</w:t>
      </w:r>
    </w:p>
    <w:p w14:paraId="2691C227">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8.2本合同在有效期内，未经双方书面同意，不得转让给第三方或转包给第三方。</w:t>
      </w:r>
    </w:p>
    <w:p w14:paraId="40D20B30">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8.3本合同以中文文本为准，一式两份，甲乙双方各执一份，具有同等法律效力。</w:t>
      </w:r>
    </w:p>
    <w:p w14:paraId="5504130B">
      <w:pPr>
        <w:ind w:firstLine="480" w:firstLineChars="200"/>
        <w:rPr>
          <w:rFonts w:hint="eastAsia" w:asciiTheme="minorEastAsia" w:hAnsiTheme="minorEastAsia" w:eastAsiaTheme="minorEastAsia" w:cstheme="minorEastAsia"/>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5AE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85B685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甲方（公章）：</w:t>
            </w:r>
          </w:p>
        </w:tc>
        <w:tc>
          <w:tcPr>
            <w:tcW w:w="4261" w:type="dxa"/>
          </w:tcPr>
          <w:p w14:paraId="05BE6ED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乙方（公章）：</w:t>
            </w:r>
          </w:p>
        </w:tc>
      </w:tr>
      <w:tr w14:paraId="6CF0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4A5B1D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p>
        </w:tc>
        <w:tc>
          <w:tcPr>
            <w:tcW w:w="4261" w:type="dxa"/>
          </w:tcPr>
          <w:p w14:paraId="23A430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p>
        </w:tc>
      </w:tr>
      <w:tr w14:paraId="6FF5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31AF63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法定代表人（签章）：</w:t>
            </w:r>
          </w:p>
        </w:tc>
        <w:tc>
          <w:tcPr>
            <w:tcW w:w="4261" w:type="dxa"/>
          </w:tcPr>
          <w:p w14:paraId="1C65298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法定代表人（签章）：</w:t>
            </w:r>
          </w:p>
        </w:tc>
      </w:tr>
      <w:tr w14:paraId="23A4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4F2FE91">
            <w:pPr>
              <w:rPr>
                <w:rFonts w:hint="eastAsia" w:asciiTheme="minorEastAsia" w:hAnsiTheme="minorEastAsia" w:eastAsiaTheme="minorEastAsia" w:cstheme="minorEastAsia"/>
              </w:rPr>
            </w:pPr>
          </w:p>
        </w:tc>
        <w:tc>
          <w:tcPr>
            <w:tcW w:w="4261" w:type="dxa"/>
          </w:tcPr>
          <w:p w14:paraId="391CDF03">
            <w:pPr>
              <w:rPr>
                <w:rFonts w:hint="eastAsia" w:asciiTheme="minorEastAsia" w:hAnsiTheme="minorEastAsia" w:eastAsiaTheme="minorEastAsia" w:cstheme="minorEastAsia"/>
              </w:rPr>
            </w:pPr>
          </w:p>
        </w:tc>
      </w:tr>
      <w:tr w14:paraId="5D00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FCC63F4">
            <w:pPr>
              <w:rPr>
                <w:rFonts w:hint="eastAsia" w:asciiTheme="minorEastAsia" w:hAnsiTheme="minorEastAsia" w:eastAsiaTheme="minorEastAsia" w:cstheme="minorEastAsia"/>
              </w:rPr>
            </w:pPr>
          </w:p>
        </w:tc>
        <w:tc>
          <w:tcPr>
            <w:tcW w:w="4261" w:type="dxa"/>
          </w:tcPr>
          <w:p w14:paraId="0F236C59">
            <w:pPr>
              <w:rPr>
                <w:rFonts w:hint="eastAsia" w:asciiTheme="minorEastAsia" w:hAnsiTheme="minorEastAsia" w:eastAsiaTheme="minorEastAsia" w:cstheme="minorEastAsia"/>
              </w:rPr>
            </w:pPr>
          </w:p>
        </w:tc>
      </w:tr>
      <w:tr w14:paraId="40A0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6F3ADF97">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tc>
      </w:tr>
    </w:tbl>
    <w:p w14:paraId="6E695DB1">
      <w:pPr>
        <w:widowControl/>
        <w:spacing w:line="240" w:lineRule="auto"/>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kern w:val="0"/>
          <w:sz w:val="28"/>
          <w:szCs w:val="28"/>
        </w:rPr>
        <w:br w:type="page"/>
      </w:r>
    </w:p>
    <w:bookmarkEnd w:id="99"/>
    <w:bookmarkEnd w:id="100"/>
    <w:p w14:paraId="5B3C4D2E">
      <w:pPr>
        <w:pStyle w:val="3"/>
        <w:rPr>
          <w:rFonts w:hint="eastAsia" w:asciiTheme="minorEastAsia" w:hAnsiTheme="minorEastAsia" w:eastAsiaTheme="minorEastAsia" w:cstheme="minorEastAsia"/>
        </w:rPr>
      </w:pPr>
      <w:bookmarkStart w:id="101" w:name="_Toc28085"/>
      <w:r>
        <w:rPr>
          <w:rFonts w:hint="eastAsia" w:asciiTheme="minorEastAsia" w:hAnsiTheme="minorEastAsia" w:eastAsiaTheme="minorEastAsia" w:cstheme="minorEastAsia"/>
        </w:rPr>
        <w:t>招标需求</w:t>
      </w:r>
      <w:bookmarkEnd w:id="101"/>
    </w:p>
    <w:bookmarkEnd w:id="97"/>
    <w:p w14:paraId="3369BD8C">
      <w:pPr>
        <w:widowControl/>
        <w:spacing w:line="240" w:lineRule="auto"/>
        <w:jc w:val="left"/>
        <w:rPr>
          <w:rFonts w:hint="eastAsia" w:ascii="宋体" w:hAnsi="宋体" w:cs="宋体"/>
          <w:sz w:val="28"/>
        </w:rPr>
      </w:pPr>
      <w:bookmarkStart w:id="102" w:name="_Toc297185422"/>
      <w:bookmarkStart w:id="103" w:name="_Toc227520435"/>
      <w:bookmarkStart w:id="104" w:name="_Toc374356201"/>
      <w:bookmarkStart w:id="105" w:name="_Toc216775388"/>
      <w:r>
        <w:rPr>
          <w:rFonts w:hint="eastAsia" w:ascii="宋体" w:hAnsi="宋体" w:cs="宋体"/>
          <w:sz w:val="28"/>
        </w:rPr>
        <w:t>1项目背景</w:t>
      </w:r>
    </w:p>
    <w:p w14:paraId="7A99638C">
      <w:pPr>
        <w:widowControl/>
        <w:spacing w:line="240" w:lineRule="auto"/>
        <w:ind w:firstLine="560" w:firstLineChars="200"/>
        <w:jc w:val="left"/>
        <w:rPr>
          <w:rFonts w:hint="eastAsia" w:ascii="宋体" w:hAnsi="宋体" w:cs="宋体"/>
          <w:sz w:val="28"/>
        </w:rPr>
      </w:pPr>
      <w:r>
        <w:rPr>
          <w:rFonts w:hint="eastAsia" w:ascii="宋体" w:hAnsi="宋体" w:cs="宋体"/>
          <w:sz w:val="28"/>
        </w:rPr>
        <w:t>林业资源作为陆地生态系统的核心，对维护生态平衡、促进经济社会可持续发展意义重大。然而，火灾频发，给林业资源、生态环境以及人民生命财产安全带来了严重威胁。传统的人工巡护方式受地形、气候等因素限制，存在效率低、覆盖范围小、发现火情不及时等问题，难以满足日益增长的森林防火需求。</w:t>
      </w:r>
    </w:p>
    <w:p w14:paraId="698CDAD5">
      <w:pPr>
        <w:widowControl/>
        <w:spacing w:line="240" w:lineRule="auto"/>
        <w:ind w:firstLine="560" w:firstLineChars="200"/>
        <w:jc w:val="left"/>
        <w:rPr>
          <w:rFonts w:hint="eastAsia" w:ascii="宋体" w:hAnsi="宋体" w:cs="宋体"/>
          <w:sz w:val="28"/>
        </w:rPr>
      </w:pPr>
      <w:r>
        <w:rPr>
          <w:rFonts w:hint="eastAsia" w:ascii="宋体" w:hAnsi="宋体" w:cs="宋体"/>
          <w:sz w:val="28"/>
        </w:rPr>
        <w:t>随着科技的飞速发展，无人机技术在森林防火领域的应用愈发广泛。其具备机动性强、监测范围广、可实时获取数据等优势，能够有效弥补人工巡护的不足。本项目依托无人机系统，旨在构建一套高效、智能的森林防火无人机巡护体系，提升森林火灾防控能力，为森林资源安全保驾护航。</w:t>
      </w:r>
    </w:p>
    <w:p w14:paraId="5BB409A6">
      <w:pPr>
        <w:widowControl/>
        <w:spacing w:line="240" w:lineRule="auto"/>
        <w:jc w:val="left"/>
        <w:rPr>
          <w:rFonts w:hint="eastAsia" w:ascii="宋体" w:hAnsi="宋体" w:cs="宋体"/>
          <w:sz w:val="28"/>
        </w:rPr>
      </w:pPr>
      <w:r>
        <w:rPr>
          <w:rFonts w:hint="eastAsia" w:ascii="宋体" w:hAnsi="宋体" w:cs="宋体"/>
          <w:sz w:val="28"/>
        </w:rPr>
        <w:t>2需求分析</w:t>
      </w:r>
    </w:p>
    <w:p w14:paraId="24E31134">
      <w:pPr>
        <w:widowControl/>
        <w:spacing w:line="240" w:lineRule="auto"/>
        <w:ind w:firstLine="560" w:firstLineChars="200"/>
        <w:jc w:val="left"/>
        <w:rPr>
          <w:rFonts w:hint="eastAsia" w:ascii="宋体" w:hAnsi="宋体" w:cs="宋体"/>
          <w:sz w:val="28"/>
        </w:rPr>
      </w:pPr>
      <w:r>
        <w:rPr>
          <w:rFonts w:hint="eastAsia" w:ascii="宋体" w:hAnsi="宋体" w:cs="宋体"/>
          <w:sz w:val="28"/>
        </w:rPr>
        <w:t>2.1及时发现火情</w:t>
      </w:r>
    </w:p>
    <w:p w14:paraId="3617C0F2">
      <w:pPr>
        <w:widowControl/>
        <w:spacing w:line="240" w:lineRule="auto"/>
        <w:ind w:firstLine="560" w:firstLineChars="200"/>
        <w:jc w:val="left"/>
        <w:rPr>
          <w:rFonts w:hint="eastAsia" w:ascii="宋体" w:hAnsi="宋体" w:cs="宋体"/>
          <w:sz w:val="28"/>
        </w:rPr>
      </w:pPr>
      <w:r>
        <w:rPr>
          <w:rFonts w:hint="eastAsia" w:ascii="宋体" w:hAnsi="宋体" w:cs="宋体"/>
          <w:sz w:val="28"/>
        </w:rPr>
        <w:t>森林火灾具有突发性和蔓延速度快的特点，早期发现并控制火情至关重要。传统人工巡护受限于地理条件和人员数量，难以实现对大面积森林的实时、全面监控。无人机凭借其快速响应和高空视角优势，能够扩大巡护范围，缩短发现火情的时间，为火灾扑救争取宝贵时机。</w:t>
      </w:r>
    </w:p>
    <w:p w14:paraId="4851E193">
      <w:pPr>
        <w:widowControl/>
        <w:spacing w:line="240" w:lineRule="auto"/>
        <w:ind w:firstLine="560" w:firstLineChars="200"/>
        <w:jc w:val="left"/>
        <w:rPr>
          <w:rFonts w:hint="eastAsia" w:ascii="宋体" w:hAnsi="宋体" w:cs="宋体"/>
          <w:sz w:val="28"/>
        </w:rPr>
      </w:pPr>
      <w:r>
        <w:rPr>
          <w:rFonts w:hint="eastAsia" w:ascii="宋体" w:hAnsi="宋体" w:cs="宋体"/>
          <w:sz w:val="28"/>
        </w:rPr>
        <w:t>2.2精准排查隐患</w:t>
      </w:r>
    </w:p>
    <w:p w14:paraId="0847A031">
      <w:pPr>
        <w:widowControl/>
        <w:spacing w:line="240" w:lineRule="auto"/>
        <w:ind w:firstLine="560" w:firstLineChars="200"/>
        <w:jc w:val="left"/>
        <w:rPr>
          <w:rFonts w:hint="eastAsia" w:ascii="宋体" w:hAnsi="宋体" w:cs="宋体"/>
          <w:sz w:val="28"/>
        </w:rPr>
      </w:pPr>
      <w:r>
        <w:rPr>
          <w:rFonts w:hint="eastAsia" w:ascii="宋体" w:hAnsi="宋体" w:cs="宋体"/>
          <w:sz w:val="28"/>
        </w:rPr>
        <w:t>林区内存在多种火灾隐患，如自然保护地、旅游景区等人员密集区域的用火安全问题，输配电设施老化短路引发火灾的风险，野外违规用火行为以及林区内枯立木等易燃物堆积等。这些隐患分布广泛且隐蔽，人工排查难度大、效率低。无人机搭载的高清摄像头和热感设备，可对林区进行细致排查，精准定位隐患点，便于及时采取防范措施。</w:t>
      </w:r>
    </w:p>
    <w:p w14:paraId="3ED93ED5">
      <w:pPr>
        <w:widowControl/>
        <w:spacing w:line="240" w:lineRule="auto"/>
        <w:ind w:firstLine="560" w:firstLineChars="200"/>
        <w:jc w:val="left"/>
        <w:rPr>
          <w:rFonts w:hint="eastAsia" w:ascii="宋体" w:hAnsi="宋体" w:cs="宋体"/>
          <w:sz w:val="28"/>
        </w:rPr>
      </w:pPr>
      <w:r>
        <w:rPr>
          <w:rFonts w:hint="eastAsia" w:ascii="宋体" w:hAnsi="宋体" w:cs="宋体"/>
          <w:sz w:val="28"/>
        </w:rPr>
        <w:t>2.3高效应急响应</w:t>
      </w:r>
    </w:p>
    <w:p w14:paraId="2F4C52B6">
      <w:pPr>
        <w:widowControl/>
        <w:spacing w:line="240" w:lineRule="auto"/>
        <w:ind w:firstLine="560" w:firstLineChars="200"/>
        <w:jc w:val="left"/>
        <w:rPr>
          <w:rFonts w:hint="eastAsia" w:ascii="宋体" w:hAnsi="宋体" w:cs="宋体"/>
          <w:sz w:val="28"/>
        </w:rPr>
      </w:pPr>
      <w:r>
        <w:rPr>
          <w:rFonts w:hint="eastAsia" w:ascii="宋体" w:hAnsi="宋体" w:cs="宋体"/>
          <w:sz w:val="28"/>
        </w:rPr>
        <w:t>森林火灾发生后，需要迅速做出应急响应，制定科学的扑救方案并有效执行。在应急过程中，准确掌握火场态势、人员物资调配以及现场救援指挥协调至关重要。无人机可实时回传火场视频、照片和坐标位置，为指挥中心提供决策依据，还能在空中执行喊话、照明、空投物资等任务，协助现场救援工作高效开展。</w:t>
      </w:r>
    </w:p>
    <w:p w14:paraId="1E0DE816">
      <w:pPr>
        <w:widowControl/>
        <w:spacing w:line="240" w:lineRule="auto"/>
        <w:ind w:firstLine="560" w:firstLineChars="200"/>
        <w:jc w:val="left"/>
        <w:rPr>
          <w:rFonts w:hint="eastAsia" w:ascii="宋体" w:hAnsi="宋体" w:cs="宋体"/>
          <w:sz w:val="28"/>
        </w:rPr>
      </w:pPr>
      <w:r>
        <w:rPr>
          <w:rFonts w:hint="eastAsia" w:ascii="宋体" w:hAnsi="宋体" w:cs="宋体"/>
          <w:sz w:val="28"/>
        </w:rPr>
        <w:t>2.4夜间巡查</w:t>
      </w:r>
    </w:p>
    <w:p w14:paraId="168D50E9">
      <w:pPr>
        <w:widowControl/>
        <w:spacing w:line="240" w:lineRule="auto"/>
        <w:ind w:firstLine="560" w:firstLineChars="200"/>
        <w:jc w:val="left"/>
        <w:rPr>
          <w:rFonts w:hint="eastAsia" w:ascii="宋体" w:hAnsi="宋体" w:cs="宋体"/>
          <w:sz w:val="28"/>
        </w:rPr>
      </w:pPr>
      <w:r>
        <w:rPr>
          <w:rFonts w:hint="eastAsia" w:ascii="宋体" w:hAnsi="宋体" w:cs="宋体"/>
          <w:sz w:val="28"/>
        </w:rPr>
        <w:t>夜间是森林火灾防控的薄弱时段，部分火灾隐患在夜间更易引发火灾，如雷击火、旅游区房车营地和野营点用火不慎等。人工夜间巡护难度大、危险性高，而无人机具备夜间巡查能力，可搭载照明设备和热感相机，对重点区域进行不定期巡查，及时发现并处理夜间火灾隐患。</w:t>
      </w:r>
    </w:p>
    <w:p w14:paraId="4665C7F8">
      <w:pPr>
        <w:widowControl/>
        <w:spacing w:line="240" w:lineRule="auto"/>
        <w:jc w:val="left"/>
        <w:rPr>
          <w:rFonts w:hint="eastAsia" w:ascii="宋体" w:hAnsi="宋体" w:cs="宋体"/>
          <w:sz w:val="28"/>
        </w:rPr>
      </w:pPr>
      <w:r>
        <w:rPr>
          <w:rFonts w:hint="eastAsia" w:ascii="宋体" w:hAnsi="宋体" w:cs="宋体"/>
          <w:sz w:val="28"/>
        </w:rPr>
        <w:t>3服务设备及人员配备</w:t>
      </w:r>
    </w:p>
    <w:p w14:paraId="49B56051">
      <w:pPr>
        <w:widowControl/>
        <w:spacing w:line="240" w:lineRule="auto"/>
        <w:ind w:firstLine="560" w:firstLineChars="200"/>
        <w:jc w:val="left"/>
        <w:rPr>
          <w:rFonts w:hint="eastAsia" w:ascii="宋体" w:hAnsi="宋体" w:cs="宋体"/>
          <w:sz w:val="28"/>
        </w:rPr>
      </w:pPr>
      <w:r>
        <w:rPr>
          <w:rFonts w:hint="eastAsia" w:ascii="宋体" w:hAnsi="宋体" w:cs="宋体"/>
          <w:sz w:val="28"/>
        </w:rPr>
        <w:t>提供无人机及相关配套设备、软件平台完成森林草原防火无人机巡护工作，森林防火无人机巡护作业任务包括：森林防火巡护、隐患排查、应急响应以及夜间巡查服务等。</w:t>
      </w:r>
    </w:p>
    <w:p w14:paraId="4E3CDA7E">
      <w:pPr>
        <w:widowControl/>
        <w:spacing w:line="240" w:lineRule="auto"/>
        <w:ind w:firstLine="560" w:firstLineChars="200"/>
        <w:jc w:val="left"/>
        <w:rPr>
          <w:rFonts w:hint="eastAsia" w:ascii="宋体" w:hAnsi="宋体" w:cs="宋体"/>
          <w:sz w:val="28"/>
        </w:rPr>
      </w:pPr>
      <w:r>
        <w:rPr>
          <w:rFonts w:hint="eastAsia" w:ascii="宋体" w:hAnsi="宋体" w:cs="宋体"/>
          <w:sz w:val="28"/>
        </w:rPr>
        <w:t>提供2名飞行工程师，具备在有效期的CAAC飞行驾驶执照，符合操作现有无人机视距外驾驶要求；熟悉掌握民航组织和地方空域管制规定，具备丰富的项目经验及应急处置能力。现场提供1辆项目用车。</w:t>
      </w:r>
    </w:p>
    <w:p w14:paraId="0F96F02A">
      <w:pPr>
        <w:widowControl/>
        <w:spacing w:line="240" w:lineRule="auto"/>
        <w:ind w:firstLine="560" w:firstLineChars="200"/>
        <w:jc w:val="left"/>
        <w:rPr>
          <w:rFonts w:hint="eastAsia" w:ascii="宋体" w:hAnsi="宋体" w:cs="宋体"/>
          <w:sz w:val="28"/>
        </w:rPr>
      </w:pPr>
      <w:r>
        <w:rPr>
          <w:rFonts w:hint="eastAsia" w:ascii="宋体" w:hAnsi="宋体" w:cs="宋体"/>
          <w:sz w:val="28"/>
        </w:rPr>
        <w:t>服务周期为1年。</w:t>
      </w:r>
    </w:p>
    <w:p w14:paraId="2C882D50">
      <w:pPr>
        <w:widowControl/>
        <w:spacing w:line="240" w:lineRule="auto"/>
        <w:jc w:val="left"/>
        <w:rPr>
          <w:rFonts w:hint="eastAsia" w:ascii="宋体" w:hAnsi="宋体" w:cs="宋体"/>
          <w:sz w:val="28"/>
        </w:rPr>
      </w:pPr>
      <w:r>
        <w:rPr>
          <w:rFonts w:hint="eastAsia" w:ascii="宋体" w:hAnsi="宋体" w:cs="宋体"/>
          <w:sz w:val="28"/>
        </w:rPr>
        <w:t>4服务方案</w:t>
      </w:r>
    </w:p>
    <w:p w14:paraId="7F3F166C">
      <w:pPr>
        <w:widowControl/>
        <w:spacing w:line="240" w:lineRule="auto"/>
        <w:ind w:firstLine="560" w:firstLineChars="200"/>
        <w:jc w:val="left"/>
        <w:rPr>
          <w:rFonts w:hint="eastAsia" w:ascii="宋体" w:hAnsi="宋体" w:cs="宋体"/>
          <w:sz w:val="28"/>
        </w:rPr>
      </w:pPr>
      <w:r>
        <w:rPr>
          <w:rFonts w:hint="eastAsia" w:ascii="宋体" w:hAnsi="宋体" w:cs="宋体"/>
          <w:sz w:val="28"/>
        </w:rPr>
        <w:t>4.1服务方案</w:t>
      </w:r>
    </w:p>
    <w:p w14:paraId="324C2E90">
      <w:pPr>
        <w:widowControl/>
        <w:spacing w:line="240" w:lineRule="auto"/>
        <w:ind w:firstLine="560" w:firstLineChars="200"/>
        <w:jc w:val="left"/>
        <w:rPr>
          <w:rFonts w:hint="eastAsia" w:ascii="宋体" w:hAnsi="宋体" w:cs="宋体"/>
          <w:sz w:val="28"/>
        </w:rPr>
      </w:pPr>
      <w:r>
        <w:rPr>
          <w:rFonts w:hint="eastAsia" w:ascii="宋体" w:hAnsi="宋体" w:cs="宋体"/>
          <w:sz w:val="28"/>
        </w:rPr>
        <w:t>4.1.1巡查面积</w:t>
      </w:r>
    </w:p>
    <w:p w14:paraId="2FA31192">
      <w:pPr>
        <w:widowControl/>
        <w:spacing w:line="240" w:lineRule="auto"/>
        <w:ind w:firstLine="560" w:firstLineChars="200"/>
        <w:jc w:val="left"/>
        <w:rPr>
          <w:rFonts w:ascii="宋体" w:hAnsi="宋体" w:cs="宋体"/>
          <w:sz w:val="28"/>
        </w:rPr>
      </w:pPr>
      <w:r>
        <w:rPr>
          <w:rFonts w:hint="eastAsia" w:ascii="宋体" w:hAnsi="宋体" w:cs="宋体"/>
          <w:sz w:val="28"/>
        </w:rPr>
        <w:t>按照上述配备，利用车辆携带单飞机移动式飞行巡护的方式开展森林防火巡查服务。按照无人机场每日（8h）最大可飞行6架次、单飞机每日最大飞行5架次、每架次巡查面积2700亩计算（风力12m/s以下、环境温度约 25℃、安全电量为 15%、往返速度约 15 m/s以下，一个完整的飞行架次包括飞行至 10 公里处、累计悬停作业 18 分钟以及返程），每日最大巡查区域总面积为6.21万亩。</w:t>
      </w:r>
    </w:p>
    <w:p w14:paraId="1DE5DDEA">
      <w:pPr>
        <w:widowControl/>
        <w:spacing w:line="240" w:lineRule="auto"/>
        <w:ind w:firstLine="560" w:firstLineChars="200"/>
        <w:jc w:val="left"/>
        <w:rPr>
          <w:rFonts w:ascii="宋体" w:hAnsi="宋体" w:cs="宋体"/>
          <w:sz w:val="28"/>
        </w:rPr>
      </w:pPr>
      <w:r>
        <w:rPr>
          <w:rFonts w:hint="eastAsia" w:ascii="宋体" w:hAnsi="宋体" w:cs="宋体"/>
          <w:sz w:val="28"/>
        </w:rPr>
        <w:t>综合考量人员日均作业负荷、气象条件变化、巡护区域地形地貌复杂程度，以及设备运行稳定性等潜在影响因素，建议将单日巡护面积设定为 3.78 万亩，以确保巡护工作的高效性与安全性。</w:t>
      </w:r>
    </w:p>
    <w:p w14:paraId="049141BA">
      <w:pPr>
        <w:adjustRightInd w:val="0"/>
        <w:snapToGrid w:val="0"/>
        <w:spacing w:line="320" w:lineRule="exact"/>
        <w:ind w:firstLine="640"/>
        <w:rPr>
          <w:rFonts w:asciiTheme="minorEastAsia" w:hAnsiTheme="minorEastAsia" w:eastAsiaTheme="minorEastAsia"/>
          <w:sz w:val="21"/>
          <w:szCs w:val="21"/>
        </w:rPr>
      </w:pPr>
    </w:p>
    <w:tbl>
      <w:tblPr>
        <w:tblStyle w:val="43"/>
        <w:tblpPr w:leftFromText="180" w:rightFromText="180" w:vertAnchor="text" w:horzAnchor="page" w:tblpX="1583" w:tblpY="309"/>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20"/>
        <w:gridCol w:w="1766"/>
        <w:gridCol w:w="709"/>
        <w:gridCol w:w="2666"/>
        <w:gridCol w:w="1070"/>
      </w:tblGrid>
      <w:tr w14:paraId="05D2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62" w:type="dxa"/>
            <w:vAlign w:val="center"/>
          </w:tcPr>
          <w:p w14:paraId="539329E7">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区域</w:t>
            </w:r>
          </w:p>
        </w:tc>
        <w:tc>
          <w:tcPr>
            <w:tcW w:w="1320" w:type="dxa"/>
            <w:vAlign w:val="center"/>
          </w:tcPr>
          <w:p w14:paraId="4FBB58A3">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面积（亩）</w:t>
            </w:r>
          </w:p>
        </w:tc>
        <w:tc>
          <w:tcPr>
            <w:tcW w:w="1766" w:type="dxa"/>
            <w:vAlign w:val="center"/>
          </w:tcPr>
          <w:p w14:paraId="61443742">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所属站</w:t>
            </w:r>
          </w:p>
        </w:tc>
        <w:tc>
          <w:tcPr>
            <w:tcW w:w="709" w:type="dxa"/>
            <w:vAlign w:val="center"/>
          </w:tcPr>
          <w:p w14:paraId="1108DB36">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飞行区块数量</w:t>
            </w:r>
          </w:p>
        </w:tc>
        <w:tc>
          <w:tcPr>
            <w:tcW w:w="2666" w:type="dxa"/>
            <w:vAlign w:val="center"/>
          </w:tcPr>
          <w:p w14:paraId="1BCE603D">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巡护内容</w:t>
            </w:r>
          </w:p>
        </w:tc>
        <w:tc>
          <w:tcPr>
            <w:tcW w:w="1070" w:type="dxa"/>
            <w:vAlign w:val="center"/>
          </w:tcPr>
          <w:p w14:paraId="574ED1C9">
            <w:pPr>
              <w:pStyle w:val="37"/>
              <w:widowControl w:val="0"/>
              <w:spacing w:line="24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巡护机型</w:t>
            </w:r>
          </w:p>
        </w:tc>
      </w:tr>
      <w:tr w14:paraId="0CC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62" w:type="dxa"/>
            <w:vAlign w:val="center"/>
          </w:tcPr>
          <w:p w14:paraId="07D16EB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北塔山胡杨林巡护区</w:t>
            </w:r>
          </w:p>
        </w:tc>
        <w:tc>
          <w:tcPr>
            <w:tcW w:w="1320" w:type="dxa"/>
            <w:vAlign w:val="center"/>
          </w:tcPr>
          <w:p w14:paraId="0890808E">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16万亩</w:t>
            </w:r>
          </w:p>
        </w:tc>
        <w:tc>
          <w:tcPr>
            <w:tcW w:w="1766" w:type="dxa"/>
            <w:vAlign w:val="center"/>
          </w:tcPr>
          <w:p w14:paraId="2AA06B8E">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胡杨林管护站</w:t>
            </w:r>
          </w:p>
        </w:tc>
        <w:tc>
          <w:tcPr>
            <w:tcW w:w="709" w:type="dxa"/>
            <w:vAlign w:val="center"/>
          </w:tcPr>
          <w:p w14:paraId="674AE141">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1个</w:t>
            </w:r>
          </w:p>
        </w:tc>
        <w:tc>
          <w:tcPr>
            <w:tcW w:w="2666" w:type="dxa"/>
            <w:vAlign w:val="center"/>
          </w:tcPr>
          <w:p w14:paraId="3EB05D12">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胡杨林区为高火险区，主要巡检野外用火</w:t>
            </w:r>
          </w:p>
        </w:tc>
        <w:tc>
          <w:tcPr>
            <w:tcW w:w="1070" w:type="dxa"/>
            <w:vAlign w:val="center"/>
          </w:tcPr>
          <w:p w14:paraId="0EEF48F1">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r w14:paraId="6415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62" w:type="dxa"/>
            <w:vAlign w:val="center"/>
          </w:tcPr>
          <w:p w14:paraId="587D892F">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二道沙漠巡护区</w:t>
            </w:r>
          </w:p>
        </w:tc>
        <w:tc>
          <w:tcPr>
            <w:tcW w:w="1320" w:type="dxa"/>
            <w:vAlign w:val="center"/>
          </w:tcPr>
          <w:p w14:paraId="6304ACD5">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44万亩</w:t>
            </w:r>
          </w:p>
        </w:tc>
        <w:tc>
          <w:tcPr>
            <w:tcW w:w="1766" w:type="dxa"/>
            <w:vAlign w:val="center"/>
          </w:tcPr>
          <w:p w14:paraId="456762A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芨芨湖管护站；叶勒森管护站；二道沙漠管护站； 哈拉栋禁牧区</w:t>
            </w:r>
          </w:p>
        </w:tc>
        <w:tc>
          <w:tcPr>
            <w:tcW w:w="709" w:type="dxa"/>
            <w:vAlign w:val="center"/>
          </w:tcPr>
          <w:p w14:paraId="2A3FD957">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4个</w:t>
            </w:r>
          </w:p>
        </w:tc>
        <w:tc>
          <w:tcPr>
            <w:tcW w:w="2666" w:type="dxa"/>
            <w:vAlign w:val="center"/>
          </w:tcPr>
          <w:p w14:paraId="6E81951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叶勒森、二道沙漠为高火险区，主要巡检野外用火；芨芨湖为中、低火险区，主要巡查防火隐患</w:t>
            </w:r>
          </w:p>
        </w:tc>
        <w:tc>
          <w:tcPr>
            <w:tcW w:w="1070" w:type="dxa"/>
            <w:vAlign w:val="center"/>
          </w:tcPr>
          <w:p w14:paraId="7C40FC20">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r w14:paraId="4152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62" w:type="dxa"/>
            <w:vAlign w:val="center"/>
          </w:tcPr>
          <w:p w14:paraId="2016C5F1">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头道沙漠巡护区</w:t>
            </w:r>
          </w:p>
        </w:tc>
        <w:tc>
          <w:tcPr>
            <w:tcW w:w="1320" w:type="dxa"/>
            <w:vAlign w:val="center"/>
          </w:tcPr>
          <w:p w14:paraId="24B45F42">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45万亩</w:t>
            </w:r>
          </w:p>
        </w:tc>
        <w:tc>
          <w:tcPr>
            <w:tcW w:w="1766" w:type="dxa"/>
            <w:vAlign w:val="center"/>
          </w:tcPr>
          <w:p w14:paraId="36B71D00">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大沙坡管护站；雀仁中心管护站；头道沙漠管护站</w:t>
            </w:r>
          </w:p>
        </w:tc>
        <w:tc>
          <w:tcPr>
            <w:tcW w:w="709" w:type="dxa"/>
            <w:vAlign w:val="center"/>
          </w:tcPr>
          <w:p w14:paraId="29E0616B">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3个</w:t>
            </w:r>
          </w:p>
        </w:tc>
        <w:tc>
          <w:tcPr>
            <w:tcW w:w="2666" w:type="dxa"/>
            <w:vAlign w:val="center"/>
          </w:tcPr>
          <w:p w14:paraId="2006063D">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雀仁中心管护站为高火险区，主要巡检野外用火；大沙坡、头道沙漠为中、低火险区，主要巡查防火隐患</w:t>
            </w:r>
          </w:p>
        </w:tc>
        <w:tc>
          <w:tcPr>
            <w:tcW w:w="1070" w:type="dxa"/>
            <w:vAlign w:val="center"/>
          </w:tcPr>
          <w:p w14:paraId="222A06C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r w14:paraId="7F5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2" w:type="dxa"/>
            <w:vAlign w:val="center"/>
          </w:tcPr>
          <w:p w14:paraId="08B98538">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咬牙沟巡护区</w:t>
            </w:r>
          </w:p>
        </w:tc>
        <w:tc>
          <w:tcPr>
            <w:tcW w:w="1320" w:type="dxa"/>
            <w:vAlign w:val="center"/>
          </w:tcPr>
          <w:p w14:paraId="503862D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26万亩</w:t>
            </w:r>
          </w:p>
        </w:tc>
        <w:tc>
          <w:tcPr>
            <w:tcW w:w="1766" w:type="dxa"/>
            <w:vAlign w:val="center"/>
          </w:tcPr>
          <w:p w14:paraId="1E341C4F">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咬牙沟中心管护站</w:t>
            </w:r>
          </w:p>
        </w:tc>
        <w:tc>
          <w:tcPr>
            <w:tcW w:w="709" w:type="dxa"/>
            <w:vAlign w:val="center"/>
          </w:tcPr>
          <w:p w14:paraId="502ECC81">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1个</w:t>
            </w:r>
          </w:p>
        </w:tc>
        <w:tc>
          <w:tcPr>
            <w:tcW w:w="2666" w:type="dxa"/>
            <w:vAlign w:val="center"/>
          </w:tcPr>
          <w:p w14:paraId="2E68477B">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咬牙沟中心管护站为高火险区，主要巡检野外用火</w:t>
            </w:r>
          </w:p>
        </w:tc>
        <w:tc>
          <w:tcPr>
            <w:tcW w:w="1070" w:type="dxa"/>
            <w:vAlign w:val="center"/>
          </w:tcPr>
          <w:p w14:paraId="718B129F">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r w14:paraId="5364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62" w:type="dxa"/>
            <w:vAlign w:val="center"/>
          </w:tcPr>
          <w:p w14:paraId="2D1DD88C">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照壁山巡护区</w:t>
            </w:r>
          </w:p>
        </w:tc>
        <w:tc>
          <w:tcPr>
            <w:tcW w:w="1320" w:type="dxa"/>
            <w:vAlign w:val="center"/>
          </w:tcPr>
          <w:p w14:paraId="6D094A99">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5万亩</w:t>
            </w:r>
          </w:p>
        </w:tc>
        <w:tc>
          <w:tcPr>
            <w:tcW w:w="1766" w:type="dxa"/>
            <w:vAlign w:val="center"/>
          </w:tcPr>
          <w:p w14:paraId="187FC453">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照壁山管护站</w:t>
            </w:r>
          </w:p>
        </w:tc>
        <w:tc>
          <w:tcPr>
            <w:tcW w:w="709" w:type="dxa"/>
            <w:vAlign w:val="center"/>
          </w:tcPr>
          <w:p w14:paraId="789B57A0">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1个</w:t>
            </w:r>
          </w:p>
        </w:tc>
        <w:tc>
          <w:tcPr>
            <w:tcW w:w="2666" w:type="dxa"/>
            <w:vAlign w:val="center"/>
          </w:tcPr>
          <w:p w14:paraId="7A7D8D28">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照壁山管护站为高火险区，主要巡检野外用火</w:t>
            </w:r>
          </w:p>
        </w:tc>
        <w:tc>
          <w:tcPr>
            <w:tcW w:w="1070" w:type="dxa"/>
            <w:vAlign w:val="center"/>
          </w:tcPr>
          <w:p w14:paraId="3D9D376F">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r w14:paraId="62E9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62" w:type="dxa"/>
            <w:vAlign w:val="center"/>
          </w:tcPr>
          <w:p w14:paraId="509853CA">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大石头烽火台巡护区</w:t>
            </w:r>
          </w:p>
        </w:tc>
        <w:tc>
          <w:tcPr>
            <w:tcW w:w="1320" w:type="dxa"/>
            <w:vAlign w:val="center"/>
          </w:tcPr>
          <w:p w14:paraId="7ED35B59">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21万亩</w:t>
            </w:r>
          </w:p>
        </w:tc>
        <w:tc>
          <w:tcPr>
            <w:tcW w:w="1766" w:type="dxa"/>
            <w:vAlign w:val="center"/>
          </w:tcPr>
          <w:p w14:paraId="0D6465EA">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大石头烽火台管护站</w:t>
            </w:r>
          </w:p>
        </w:tc>
        <w:tc>
          <w:tcPr>
            <w:tcW w:w="709" w:type="dxa"/>
            <w:vAlign w:val="center"/>
          </w:tcPr>
          <w:p w14:paraId="5FA669CB">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1个</w:t>
            </w:r>
          </w:p>
        </w:tc>
        <w:tc>
          <w:tcPr>
            <w:tcW w:w="2666" w:type="dxa"/>
            <w:vAlign w:val="center"/>
          </w:tcPr>
          <w:p w14:paraId="0E357BE6">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大石头烽火台管护站为中、低火险区，主要巡查防火隐患</w:t>
            </w:r>
          </w:p>
        </w:tc>
        <w:tc>
          <w:tcPr>
            <w:tcW w:w="1070" w:type="dxa"/>
            <w:vAlign w:val="center"/>
          </w:tcPr>
          <w:p w14:paraId="34DED04A">
            <w:pPr>
              <w:pStyle w:val="37"/>
              <w:widowControl w:val="0"/>
              <w:spacing w:line="240" w:lineRule="exact"/>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多旋翼无人机</w:t>
            </w:r>
          </w:p>
        </w:tc>
      </w:tr>
    </w:tbl>
    <w:p w14:paraId="2EF69EEA">
      <w:pPr>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飞行巡护区域表</w:t>
      </w:r>
    </w:p>
    <w:p w14:paraId="167F259D">
      <w:pPr>
        <w:widowControl/>
        <w:spacing w:line="240" w:lineRule="auto"/>
        <w:ind w:firstLine="560" w:firstLineChars="200"/>
        <w:jc w:val="left"/>
        <w:rPr>
          <w:rFonts w:hint="eastAsia" w:ascii="宋体" w:hAnsi="宋体" w:cs="宋体"/>
          <w:sz w:val="28"/>
        </w:rPr>
      </w:pPr>
      <w:r>
        <w:rPr>
          <w:rFonts w:hint="eastAsia" w:ascii="宋体" w:hAnsi="宋体" w:cs="宋体"/>
          <w:sz w:val="28"/>
        </w:rPr>
        <w:t>4.1.2服务计划</w:t>
      </w:r>
    </w:p>
    <w:p w14:paraId="26D2B614">
      <w:pPr>
        <w:widowControl/>
        <w:spacing w:line="240" w:lineRule="auto"/>
        <w:ind w:firstLine="560" w:firstLineChars="200"/>
        <w:jc w:val="left"/>
        <w:rPr>
          <w:rFonts w:hint="eastAsia" w:ascii="宋体" w:hAnsi="宋体" w:cs="宋体"/>
          <w:sz w:val="28"/>
        </w:rPr>
      </w:pPr>
      <w:r>
        <w:rPr>
          <w:rFonts w:hint="eastAsia" w:ascii="宋体" w:hAnsi="宋体" w:cs="宋体"/>
          <w:sz w:val="28"/>
        </w:rPr>
        <w:t>1、巡护区域划分</w:t>
      </w:r>
    </w:p>
    <w:p w14:paraId="7C9FE006">
      <w:pPr>
        <w:widowControl/>
        <w:spacing w:line="240" w:lineRule="auto"/>
        <w:ind w:firstLine="560" w:firstLineChars="200"/>
        <w:jc w:val="left"/>
        <w:rPr>
          <w:rFonts w:hint="eastAsia" w:ascii="宋体" w:hAnsi="宋体" w:cs="宋体"/>
          <w:sz w:val="28"/>
        </w:rPr>
      </w:pPr>
      <w:r>
        <w:rPr>
          <w:rFonts w:hint="eastAsia" w:ascii="宋体" w:hAnsi="宋体" w:cs="宋体"/>
          <w:sz w:val="28"/>
        </w:rPr>
        <w:t>无人机场部署地区为核心巡查区域，车辆携带单飞机移动式飞行巡护地区为一般巡查区域，巡查时段为每年5-10月。</w:t>
      </w:r>
    </w:p>
    <w:p w14:paraId="1C624051">
      <w:pPr>
        <w:widowControl/>
        <w:spacing w:line="240" w:lineRule="auto"/>
        <w:jc w:val="center"/>
        <w:rPr>
          <w:rFonts w:hint="eastAsia" w:ascii="宋体" w:hAnsi="宋体" w:cs="宋体"/>
          <w:sz w:val="28"/>
        </w:rPr>
      </w:pPr>
      <w:r>
        <w:drawing>
          <wp:inline distT="0" distB="0" distL="0" distR="0">
            <wp:extent cx="3924300" cy="3514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24300" cy="3514725"/>
                    </a:xfrm>
                    <a:prstGeom prst="rect">
                      <a:avLst/>
                    </a:prstGeom>
                    <a:noFill/>
                    <a:ln>
                      <a:noFill/>
                    </a:ln>
                  </pic:spPr>
                </pic:pic>
              </a:graphicData>
            </a:graphic>
          </wp:inline>
        </w:drawing>
      </w:r>
    </w:p>
    <w:p w14:paraId="004A19E7">
      <w:pPr>
        <w:widowControl/>
        <w:spacing w:line="240" w:lineRule="auto"/>
        <w:ind w:firstLine="560" w:firstLineChars="200"/>
        <w:jc w:val="center"/>
        <w:rPr>
          <w:rFonts w:hint="eastAsia" w:ascii="宋体" w:hAnsi="宋体" w:cs="宋体"/>
          <w:sz w:val="28"/>
        </w:rPr>
      </w:pPr>
      <w:r>
        <w:rPr>
          <w:rFonts w:hint="eastAsia" w:ascii="宋体" w:hAnsi="宋体" w:cs="宋体"/>
          <w:sz w:val="28"/>
        </w:rPr>
        <w:t>图：巡护区域</w:t>
      </w:r>
    </w:p>
    <w:p w14:paraId="35D0686B">
      <w:pPr>
        <w:widowControl/>
        <w:spacing w:line="240" w:lineRule="auto"/>
        <w:ind w:firstLine="560" w:firstLineChars="200"/>
        <w:jc w:val="left"/>
        <w:rPr>
          <w:rFonts w:ascii="宋体" w:hAnsi="宋体" w:cs="宋体"/>
          <w:sz w:val="28"/>
        </w:rPr>
      </w:pPr>
      <w:r>
        <w:rPr>
          <w:rFonts w:hint="eastAsia" w:ascii="宋体" w:hAnsi="宋体" w:cs="宋体"/>
          <w:sz w:val="28"/>
        </w:rPr>
        <w:t>2、飞行架次安排</w:t>
      </w:r>
    </w:p>
    <w:p w14:paraId="26A6DCE1">
      <w:pPr>
        <w:widowControl/>
        <w:spacing w:line="240" w:lineRule="auto"/>
        <w:ind w:firstLine="560" w:firstLineChars="200"/>
        <w:jc w:val="left"/>
        <w:rPr>
          <w:rFonts w:ascii="宋体" w:hAnsi="宋体" w:cs="宋体"/>
          <w:sz w:val="28"/>
        </w:rPr>
      </w:pPr>
      <w:bookmarkStart w:id="106" w:name="_Toc19738"/>
      <w:r>
        <w:rPr>
          <w:rFonts w:ascii="宋体" w:hAnsi="宋体" w:cs="宋体"/>
          <w:sz w:val="28"/>
        </w:rPr>
        <w:t>全部飞行作业时间在5月-10月间完成，重点防火期内完。</w:t>
      </w:r>
      <w:bookmarkEnd w:id="106"/>
    </w:p>
    <w:p w14:paraId="6A745C15">
      <w:pPr>
        <w:widowControl/>
        <w:spacing w:line="240" w:lineRule="auto"/>
        <w:ind w:firstLine="560" w:firstLineChars="200"/>
        <w:jc w:val="left"/>
        <w:rPr>
          <w:rFonts w:ascii="宋体" w:hAnsi="宋体" w:cs="宋体"/>
          <w:sz w:val="28"/>
        </w:rPr>
      </w:pPr>
      <w:r>
        <w:rPr>
          <w:rFonts w:ascii="宋体" w:hAnsi="宋体" w:cs="宋体"/>
          <w:sz w:val="28"/>
        </w:rPr>
        <w:t>每次飞行时间2-3小时，每月飞行不少于15次，重点月份飞行不少于30次，具体飞行时间可根据安排变化调整。</w:t>
      </w:r>
    </w:p>
    <w:p w14:paraId="0CFD8240">
      <w:pPr>
        <w:widowControl/>
        <w:spacing w:line="240" w:lineRule="auto"/>
        <w:ind w:firstLine="560" w:firstLineChars="200"/>
        <w:jc w:val="left"/>
        <w:rPr>
          <w:rFonts w:ascii="宋体" w:hAnsi="宋体" w:cs="宋体"/>
          <w:sz w:val="28"/>
        </w:rPr>
      </w:pPr>
      <w:r>
        <w:rPr>
          <w:rFonts w:ascii="宋体" w:hAnsi="宋体" w:cs="宋体"/>
          <w:sz w:val="28"/>
        </w:rPr>
        <w:t>结合机型特点和任务需求，根据每日飞行任务安排无人机飞行时间。重点防火区（如人员密集区、农林结合区、电力设施区、旅游景区)要使用无人机进行精细巡检，以排除火险隐患。</w:t>
      </w:r>
    </w:p>
    <w:p w14:paraId="71D5BC9B">
      <w:pPr>
        <w:widowControl/>
        <w:spacing w:line="240" w:lineRule="auto"/>
        <w:ind w:firstLine="560" w:firstLineChars="200"/>
        <w:jc w:val="left"/>
        <w:rPr>
          <w:rFonts w:hint="eastAsia" w:ascii="宋体" w:hAnsi="宋体" w:cs="宋体"/>
          <w:sz w:val="28"/>
        </w:rPr>
      </w:pPr>
      <w:r>
        <w:rPr>
          <w:rFonts w:hint="eastAsia" w:ascii="宋体" w:hAnsi="宋体" w:cs="宋体"/>
          <w:sz w:val="28"/>
        </w:rPr>
        <w:t>每日时段安排：</w:t>
      </w:r>
    </w:p>
    <w:p w14:paraId="2FB18038">
      <w:pPr>
        <w:widowControl/>
        <w:spacing w:line="240" w:lineRule="auto"/>
        <w:ind w:firstLine="560" w:firstLineChars="200"/>
        <w:jc w:val="left"/>
        <w:rPr>
          <w:rFonts w:hint="eastAsia" w:ascii="宋体" w:hAnsi="宋体" w:cs="宋体"/>
          <w:sz w:val="28"/>
        </w:rPr>
      </w:pPr>
      <w:r>
        <w:rPr>
          <w:rFonts w:hint="eastAsia" w:ascii="宋体" w:hAnsi="宋体" w:cs="宋体"/>
          <w:sz w:val="28"/>
        </w:rPr>
        <w:t>早上8:00-11:00，此时气温较低、气流相对稳定，安排2架次飞行，重点巡查容易因夜间用火引发火情的区域，如旅游景区露营地、居民点附近等。</w:t>
      </w:r>
    </w:p>
    <w:p w14:paraId="4790AC33">
      <w:pPr>
        <w:widowControl/>
        <w:spacing w:line="240" w:lineRule="auto"/>
        <w:ind w:firstLine="560" w:firstLineChars="200"/>
        <w:jc w:val="left"/>
        <w:rPr>
          <w:rFonts w:hint="eastAsia" w:ascii="宋体" w:hAnsi="宋体" w:cs="宋体"/>
          <w:sz w:val="28"/>
        </w:rPr>
      </w:pPr>
      <w:r>
        <w:rPr>
          <w:rFonts w:hint="eastAsia" w:ascii="宋体" w:hAnsi="宋体" w:cs="宋体"/>
          <w:sz w:val="28"/>
        </w:rPr>
        <w:t>中午11:00-18:00，阳光强烈、气温较高，人员活动密集，是火灾高发时段，安排10架次飞行，加强对核心巡查区域的全面监测。</w:t>
      </w:r>
    </w:p>
    <w:p w14:paraId="142B01CA">
      <w:pPr>
        <w:widowControl/>
        <w:spacing w:line="240" w:lineRule="auto"/>
        <w:ind w:firstLine="560" w:firstLineChars="200"/>
        <w:jc w:val="left"/>
        <w:rPr>
          <w:rFonts w:hint="eastAsia" w:ascii="宋体" w:hAnsi="宋体" w:cs="宋体"/>
          <w:sz w:val="28"/>
        </w:rPr>
      </w:pPr>
      <w:r>
        <w:rPr>
          <w:rFonts w:hint="eastAsia" w:ascii="宋体" w:hAnsi="宋体" w:cs="宋体"/>
          <w:sz w:val="28"/>
        </w:rPr>
        <w:t>晚18:00以后，安排2架次进行巡护飞行，视情况针对旅游景区等人员密集区域的用火安全问题、野外违规用火行为进行飞行检查。</w:t>
      </w:r>
    </w:p>
    <w:p w14:paraId="50F04D04">
      <w:pPr>
        <w:widowControl/>
        <w:spacing w:line="240" w:lineRule="auto"/>
        <w:ind w:firstLine="560" w:firstLineChars="200"/>
        <w:jc w:val="left"/>
        <w:rPr>
          <w:rFonts w:hint="eastAsia" w:ascii="宋体" w:hAnsi="宋体" w:cs="宋体"/>
          <w:sz w:val="28"/>
        </w:rPr>
      </w:pPr>
      <w:r>
        <w:rPr>
          <w:rFonts w:hint="eastAsia" w:ascii="宋体" w:hAnsi="宋体" w:cs="宋体"/>
          <w:sz w:val="28"/>
        </w:rPr>
        <w:t>上述架次安排可依据防火巡护业务需要进行灵活调整。</w:t>
      </w:r>
    </w:p>
    <w:p w14:paraId="2DC779DB">
      <w:pPr>
        <w:widowControl/>
        <w:spacing w:line="240" w:lineRule="auto"/>
        <w:ind w:firstLine="560" w:firstLineChars="200"/>
        <w:jc w:val="left"/>
        <w:rPr>
          <w:rFonts w:hint="eastAsia" w:ascii="宋体" w:hAnsi="宋体" w:cs="宋体"/>
          <w:sz w:val="28"/>
        </w:rPr>
      </w:pPr>
      <w:r>
        <w:rPr>
          <w:rFonts w:hint="eastAsia" w:ascii="宋体" w:hAnsi="宋体" w:cs="宋体"/>
          <w:sz w:val="28"/>
        </w:rPr>
        <w:t>如遇暴雨、强风（风力超过14m/s）、大雾（能见度极低）等恶劣天气，停止无人机飞行，根据现场情况采用人员驾车方式开展巡护工作，待天气好转后，根据实际情况增加飞行架次，对受影响区域进行补查。若发现重大火灾隐患或火情，需集中力量对该区域进行重点监测和跟踪巡查，可适当调整其他区域的巡查计划，确保整体巡查工作不受太大影响，且能有效保障森林安全。</w:t>
      </w:r>
    </w:p>
    <w:p w14:paraId="589A9382">
      <w:pPr>
        <w:widowControl/>
        <w:spacing w:line="240" w:lineRule="auto"/>
        <w:ind w:firstLine="560" w:firstLineChars="200"/>
        <w:jc w:val="left"/>
        <w:rPr>
          <w:rFonts w:hint="eastAsia" w:ascii="宋体" w:hAnsi="宋体" w:cs="宋体"/>
          <w:sz w:val="28"/>
        </w:rPr>
      </w:pPr>
      <w:r>
        <w:rPr>
          <w:rFonts w:hint="eastAsia" w:ascii="宋体" w:hAnsi="宋体" w:cs="宋体"/>
          <w:sz w:val="28"/>
        </w:rPr>
        <w:t>4.2服务内容</w:t>
      </w:r>
    </w:p>
    <w:p w14:paraId="3D19D0F9">
      <w:pPr>
        <w:widowControl/>
        <w:spacing w:line="240" w:lineRule="auto"/>
        <w:ind w:firstLine="560" w:firstLineChars="200"/>
        <w:jc w:val="left"/>
        <w:rPr>
          <w:rFonts w:hint="eastAsia" w:ascii="宋体" w:hAnsi="宋体" w:cs="宋体"/>
          <w:sz w:val="28"/>
        </w:rPr>
      </w:pPr>
      <w:r>
        <w:rPr>
          <w:rFonts w:hint="eastAsia" w:ascii="宋体" w:hAnsi="宋体" w:cs="宋体"/>
          <w:sz w:val="28"/>
        </w:rPr>
        <w:t>4.2.1森林巡护</w:t>
      </w:r>
    </w:p>
    <w:p w14:paraId="2272A5C5">
      <w:pPr>
        <w:widowControl/>
        <w:spacing w:line="240" w:lineRule="auto"/>
        <w:ind w:firstLine="560" w:firstLineChars="200"/>
        <w:jc w:val="left"/>
        <w:rPr>
          <w:rFonts w:hint="eastAsia" w:ascii="宋体" w:hAnsi="宋体" w:cs="宋体"/>
          <w:sz w:val="28"/>
        </w:rPr>
      </w:pPr>
      <w:r>
        <w:rPr>
          <w:rFonts w:hint="eastAsia" w:ascii="宋体" w:hAnsi="宋体" w:cs="宋体"/>
          <w:sz w:val="28"/>
        </w:rPr>
        <w:t>森林巡护发现火情应立即确认火情，待火情确认后立即启动应急预案，建立指挥调度通信网络，并将火场态势通过无人机软件系统回传至指挥中心，为指挥员制定扑火决策及调度指挥提供依据。</w:t>
      </w:r>
    </w:p>
    <w:p w14:paraId="234E2AB8">
      <w:pPr>
        <w:widowControl/>
        <w:spacing w:line="240" w:lineRule="auto"/>
        <w:ind w:firstLine="560" w:firstLineChars="200"/>
        <w:jc w:val="left"/>
        <w:rPr>
          <w:rFonts w:hint="eastAsia" w:ascii="宋体" w:hAnsi="宋体" w:cs="宋体"/>
          <w:sz w:val="28"/>
        </w:rPr>
      </w:pPr>
      <w:r>
        <w:rPr>
          <w:rFonts w:hint="eastAsia" w:ascii="宋体" w:hAnsi="宋体" w:cs="宋体"/>
          <w:sz w:val="28"/>
        </w:rPr>
        <w:t>4.2.2隐患排查</w:t>
      </w:r>
    </w:p>
    <w:p w14:paraId="08C99882">
      <w:pPr>
        <w:widowControl/>
        <w:spacing w:line="240" w:lineRule="auto"/>
        <w:ind w:firstLine="560" w:firstLineChars="200"/>
        <w:jc w:val="left"/>
        <w:rPr>
          <w:rFonts w:hint="eastAsia" w:ascii="宋体" w:hAnsi="宋体" w:cs="宋体"/>
          <w:sz w:val="28"/>
        </w:rPr>
      </w:pPr>
      <w:r>
        <w:rPr>
          <w:rFonts w:hint="eastAsia" w:ascii="宋体" w:hAnsi="宋体" w:cs="宋体"/>
          <w:sz w:val="28"/>
        </w:rPr>
        <w:t>A)针对林区内的自然保护地、旅游景区、在建工程等重要设施、重点部位的火灾风险隐患的排查。</w:t>
      </w:r>
    </w:p>
    <w:p w14:paraId="38EC6787">
      <w:pPr>
        <w:widowControl/>
        <w:spacing w:line="240" w:lineRule="auto"/>
        <w:ind w:firstLine="560" w:firstLineChars="200"/>
        <w:jc w:val="left"/>
        <w:rPr>
          <w:rFonts w:hint="eastAsia" w:ascii="宋体" w:hAnsi="宋体" w:cs="宋体"/>
          <w:sz w:val="28"/>
        </w:rPr>
      </w:pPr>
      <w:r>
        <w:rPr>
          <w:rFonts w:hint="eastAsia" w:ascii="宋体" w:hAnsi="宋体" w:cs="宋体"/>
          <w:sz w:val="28"/>
        </w:rPr>
        <w:t>B)针对林牧区输配电设施的火灾隐患排查。</w:t>
      </w:r>
    </w:p>
    <w:p w14:paraId="604C77A3">
      <w:pPr>
        <w:widowControl/>
        <w:spacing w:line="240" w:lineRule="auto"/>
        <w:ind w:firstLine="560" w:firstLineChars="200"/>
        <w:jc w:val="left"/>
        <w:rPr>
          <w:rFonts w:hint="eastAsia" w:ascii="宋体" w:hAnsi="宋体" w:cs="宋体"/>
          <w:sz w:val="28"/>
        </w:rPr>
      </w:pPr>
      <w:r>
        <w:rPr>
          <w:rFonts w:hint="eastAsia" w:ascii="宋体" w:hAnsi="宋体" w:cs="宋体"/>
          <w:sz w:val="28"/>
        </w:rPr>
        <w:t>C)针对野外违规用火的火灾隐患排查。</w:t>
      </w:r>
    </w:p>
    <w:p w14:paraId="7096A0FF">
      <w:pPr>
        <w:widowControl/>
        <w:spacing w:line="240" w:lineRule="auto"/>
        <w:ind w:firstLine="560" w:firstLineChars="200"/>
        <w:jc w:val="left"/>
        <w:rPr>
          <w:rFonts w:hint="eastAsia" w:ascii="宋体" w:hAnsi="宋体" w:cs="宋体"/>
          <w:sz w:val="28"/>
        </w:rPr>
      </w:pPr>
      <w:r>
        <w:rPr>
          <w:rFonts w:hint="eastAsia" w:ascii="宋体" w:hAnsi="宋体" w:cs="宋体"/>
          <w:sz w:val="28"/>
        </w:rPr>
        <w:t>D)针对灾后火场的复查。</w:t>
      </w:r>
    </w:p>
    <w:p w14:paraId="5DAB4F58">
      <w:pPr>
        <w:widowControl/>
        <w:spacing w:line="240" w:lineRule="auto"/>
        <w:ind w:firstLine="560" w:firstLineChars="200"/>
        <w:jc w:val="left"/>
        <w:rPr>
          <w:rFonts w:hint="eastAsia" w:ascii="宋体" w:hAnsi="宋体" w:cs="宋体"/>
          <w:sz w:val="28"/>
        </w:rPr>
      </w:pPr>
      <w:r>
        <w:rPr>
          <w:rFonts w:hint="eastAsia" w:ascii="宋体" w:hAnsi="宋体" w:cs="宋体"/>
          <w:sz w:val="28"/>
        </w:rPr>
        <w:t>E)针对旅游、踏青、探险等重点林区景区的隐患排查。</w:t>
      </w:r>
    </w:p>
    <w:p w14:paraId="100FD4CA">
      <w:pPr>
        <w:widowControl/>
        <w:spacing w:line="240" w:lineRule="auto"/>
        <w:ind w:firstLine="560" w:firstLineChars="200"/>
        <w:jc w:val="left"/>
        <w:rPr>
          <w:rFonts w:hint="eastAsia" w:ascii="宋体" w:hAnsi="宋体" w:cs="宋体"/>
          <w:sz w:val="28"/>
        </w:rPr>
      </w:pPr>
      <w:r>
        <w:rPr>
          <w:rFonts w:hint="eastAsia" w:ascii="宋体" w:hAnsi="宋体" w:cs="宋体"/>
          <w:sz w:val="28"/>
        </w:rPr>
        <w:t>F)针对林区枯立木等可燃物的隐患排查。</w:t>
      </w:r>
    </w:p>
    <w:p w14:paraId="4A62F97D">
      <w:pPr>
        <w:widowControl/>
        <w:spacing w:line="240" w:lineRule="auto"/>
        <w:ind w:firstLine="560" w:firstLineChars="200"/>
        <w:jc w:val="left"/>
        <w:rPr>
          <w:rFonts w:hint="eastAsia" w:ascii="宋体" w:hAnsi="宋体" w:cs="宋体"/>
          <w:sz w:val="28"/>
        </w:rPr>
      </w:pPr>
      <w:r>
        <w:rPr>
          <w:rFonts w:hint="eastAsia" w:ascii="宋体" w:hAnsi="宋体" w:cs="宋体"/>
          <w:sz w:val="28"/>
        </w:rPr>
        <w:t>4.2.3应急响应</w:t>
      </w:r>
    </w:p>
    <w:p w14:paraId="5209FB6A">
      <w:pPr>
        <w:widowControl/>
        <w:spacing w:line="240" w:lineRule="auto"/>
        <w:ind w:firstLine="560" w:firstLineChars="200"/>
        <w:jc w:val="left"/>
        <w:rPr>
          <w:rFonts w:hint="eastAsia" w:ascii="宋体" w:hAnsi="宋体" w:cs="宋体"/>
          <w:sz w:val="28"/>
        </w:rPr>
      </w:pPr>
      <w:r>
        <w:rPr>
          <w:rFonts w:hint="eastAsia" w:ascii="宋体" w:hAnsi="宋体" w:cs="宋体"/>
          <w:sz w:val="28"/>
        </w:rPr>
        <w:t>在进行飞行巡护中，如有突发火情或自然灾害等突发事件，提供应急响应服务。首先将无人机拍摄的视频、照片和坐标位置传送到局指挥中心或移动终端。第一时间启动应急预案，调配包括无人机随时待命。无人机部署到指定地点并对现场进行实时监控，提供实时现场视频。如有需要，无人机可快速生成现场正射图，为指挥调度提供协助。如有人员疏导、空中引导、危险地段警示等需要，无人机可挂载喊话器进行空中作业。夜间可挂载空中照明设备进行搜救、临时照明、目标指示作业。无人机挂载投掷器也可空投食品、药品、水、通讯工具等物品，保障人员安全和通讯畅通。</w:t>
      </w:r>
    </w:p>
    <w:p w14:paraId="63FEE487">
      <w:pPr>
        <w:widowControl/>
        <w:spacing w:line="240" w:lineRule="auto"/>
        <w:ind w:firstLine="560" w:firstLineChars="200"/>
        <w:jc w:val="left"/>
        <w:rPr>
          <w:rFonts w:hint="eastAsia" w:ascii="宋体" w:hAnsi="宋体" w:cs="宋体"/>
          <w:sz w:val="28"/>
        </w:rPr>
      </w:pPr>
      <w:r>
        <w:rPr>
          <w:rFonts w:hint="eastAsia" w:ascii="宋体" w:hAnsi="宋体" w:cs="宋体"/>
          <w:sz w:val="28"/>
        </w:rPr>
        <w:t>项目实施期内，提供 7×24小时应急响应，若出现紧急事件或事故，一般2小时内解决，如现场无法解决，启用备用设备。如有出现重大事件，应急设备和人员8小时内到达现场。</w:t>
      </w:r>
    </w:p>
    <w:p w14:paraId="4491F2C6">
      <w:pPr>
        <w:widowControl/>
        <w:spacing w:line="240" w:lineRule="auto"/>
        <w:ind w:firstLine="560" w:firstLineChars="200"/>
        <w:jc w:val="left"/>
        <w:rPr>
          <w:rFonts w:hint="eastAsia" w:ascii="宋体" w:hAnsi="宋体" w:cs="宋体"/>
          <w:sz w:val="28"/>
        </w:rPr>
      </w:pPr>
      <w:r>
        <w:rPr>
          <w:rFonts w:hint="eastAsia" w:ascii="宋体" w:hAnsi="宋体" w:cs="宋体"/>
          <w:sz w:val="28"/>
        </w:rPr>
        <w:t>如果在飞行任务期内出现严重的故障，需要现场服务解决问题，技术服务人员将7 x 24小时在现场并提供技术服务支持，以保证尽快解决所出现的故障。</w:t>
      </w:r>
    </w:p>
    <w:p w14:paraId="2E1B66B4">
      <w:pPr>
        <w:widowControl/>
        <w:spacing w:line="240" w:lineRule="auto"/>
        <w:ind w:firstLine="560" w:firstLineChars="200"/>
        <w:jc w:val="left"/>
        <w:rPr>
          <w:rFonts w:hint="eastAsia" w:ascii="宋体" w:hAnsi="宋体" w:cs="宋体"/>
          <w:sz w:val="28"/>
        </w:rPr>
      </w:pPr>
      <w:r>
        <w:rPr>
          <w:rFonts w:hint="eastAsia" w:ascii="宋体" w:hAnsi="宋体" w:cs="宋体"/>
          <w:sz w:val="28"/>
        </w:rPr>
        <w:t>4.2.4夜间巡查</w:t>
      </w:r>
    </w:p>
    <w:p w14:paraId="6C3FD9E2">
      <w:pPr>
        <w:widowControl/>
        <w:spacing w:line="240" w:lineRule="auto"/>
        <w:ind w:firstLine="560" w:firstLineChars="200"/>
        <w:jc w:val="left"/>
        <w:rPr>
          <w:rFonts w:hint="eastAsia" w:ascii="宋体" w:hAnsi="宋体" w:cs="宋体"/>
          <w:sz w:val="28"/>
        </w:rPr>
      </w:pPr>
      <w:r>
        <w:rPr>
          <w:rFonts w:hint="eastAsia" w:ascii="宋体" w:hAnsi="宋体" w:cs="宋体"/>
          <w:sz w:val="28"/>
        </w:rPr>
        <w:t>提供不定期无人机夜间飞行巡护服务。如夜间雷雨后，针对雷击火；旅游区的房车营地、野营点；牧民定居点等。</w:t>
      </w:r>
    </w:p>
    <w:p w14:paraId="6896B2C7">
      <w:pPr>
        <w:widowControl/>
        <w:spacing w:line="240" w:lineRule="auto"/>
        <w:ind w:firstLine="560" w:firstLineChars="200"/>
        <w:jc w:val="left"/>
        <w:rPr>
          <w:rFonts w:hint="eastAsia" w:ascii="宋体" w:hAnsi="宋体" w:cs="宋体"/>
          <w:sz w:val="28"/>
        </w:rPr>
      </w:pPr>
      <w:r>
        <w:rPr>
          <w:rFonts w:hint="eastAsia" w:ascii="宋体" w:hAnsi="宋体" w:cs="宋体"/>
          <w:sz w:val="28"/>
        </w:rPr>
        <w:t>4.3服务成果提交</w:t>
      </w:r>
    </w:p>
    <w:p w14:paraId="785569E9">
      <w:pPr>
        <w:widowControl/>
        <w:spacing w:line="240" w:lineRule="auto"/>
        <w:ind w:firstLine="560" w:firstLineChars="200"/>
        <w:jc w:val="left"/>
        <w:rPr>
          <w:rFonts w:hint="eastAsia" w:ascii="宋体" w:hAnsi="宋体" w:cs="宋体"/>
          <w:sz w:val="28"/>
        </w:rPr>
      </w:pPr>
      <w:r>
        <w:rPr>
          <w:rFonts w:hint="eastAsia" w:ascii="宋体" w:hAnsi="宋体" w:cs="宋体"/>
          <w:sz w:val="28"/>
        </w:rPr>
        <w:t>4.3.1服务成果</w:t>
      </w:r>
    </w:p>
    <w:p w14:paraId="7FCD05E1">
      <w:pPr>
        <w:widowControl/>
        <w:spacing w:line="240" w:lineRule="auto"/>
        <w:ind w:firstLine="560" w:firstLineChars="200"/>
        <w:jc w:val="left"/>
        <w:rPr>
          <w:rFonts w:hint="eastAsia" w:ascii="宋体" w:hAnsi="宋体" w:cs="宋体"/>
          <w:sz w:val="28"/>
        </w:rPr>
      </w:pPr>
      <w:r>
        <w:rPr>
          <w:rFonts w:hint="eastAsia" w:ascii="宋体" w:hAnsi="宋体" w:cs="宋体"/>
          <w:sz w:val="28"/>
        </w:rPr>
        <w:t>1.提交按时间顺序浏览的MP4格式视频文件,包括可见光及热感。可见光视频分辨率不低于1080P。</w:t>
      </w:r>
    </w:p>
    <w:p w14:paraId="77677ADA">
      <w:pPr>
        <w:widowControl/>
        <w:spacing w:line="240" w:lineRule="auto"/>
        <w:ind w:firstLine="560" w:firstLineChars="200"/>
        <w:jc w:val="left"/>
        <w:rPr>
          <w:rFonts w:hint="eastAsia" w:ascii="宋体" w:hAnsi="宋体" w:cs="宋体"/>
          <w:sz w:val="28"/>
        </w:rPr>
      </w:pPr>
      <w:r>
        <w:rPr>
          <w:rFonts w:hint="eastAsia" w:ascii="宋体" w:hAnsi="宋体" w:cs="宋体"/>
          <w:sz w:val="28"/>
        </w:rPr>
        <w:t>2.提交包含但不限于无人机飞行坐标、速度、高度、飞行路线、飞行速度、故障信息，任务设备相机参数、云台姿态角度等存储记录。</w:t>
      </w:r>
    </w:p>
    <w:p w14:paraId="57E0EF9C">
      <w:pPr>
        <w:widowControl/>
        <w:spacing w:line="240" w:lineRule="auto"/>
        <w:ind w:firstLine="560" w:firstLineChars="200"/>
        <w:jc w:val="left"/>
        <w:rPr>
          <w:rFonts w:hint="eastAsia" w:ascii="宋体" w:hAnsi="宋体" w:cs="宋体"/>
          <w:sz w:val="28"/>
        </w:rPr>
      </w:pPr>
      <w:r>
        <w:rPr>
          <w:rFonts w:hint="eastAsia" w:ascii="宋体" w:hAnsi="宋体" w:cs="宋体"/>
          <w:sz w:val="28"/>
        </w:rPr>
        <w:t>3.提交火灾风险隐患数据，包括但不限于发现地点、类型、详情等。</w:t>
      </w:r>
    </w:p>
    <w:p w14:paraId="6B551B98">
      <w:pPr>
        <w:widowControl/>
        <w:spacing w:line="240" w:lineRule="auto"/>
        <w:ind w:firstLine="560" w:firstLineChars="200"/>
        <w:jc w:val="left"/>
        <w:rPr>
          <w:rFonts w:hint="eastAsia" w:ascii="宋体" w:hAnsi="宋体" w:cs="宋体"/>
          <w:sz w:val="28"/>
        </w:rPr>
      </w:pPr>
      <w:r>
        <w:rPr>
          <w:rFonts w:hint="eastAsia" w:ascii="宋体" w:hAnsi="宋体" w:cs="宋体"/>
          <w:sz w:val="28"/>
        </w:rPr>
        <w:t>4.3.2飞行日报</w:t>
      </w:r>
    </w:p>
    <w:p w14:paraId="3B1093F3">
      <w:pPr>
        <w:widowControl/>
        <w:spacing w:line="240" w:lineRule="auto"/>
        <w:ind w:firstLine="560" w:firstLineChars="200"/>
        <w:jc w:val="left"/>
        <w:rPr>
          <w:rFonts w:hint="eastAsia" w:ascii="宋体" w:hAnsi="宋体" w:cs="宋体"/>
          <w:sz w:val="28"/>
        </w:rPr>
      </w:pPr>
      <w:r>
        <w:rPr>
          <w:rFonts w:hint="eastAsia" w:ascii="宋体" w:hAnsi="宋体" w:cs="宋体"/>
          <w:sz w:val="28"/>
        </w:rPr>
        <w:t>1.飞行记录整理</w:t>
      </w:r>
    </w:p>
    <w:p w14:paraId="0608A354">
      <w:pPr>
        <w:widowControl/>
        <w:spacing w:line="240" w:lineRule="auto"/>
        <w:ind w:firstLine="560" w:firstLineChars="200"/>
        <w:jc w:val="left"/>
        <w:rPr>
          <w:rFonts w:hint="eastAsia" w:ascii="宋体" w:hAnsi="宋体" w:cs="宋体"/>
          <w:sz w:val="28"/>
        </w:rPr>
      </w:pPr>
      <w:r>
        <w:rPr>
          <w:rFonts w:hint="eastAsia" w:ascii="宋体" w:hAnsi="宋体" w:cs="宋体"/>
          <w:sz w:val="28"/>
        </w:rPr>
        <w:t>整理飞行相关数据，包括作业编号、作业时间、巡护区域、作业面积、飞行结果等。</w:t>
      </w:r>
    </w:p>
    <w:p w14:paraId="146E7D06">
      <w:pPr>
        <w:widowControl/>
        <w:spacing w:line="240" w:lineRule="auto"/>
        <w:ind w:firstLine="560" w:firstLineChars="200"/>
        <w:jc w:val="left"/>
        <w:rPr>
          <w:rFonts w:hint="eastAsia" w:ascii="宋体" w:hAnsi="宋体" w:cs="宋体"/>
          <w:sz w:val="28"/>
        </w:rPr>
      </w:pPr>
      <w:r>
        <w:rPr>
          <w:rFonts w:hint="eastAsia" w:ascii="宋体" w:hAnsi="宋体" w:cs="宋体"/>
          <w:sz w:val="28"/>
        </w:rPr>
        <w:t>2.飞行资料整理</w:t>
      </w:r>
    </w:p>
    <w:p w14:paraId="6DBF08CC">
      <w:pPr>
        <w:widowControl/>
        <w:spacing w:line="240" w:lineRule="auto"/>
        <w:ind w:firstLine="560" w:firstLineChars="200"/>
        <w:jc w:val="left"/>
        <w:rPr>
          <w:rFonts w:hint="eastAsia" w:ascii="宋体" w:hAnsi="宋体" w:cs="宋体"/>
          <w:sz w:val="28"/>
        </w:rPr>
      </w:pPr>
      <w:r>
        <w:rPr>
          <w:rFonts w:hint="eastAsia" w:ascii="宋体" w:hAnsi="宋体" w:cs="宋体"/>
          <w:sz w:val="28"/>
        </w:rPr>
        <w:t>对飞行数据进行整理，填写飞行日报表，包括但不限于下列内容:</w:t>
      </w:r>
    </w:p>
    <w:p w14:paraId="54C16E19">
      <w:pPr>
        <w:widowControl/>
        <w:spacing w:line="240" w:lineRule="auto"/>
        <w:ind w:firstLine="560" w:firstLineChars="200"/>
        <w:jc w:val="left"/>
        <w:rPr>
          <w:rFonts w:hint="eastAsia" w:ascii="宋体" w:hAnsi="宋体" w:cs="宋体"/>
          <w:sz w:val="28"/>
        </w:rPr>
      </w:pPr>
      <w:r>
        <w:rPr>
          <w:rFonts w:hint="eastAsia" w:ascii="宋体" w:hAnsi="宋体" w:cs="宋体"/>
          <w:sz w:val="28"/>
        </w:rPr>
        <w:t>A)气候条件：包括天气、温度、湿度、风向、风速、能见度等。</w:t>
      </w:r>
    </w:p>
    <w:p w14:paraId="1BA995D1">
      <w:pPr>
        <w:widowControl/>
        <w:spacing w:line="240" w:lineRule="auto"/>
        <w:ind w:firstLine="560" w:firstLineChars="200"/>
        <w:jc w:val="left"/>
        <w:rPr>
          <w:rFonts w:hint="eastAsia" w:ascii="宋体" w:hAnsi="宋体" w:cs="宋体"/>
          <w:sz w:val="28"/>
        </w:rPr>
      </w:pPr>
      <w:r>
        <w:rPr>
          <w:rFonts w:hint="eastAsia" w:ascii="宋体" w:hAnsi="宋体" w:cs="宋体"/>
          <w:sz w:val="28"/>
        </w:rPr>
        <w:t>B)作业设备：无人机机型及其所挂载的吊舱。</w:t>
      </w:r>
    </w:p>
    <w:p w14:paraId="53E53982">
      <w:pPr>
        <w:widowControl/>
        <w:spacing w:line="240" w:lineRule="auto"/>
        <w:ind w:firstLine="560" w:firstLineChars="200"/>
        <w:jc w:val="left"/>
        <w:rPr>
          <w:rFonts w:hint="eastAsia" w:ascii="宋体" w:hAnsi="宋体" w:cs="宋体"/>
          <w:sz w:val="28"/>
        </w:rPr>
      </w:pPr>
      <w:r>
        <w:rPr>
          <w:rFonts w:hint="eastAsia" w:ascii="宋体" w:hAnsi="宋体" w:cs="宋体"/>
          <w:sz w:val="28"/>
        </w:rPr>
        <w:t>C)作业人员：飞行人员，负责人，安全员，对接人。</w:t>
      </w:r>
    </w:p>
    <w:p w14:paraId="1BDC0E1D">
      <w:pPr>
        <w:widowControl/>
        <w:spacing w:line="240" w:lineRule="auto"/>
        <w:ind w:firstLine="560" w:firstLineChars="200"/>
        <w:jc w:val="left"/>
        <w:rPr>
          <w:rFonts w:hint="eastAsia" w:ascii="宋体" w:hAnsi="宋体" w:cs="宋体"/>
          <w:sz w:val="28"/>
        </w:rPr>
      </w:pPr>
      <w:r>
        <w:rPr>
          <w:rFonts w:hint="eastAsia" w:ascii="宋体" w:hAnsi="宋体" w:cs="宋体"/>
          <w:sz w:val="28"/>
        </w:rPr>
        <w:t>D)地理环境：监测当前地理位置、地貌、地形、地类、植被类型、树种火源、可燃物、疑似过火区、过火面积、燃烧类型等。</w:t>
      </w:r>
    </w:p>
    <w:p w14:paraId="641638DD">
      <w:pPr>
        <w:widowControl/>
        <w:spacing w:line="240" w:lineRule="auto"/>
        <w:ind w:firstLine="560" w:firstLineChars="200"/>
        <w:jc w:val="left"/>
        <w:rPr>
          <w:rFonts w:hint="eastAsia" w:ascii="宋体" w:hAnsi="宋体" w:cs="宋体"/>
          <w:sz w:val="28"/>
        </w:rPr>
      </w:pPr>
      <w:r>
        <w:rPr>
          <w:rFonts w:hint="eastAsia" w:ascii="宋体" w:hAnsi="宋体" w:cs="宋体"/>
          <w:sz w:val="28"/>
        </w:rPr>
        <w:t>E)飞行航线：航路点数据。</w:t>
      </w:r>
    </w:p>
    <w:p w14:paraId="43905751">
      <w:pPr>
        <w:widowControl/>
        <w:spacing w:line="240" w:lineRule="auto"/>
        <w:ind w:firstLine="560" w:firstLineChars="200"/>
        <w:jc w:val="left"/>
        <w:rPr>
          <w:rFonts w:hint="eastAsia" w:ascii="宋体" w:hAnsi="宋体" w:cs="宋体"/>
          <w:sz w:val="28"/>
        </w:rPr>
      </w:pPr>
      <w:r>
        <w:rPr>
          <w:rFonts w:hint="eastAsia" w:ascii="宋体" w:hAnsi="宋体" w:cs="宋体"/>
          <w:sz w:val="28"/>
        </w:rPr>
        <w:t>F)巡护面积：根据航路点数据计算作业飞行面积。</w:t>
      </w:r>
    </w:p>
    <w:p w14:paraId="1372A0E2">
      <w:pPr>
        <w:widowControl/>
        <w:spacing w:line="240" w:lineRule="auto"/>
        <w:ind w:firstLine="560" w:firstLineChars="200"/>
        <w:jc w:val="left"/>
        <w:rPr>
          <w:rFonts w:hint="eastAsia" w:ascii="宋体" w:hAnsi="宋体" w:cs="宋体"/>
          <w:sz w:val="28"/>
        </w:rPr>
      </w:pPr>
      <w:r>
        <w:rPr>
          <w:rFonts w:hint="eastAsia" w:ascii="宋体" w:hAnsi="宋体" w:cs="宋体"/>
          <w:sz w:val="28"/>
        </w:rPr>
        <w:t>G)隐患点、灾害描述：影像数据、影像位置与姿态数据。</w:t>
      </w:r>
    </w:p>
    <w:p w14:paraId="2F92CB81">
      <w:pPr>
        <w:widowControl/>
        <w:spacing w:line="240" w:lineRule="auto"/>
        <w:ind w:firstLine="560" w:firstLineChars="200"/>
        <w:jc w:val="left"/>
        <w:rPr>
          <w:rFonts w:hint="eastAsia" w:ascii="宋体" w:hAnsi="宋体" w:cs="宋体"/>
          <w:sz w:val="28"/>
        </w:rPr>
      </w:pPr>
      <w:r>
        <w:rPr>
          <w:rFonts w:hint="eastAsia" w:ascii="宋体" w:hAnsi="宋体" w:cs="宋体"/>
          <w:sz w:val="28"/>
        </w:rPr>
        <w:t>H)飞行时间：飞行器起飞至降落时间。</w:t>
      </w:r>
    </w:p>
    <w:p w14:paraId="2D95DFB1">
      <w:pPr>
        <w:widowControl/>
        <w:spacing w:line="240" w:lineRule="auto"/>
        <w:ind w:firstLine="560" w:firstLineChars="200"/>
        <w:jc w:val="left"/>
        <w:rPr>
          <w:rFonts w:hint="eastAsia" w:ascii="宋体" w:hAnsi="宋体" w:cs="宋体"/>
          <w:sz w:val="28"/>
        </w:rPr>
      </w:pPr>
      <w:r>
        <w:rPr>
          <w:rFonts w:hint="eastAsia" w:ascii="宋体" w:hAnsi="宋体" w:cs="宋体"/>
          <w:sz w:val="28"/>
        </w:rPr>
        <w:t>I)飞行数据：包括可见光视频、红外视频、航拍图片。</w:t>
      </w:r>
    </w:p>
    <w:p w14:paraId="69B35C3F">
      <w:pPr>
        <w:widowControl/>
        <w:spacing w:line="240" w:lineRule="auto"/>
        <w:ind w:firstLine="560" w:firstLineChars="200"/>
        <w:jc w:val="left"/>
        <w:rPr>
          <w:rFonts w:hint="eastAsia" w:ascii="宋体" w:hAnsi="宋体" w:cs="宋体"/>
          <w:sz w:val="28"/>
        </w:rPr>
      </w:pPr>
      <w:r>
        <w:rPr>
          <w:rFonts w:hint="eastAsia" w:ascii="宋体" w:hAnsi="宋体" w:cs="宋体"/>
          <w:sz w:val="28"/>
        </w:rPr>
        <w:t>3.日飞行总结</w:t>
      </w:r>
    </w:p>
    <w:p w14:paraId="20E6B9A6">
      <w:pPr>
        <w:widowControl/>
        <w:spacing w:line="240" w:lineRule="auto"/>
        <w:ind w:firstLine="560" w:firstLineChars="200"/>
        <w:jc w:val="left"/>
        <w:rPr>
          <w:rFonts w:hint="eastAsia" w:ascii="宋体" w:hAnsi="宋体" w:cs="宋体"/>
          <w:sz w:val="28"/>
        </w:rPr>
      </w:pPr>
      <w:r>
        <w:rPr>
          <w:rFonts w:hint="eastAsia" w:ascii="宋体" w:hAnsi="宋体" w:cs="宋体"/>
          <w:sz w:val="28"/>
        </w:rPr>
        <w:t>对当天作业情况进行总结，主要内容包括:人员工作情况、设备工作情况、任务完成情况、后续工作计划、飞控平台自动生成的飞行巡查报告及注意事项。</w:t>
      </w:r>
    </w:p>
    <w:p w14:paraId="4E6CEA33">
      <w:pPr>
        <w:widowControl/>
        <w:spacing w:line="240" w:lineRule="auto"/>
        <w:ind w:firstLine="560" w:firstLineChars="200"/>
        <w:jc w:val="left"/>
        <w:rPr>
          <w:rFonts w:hint="eastAsia" w:ascii="宋体" w:hAnsi="宋体" w:cs="宋体"/>
          <w:sz w:val="28"/>
        </w:rPr>
      </w:pPr>
      <w:r>
        <w:rPr>
          <w:rFonts w:hint="eastAsia" w:ascii="宋体" w:hAnsi="宋体" w:cs="宋体"/>
          <w:sz w:val="28"/>
        </w:rPr>
        <w:t>4.3.3总结报告</w:t>
      </w:r>
    </w:p>
    <w:p w14:paraId="436178A6">
      <w:pPr>
        <w:widowControl/>
        <w:spacing w:line="240" w:lineRule="auto"/>
        <w:ind w:firstLine="560" w:firstLineChars="200"/>
        <w:jc w:val="left"/>
        <w:rPr>
          <w:rFonts w:hint="eastAsia" w:ascii="宋体" w:hAnsi="宋体" w:cs="宋体"/>
          <w:sz w:val="28"/>
        </w:rPr>
      </w:pPr>
      <w:r>
        <w:rPr>
          <w:rFonts w:hint="eastAsia" w:ascii="宋体" w:hAnsi="宋体" w:cs="宋体"/>
          <w:sz w:val="28"/>
        </w:rPr>
        <w:t>完成巡护任务后对整体飞行结果进行总结</w:t>
      </w:r>
    </w:p>
    <w:p w14:paraId="0D5E5525">
      <w:pPr>
        <w:widowControl/>
        <w:spacing w:line="240" w:lineRule="auto"/>
        <w:ind w:firstLine="560" w:firstLineChars="200"/>
        <w:jc w:val="left"/>
        <w:rPr>
          <w:rFonts w:hint="eastAsia" w:ascii="宋体" w:hAnsi="宋体" w:cs="宋体"/>
          <w:sz w:val="28"/>
        </w:rPr>
      </w:pPr>
      <w:r>
        <w:rPr>
          <w:rFonts w:hint="eastAsia" w:ascii="宋体" w:hAnsi="宋体" w:cs="宋体"/>
          <w:sz w:val="28"/>
        </w:rPr>
        <w:t>1.巡护区域整体介绍</w:t>
      </w:r>
    </w:p>
    <w:p w14:paraId="76F521F0">
      <w:pPr>
        <w:widowControl/>
        <w:spacing w:line="240" w:lineRule="auto"/>
        <w:ind w:firstLine="560" w:firstLineChars="200"/>
        <w:jc w:val="left"/>
        <w:rPr>
          <w:rFonts w:hint="eastAsia" w:ascii="宋体" w:hAnsi="宋体" w:cs="宋体"/>
          <w:sz w:val="28"/>
        </w:rPr>
      </w:pPr>
      <w:r>
        <w:rPr>
          <w:rFonts w:hint="eastAsia" w:ascii="宋体" w:hAnsi="宋体" w:cs="宋体"/>
          <w:sz w:val="28"/>
        </w:rPr>
        <w:t>巡护区域地理位置、地貌、地形、地类、植被类型、树种、火源、可燃物、疑似过火区、过火面积、燃烧类型等。</w:t>
      </w:r>
    </w:p>
    <w:p w14:paraId="3523E88D">
      <w:pPr>
        <w:widowControl/>
        <w:spacing w:line="240" w:lineRule="auto"/>
        <w:ind w:firstLine="560" w:firstLineChars="200"/>
        <w:jc w:val="left"/>
        <w:rPr>
          <w:rFonts w:hint="eastAsia" w:ascii="宋体" w:hAnsi="宋体" w:cs="宋体"/>
          <w:sz w:val="28"/>
        </w:rPr>
      </w:pPr>
      <w:r>
        <w:rPr>
          <w:rFonts w:hint="eastAsia" w:ascii="宋体" w:hAnsi="宋体" w:cs="宋体"/>
          <w:sz w:val="28"/>
        </w:rPr>
        <w:t>2.人文环境</w:t>
      </w:r>
    </w:p>
    <w:p w14:paraId="3D9D4682">
      <w:pPr>
        <w:widowControl/>
        <w:spacing w:line="240" w:lineRule="auto"/>
        <w:ind w:firstLine="560" w:firstLineChars="200"/>
        <w:jc w:val="left"/>
        <w:rPr>
          <w:rFonts w:hint="eastAsia" w:ascii="宋体" w:hAnsi="宋体" w:cs="宋体"/>
          <w:sz w:val="28"/>
        </w:rPr>
      </w:pPr>
      <w:r>
        <w:rPr>
          <w:rFonts w:hint="eastAsia" w:ascii="宋体" w:hAnsi="宋体" w:cs="宋体"/>
          <w:sz w:val="28"/>
        </w:rPr>
        <w:t>巡护作业区域人文环境对巡护作业及防火的影响，当地生活习惯可能产生的火灾隐患。</w:t>
      </w:r>
    </w:p>
    <w:p w14:paraId="55A6C889">
      <w:pPr>
        <w:widowControl/>
        <w:spacing w:line="240" w:lineRule="auto"/>
        <w:ind w:firstLine="560" w:firstLineChars="200"/>
        <w:jc w:val="left"/>
        <w:rPr>
          <w:rFonts w:hint="eastAsia" w:ascii="宋体" w:hAnsi="宋体" w:cs="宋体"/>
          <w:sz w:val="28"/>
        </w:rPr>
      </w:pPr>
      <w:r>
        <w:rPr>
          <w:rFonts w:hint="eastAsia" w:ascii="宋体" w:hAnsi="宋体" w:cs="宋体"/>
          <w:sz w:val="28"/>
        </w:rPr>
        <w:t>3.气象条件</w:t>
      </w:r>
    </w:p>
    <w:p w14:paraId="7A680B67">
      <w:pPr>
        <w:widowControl/>
        <w:spacing w:line="240" w:lineRule="auto"/>
        <w:ind w:firstLine="560" w:firstLineChars="200"/>
        <w:jc w:val="left"/>
        <w:rPr>
          <w:rFonts w:hint="eastAsia" w:ascii="宋体" w:hAnsi="宋体" w:cs="宋体"/>
          <w:sz w:val="28"/>
        </w:rPr>
      </w:pPr>
      <w:r>
        <w:rPr>
          <w:rFonts w:hint="eastAsia" w:ascii="宋体" w:hAnsi="宋体" w:cs="宋体"/>
          <w:sz w:val="28"/>
        </w:rPr>
        <w:t>巡护区域温度、湿度、风向、风速、能见度等，气象条件对飞行及防火的影响。</w:t>
      </w:r>
    </w:p>
    <w:p w14:paraId="048A743E">
      <w:pPr>
        <w:widowControl/>
        <w:spacing w:line="240" w:lineRule="auto"/>
        <w:ind w:firstLine="560" w:firstLineChars="200"/>
        <w:jc w:val="left"/>
        <w:rPr>
          <w:rFonts w:hint="eastAsia" w:ascii="宋体" w:hAnsi="宋体" w:cs="宋体"/>
          <w:sz w:val="28"/>
        </w:rPr>
      </w:pPr>
      <w:r>
        <w:rPr>
          <w:rFonts w:hint="eastAsia" w:ascii="宋体" w:hAnsi="宋体" w:cs="宋体"/>
          <w:sz w:val="28"/>
        </w:rPr>
        <w:t>4.作业设备</w:t>
      </w:r>
    </w:p>
    <w:p w14:paraId="4E9A31E2">
      <w:pPr>
        <w:widowControl/>
        <w:spacing w:line="240" w:lineRule="auto"/>
        <w:ind w:firstLine="560" w:firstLineChars="200"/>
        <w:jc w:val="left"/>
        <w:rPr>
          <w:rFonts w:hint="eastAsia" w:ascii="宋体" w:hAnsi="宋体" w:cs="宋体"/>
          <w:sz w:val="28"/>
        </w:rPr>
      </w:pPr>
      <w:r>
        <w:rPr>
          <w:rFonts w:hint="eastAsia" w:ascii="宋体" w:hAnsi="宋体" w:cs="宋体"/>
          <w:sz w:val="28"/>
        </w:rPr>
        <w:t>作业设备整体运行情况。不同设备对巡护作业的作用及影响。</w:t>
      </w:r>
    </w:p>
    <w:p w14:paraId="0C789042">
      <w:pPr>
        <w:widowControl/>
        <w:spacing w:line="240" w:lineRule="auto"/>
        <w:ind w:firstLine="560" w:firstLineChars="200"/>
        <w:jc w:val="left"/>
        <w:rPr>
          <w:rFonts w:hint="eastAsia" w:ascii="宋体" w:hAnsi="宋体" w:cs="宋体"/>
          <w:sz w:val="28"/>
        </w:rPr>
      </w:pPr>
      <w:r>
        <w:rPr>
          <w:rFonts w:hint="eastAsia" w:ascii="宋体" w:hAnsi="宋体" w:cs="宋体"/>
          <w:sz w:val="28"/>
        </w:rPr>
        <w:t>5.无人机主要作用</w:t>
      </w:r>
    </w:p>
    <w:p w14:paraId="0842EFB3">
      <w:pPr>
        <w:widowControl/>
        <w:spacing w:line="240" w:lineRule="auto"/>
        <w:ind w:firstLine="560" w:firstLineChars="200"/>
        <w:jc w:val="left"/>
        <w:rPr>
          <w:rFonts w:hint="eastAsia" w:ascii="宋体" w:hAnsi="宋体" w:cs="宋体"/>
          <w:sz w:val="28"/>
        </w:rPr>
      </w:pPr>
      <w:r>
        <w:rPr>
          <w:rFonts w:hint="eastAsia" w:ascii="宋体" w:hAnsi="宋体" w:cs="宋体"/>
          <w:sz w:val="28"/>
        </w:rPr>
        <w:t>总结梳理无人机技术在森林草原防灭火工作中的作用，包括但不限于巡护区域森林巡护、隐患排查、早期火情处置、无人机防火宣传等情况。</w:t>
      </w:r>
    </w:p>
    <w:p w14:paraId="0AF25097">
      <w:pPr>
        <w:widowControl/>
        <w:spacing w:line="240" w:lineRule="auto"/>
        <w:ind w:firstLine="560" w:firstLineChars="200"/>
        <w:jc w:val="left"/>
        <w:rPr>
          <w:rFonts w:hint="eastAsia" w:ascii="宋体" w:hAnsi="宋体" w:cs="宋体"/>
          <w:sz w:val="28"/>
        </w:rPr>
      </w:pPr>
      <w:r>
        <w:rPr>
          <w:rFonts w:hint="eastAsia" w:ascii="宋体" w:hAnsi="宋体" w:cs="宋体"/>
          <w:sz w:val="28"/>
        </w:rPr>
        <w:t>6.其他情况</w:t>
      </w:r>
    </w:p>
    <w:p w14:paraId="0D0A6AEE">
      <w:pPr>
        <w:widowControl/>
        <w:spacing w:line="240" w:lineRule="auto"/>
        <w:ind w:firstLine="560" w:firstLineChars="200"/>
        <w:jc w:val="left"/>
        <w:rPr>
          <w:rFonts w:hint="eastAsia" w:ascii="宋体" w:hAnsi="宋体" w:cs="宋体"/>
          <w:sz w:val="28"/>
        </w:rPr>
      </w:pPr>
      <w:r>
        <w:rPr>
          <w:rFonts w:hint="eastAsia" w:ascii="宋体" w:hAnsi="宋体" w:cs="宋体"/>
          <w:sz w:val="28"/>
        </w:rPr>
        <w:t>巡护作业区域电力、交通、农业等户外作业可能产生的火灾隐患。</w:t>
      </w:r>
    </w:p>
    <w:p w14:paraId="63B4D72B">
      <w:pPr>
        <w:widowControl/>
        <w:spacing w:line="240" w:lineRule="auto"/>
        <w:ind w:firstLine="560" w:firstLineChars="200"/>
        <w:jc w:val="left"/>
        <w:rPr>
          <w:rFonts w:hint="eastAsia" w:ascii="宋体" w:hAnsi="宋体" w:cs="宋体"/>
          <w:sz w:val="28"/>
        </w:rPr>
      </w:pPr>
      <w:r>
        <w:rPr>
          <w:rFonts w:hint="eastAsia" w:ascii="宋体" w:hAnsi="宋体" w:cs="宋体"/>
          <w:sz w:val="28"/>
        </w:rPr>
        <w:t>7.辅助材料</w:t>
      </w:r>
    </w:p>
    <w:p w14:paraId="2BAF7AFE">
      <w:pPr>
        <w:pStyle w:val="122"/>
        <w:spacing w:line="480" w:lineRule="exact"/>
        <w:ind w:firstLine="560" w:firstLineChars="200"/>
        <w:jc w:val="left"/>
        <w:rPr>
          <w:rFonts w:hint="eastAsia" w:asciiTheme="minorEastAsia" w:hAnsiTheme="minorEastAsia" w:eastAsiaTheme="minorEastAsia" w:cstheme="minorEastAsia"/>
          <w:kern w:val="0"/>
          <w:sz w:val="24"/>
          <w:szCs w:val="24"/>
          <w:lang w:bidi="ar"/>
        </w:rPr>
      </w:pPr>
      <w:r>
        <w:rPr>
          <w:rFonts w:hint="eastAsia" w:ascii="宋体" w:hAnsi="宋体" w:cs="宋体"/>
          <w:sz w:val="28"/>
        </w:rPr>
        <w:t>包括航线、航迹、各类签字单据等。</w:t>
      </w:r>
    </w:p>
    <w:p w14:paraId="060E2B1C">
      <w:pPr>
        <w:pStyle w:val="122"/>
        <w:spacing w:line="480" w:lineRule="exact"/>
        <w:jc w:val="center"/>
        <w:rPr>
          <w:rFonts w:hint="eastAsia" w:asciiTheme="minorEastAsia" w:hAnsiTheme="minorEastAsia" w:eastAsiaTheme="minorEastAsia" w:cstheme="minorEastAsia"/>
          <w:kern w:val="0"/>
          <w:sz w:val="24"/>
          <w:szCs w:val="24"/>
          <w:lang w:bidi="ar"/>
        </w:rPr>
      </w:pPr>
    </w:p>
    <w:p w14:paraId="68987390">
      <w:pPr>
        <w:pStyle w:val="122"/>
        <w:spacing w:line="480" w:lineRule="exact"/>
        <w:jc w:val="center"/>
        <w:rPr>
          <w:rFonts w:hint="eastAsia" w:asciiTheme="minorEastAsia" w:hAnsiTheme="minorEastAsia" w:eastAsiaTheme="minorEastAsia" w:cstheme="minorEastAsia"/>
          <w:kern w:val="0"/>
          <w:sz w:val="24"/>
          <w:szCs w:val="24"/>
          <w:lang w:bidi="ar"/>
        </w:rPr>
      </w:pPr>
    </w:p>
    <w:p w14:paraId="3B964377">
      <w:pPr>
        <w:pStyle w:val="122"/>
        <w:spacing w:line="480" w:lineRule="exact"/>
        <w:jc w:val="center"/>
        <w:rPr>
          <w:rFonts w:hint="eastAsia" w:asciiTheme="minorEastAsia" w:hAnsiTheme="minorEastAsia" w:eastAsiaTheme="minorEastAsia" w:cstheme="minorEastAsia"/>
          <w:kern w:val="0"/>
          <w:sz w:val="24"/>
          <w:szCs w:val="24"/>
          <w:lang w:bidi="ar"/>
        </w:rPr>
      </w:pPr>
    </w:p>
    <w:p w14:paraId="0EA6F224">
      <w:pPr>
        <w:pStyle w:val="122"/>
        <w:spacing w:line="480" w:lineRule="exact"/>
        <w:jc w:val="center"/>
        <w:rPr>
          <w:rFonts w:hint="eastAsia" w:asciiTheme="minorEastAsia" w:hAnsiTheme="minorEastAsia" w:eastAsiaTheme="minorEastAsia" w:cstheme="minorEastAsia"/>
          <w:kern w:val="0"/>
          <w:sz w:val="24"/>
          <w:szCs w:val="24"/>
          <w:lang w:bidi="ar"/>
        </w:rPr>
      </w:pPr>
    </w:p>
    <w:p w14:paraId="35A4149D">
      <w:pPr>
        <w:pStyle w:val="122"/>
        <w:spacing w:line="480" w:lineRule="exact"/>
        <w:jc w:val="center"/>
        <w:rPr>
          <w:rFonts w:hint="eastAsia" w:asciiTheme="minorEastAsia" w:hAnsiTheme="minorEastAsia" w:eastAsiaTheme="minorEastAsia" w:cstheme="minorEastAsia"/>
          <w:kern w:val="0"/>
          <w:sz w:val="24"/>
          <w:szCs w:val="24"/>
          <w:lang w:bidi="ar"/>
        </w:rPr>
      </w:pPr>
    </w:p>
    <w:p w14:paraId="72B79416">
      <w:pPr>
        <w:pStyle w:val="122"/>
        <w:spacing w:line="480" w:lineRule="exact"/>
        <w:jc w:val="center"/>
        <w:rPr>
          <w:rFonts w:hint="eastAsia" w:asciiTheme="minorEastAsia" w:hAnsiTheme="minorEastAsia" w:eastAsiaTheme="minorEastAsia" w:cstheme="minorEastAsia"/>
          <w:kern w:val="0"/>
          <w:sz w:val="24"/>
          <w:szCs w:val="24"/>
          <w:lang w:bidi="ar"/>
        </w:rPr>
      </w:pPr>
    </w:p>
    <w:p w14:paraId="07B91405">
      <w:pPr>
        <w:pStyle w:val="122"/>
        <w:spacing w:line="480" w:lineRule="exact"/>
        <w:jc w:val="center"/>
        <w:rPr>
          <w:rFonts w:hint="eastAsia" w:asciiTheme="minorEastAsia" w:hAnsiTheme="minorEastAsia" w:eastAsiaTheme="minorEastAsia" w:cstheme="minorEastAsia"/>
          <w:kern w:val="0"/>
          <w:sz w:val="24"/>
          <w:szCs w:val="24"/>
          <w:lang w:bidi="ar"/>
        </w:rPr>
      </w:pPr>
    </w:p>
    <w:p w14:paraId="6241B963">
      <w:pPr>
        <w:pStyle w:val="122"/>
        <w:spacing w:line="480" w:lineRule="exact"/>
        <w:jc w:val="center"/>
        <w:rPr>
          <w:rFonts w:hint="eastAsia" w:asciiTheme="minorEastAsia" w:hAnsiTheme="minorEastAsia" w:eastAsiaTheme="minorEastAsia" w:cstheme="minorEastAsia"/>
          <w:kern w:val="0"/>
          <w:sz w:val="24"/>
          <w:szCs w:val="24"/>
          <w:lang w:bidi="ar"/>
        </w:rPr>
      </w:pPr>
    </w:p>
    <w:p w14:paraId="0E72064D">
      <w:pPr>
        <w:pStyle w:val="122"/>
        <w:spacing w:line="480" w:lineRule="exact"/>
        <w:jc w:val="center"/>
        <w:rPr>
          <w:rFonts w:hint="eastAsia" w:asciiTheme="minorEastAsia" w:hAnsiTheme="minorEastAsia" w:eastAsiaTheme="minorEastAsia" w:cstheme="minorEastAsia"/>
          <w:kern w:val="0"/>
          <w:sz w:val="24"/>
          <w:szCs w:val="24"/>
          <w:lang w:bidi="ar"/>
        </w:rPr>
      </w:pPr>
    </w:p>
    <w:p w14:paraId="47686AB3">
      <w:pPr>
        <w:pStyle w:val="122"/>
        <w:spacing w:line="480" w:lineRule="exact"/>
        <w:jc w:val="center"/>
        <w:rPr>
          <w:rFonts w:hint="eastAsia" w:asciiTheme="minorEastAsia" w:hAnsiTheme="minorEastAsia" w:eastAsiaTheme="minorEastAsia" w:cstheme="minorEastAsia"/>
          <w:kern w:val="0"/>
          <w:sz w:val="24"/>
          <w:szCs w:val="24"/>
          <w:lang w:bidi="ar"/>
        </w:rPr>
      </w:pPr>
    </w:p>
    <w:p w14:paraId="0BD22DBF">
      <w:pPr>
        <w:pStyle w:val="122"/>
        <w:spacing w:line="480" w:lineRule="exact"/>
        <w:jc w:val="center"/>
        <w:rPr>
          <w:rFonts w:hint="eastAsia" w:asciiTheme="minorEastAsia" w:hAnsiTheme="minorEastAsia" w:eastAsiaTheme="minorEastAsia" w:cstheme="minorEastAsia"/>
          <w:kern w:val="0"/>
          <w:sz w:val="24"/>
          <w:szCs w:val="24"/>
          <w:lang w:bidi="ar"/>
        </w:rPr>
      </w:pPr>
    </w:p>
    <w:p w14:paraId="1931AE43">
      <w:pPr>
        <w:widowControl/>
        <w:spacing w:line="240" w:lineRule="auto"/>
        <w:ind w:firstLine="562" w:firstLineChars="20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b/>
          <w:bCs/>
          <w:sz w:val="28"/>
        </w:rPr>
        <w:br w:type="page"/>
      </w:r>
    </w:p>
    <w:p w14:paraId="21F70AD2">
      <w:pPr>
        <w:pStyle w:val="3"/>
        <w:rPr>
          <w:rFonts w:hint="eastAsia" w:asciiTheme="minorEastAsia" w:hAnsiTheme="minorEastAsia" w:eastAsiaTheme="minorEastAsia" w:cstheme="minorEastAsia"/>
        </w:rPr>
      </w:pPr>
      <w:bookmarkStart w:id="107" w:name="_Toc18918"/>
      <w:r>
        <w:rPr>
          <w:rFonts w:hint="eastAsia" w:asciiTheme="minorEastAsia" w:hAnsiTheme="minorEastAsia" w:eastAsiaTheme="minorEastAsia" w:cstheme="minorEastAsia"/>
        </w:rPr>
        <w:t>投标文件格式</w:t>
      </w:r>
      <w:bookmarkEnd w:id="107"/>
    </w:p>
    <w:p w14:paraId="1D66E2E6">
      <w:pPr>
        <w:jc w:val="center"/>
        <w:rPr>
          <w:rFonts w:hint="eastAsia" w:asciiTheme="minorEastAsia" w:hAnsiTheme="minorEastAsia" w:eastAsiaTheme="minorEastAsia" w:cstheme="minorEastAsia"/>
          <w:sz w:val="20"/>
          <w:u w:val="single"/>
        </w:rPr>
      </w:pPr>
      <w:r>
        <w:rPr>
          <w:rFonts w:hint="eastAsia" w:asciiTheme="minorEastAsia" w:hAnsiTheme="minorEastAsia" w:eastAsiaTheme="minorEastAsia" w:cstheme="minorEastAsia"/>
          <w:sz w:val="28"/>
          <w:szCs w:val="28"/>
          <w:u w:val="single"/>
        </w:rPr>
        <w:t>（项目名称）</w:t>
      </w:r>
    </w:p>
    <w:p w14:paraId="0F1B4569">
      <w:pPr>
        <w:pStyle w:val="15"/>
        <w:rPr>
          <w:rFonts w:hint="eastAsia" w:asciiTheme="minorEastAsia" w:hAnsiTheme="minorEastAsia" w:eastAsiaTheme="minorEastAsia" w:cstheme="minorEastAsia"/>
        </w:rPr>
      </w:pPr>
    </w:p>
    <w:p w14:paraId="244274E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44"/>
          <w:szCs w:val="44"/>
        </w:rPr>
        <w:t>投标文件</w:t>
      </w:r>
    </w:p>
    <w:p w14:paraId="248CB99C">
      <w:pPr>
        <w:rPr>
          <w:rFonts w:hint="eastAsia" w:asciiTheme="minorEastAsia" w:hAnsiTheme="minorEastAsia" w:eastAsiaTheme="minorEastAsia" w:cstheme="minorEastAsia"/>
          <w:sz w:val="28"/>
          <w:szCs w:val="28"/>
        </w:rPr>
      </w:pPr>
    </w:p>
    <w:p w14:paraId="45B965C5">
      <w:pPr>
        <w:rPr>
          <w:rFonts w:hint="eastAsia" w:asciiTheme="minorEastAsia" w:hAnsiTheme="minorEastAsia" w:eastAsiaTheme="minorEastAsia" w:cstheme="minorEastAsia"/>
          <w:sz w:val="28"/>
          <w:szCs w:val="28"/>
        </w:rPr>
      </w:pPr>
    </w:p>
    <w:p w14:paraId="74821712">
      <w:pPr>
        <w:rPr>
          <w:rFonts w:hint="eastAsia" w:asciiTheme="minorEastAsia" w:hAnsiTheme="minorEastAsia" w:eastAsiaTheme="minorEastAsia" w:cstheme="minorEastAsia"/>
          <w:sz w:val="28"/>
          <w:szCs w:val="28"/>
        </w:rPr>
      </w:pPr>
    </w:p>
    <w:p w14:paraId="3DBC0BF2">
      <w:pPr>
        <w:rPr>
          <w:rFonts w:hint="eastAsia" w:asciiTheme="minorEastAsia" w:hAnsiTheme="minorEastAsia" w:eastAsiaTheme="minorEastAsia" w:cstheme="minorEastAsia"/>
          <w:sz w:val="28"/>
          <w:szCs w:val="28"/>
        </w:rPr>
      </w:pPr>
    </w:p>
    <w:p w14:paraId="722306DF">
      <w:pPr>
        <w:rPr>
          <w:rFonts w:hint="eastAsia" w:asciiTheme="minorEastAsia" w:hAnsiTheme="minorEastAsia" w:eastAsiaTheme="minorEastAsia" w:cstheme="minorEastAsia"/>
          <w:sz w:val="28"/>
          <w:szCs w:val="28"/>
        </w:rPr>
      </w:pPr>
    </w:p>
    <w:p w14:paraId="44CB8F8C">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w:t>
      </w:r>
    </w:p>
    <w:p w14:paraId="504ED57C">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采购人名称：</w:t>
      </w:r>
    </w:p>
    <w:p w14:paraId="7B60D7E6">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投标人：（盖章）</w:t>
      </w:r>
    </w:p>
    <w:p w14:paraId="4D479B4C">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法定代表人或其委托代理人：（签字或盖章）</w:t>
      </w:r>
    </w:p>
    <w:p w14:paraId="4F1D9F7B">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w:t>
      </w:r>
    </w:p>
    <w:p w14:paraId="3E7C089A">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w:t>
      </w:r>
    </w:p>
    <w:p w14:paraId="3762CA65">
      <w:pPr>
        <w:spacing w:line="48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联系电话：</w:t>
      </w:r>
    </w:p>
    <w:p w14:paraId="63FB6559">
      <w:pPr>
        <w:spacing w:line="48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t>日期：  年   月    日</w:t>
      </w:r>
    </w:p>
    <w:bookmarkEnd w:id="102"/>
    <w:bookmarkEnd w:id="103"/>
    <w:bookmarkEnd w:id="104"/>
    <w:bookmarkEnd w:id="105"/>
    <w:p w14:paraId="3E6BED4F">
      <w:pPr>
        <w:widowControl/>
        <w:spacing w:line="240" w:lineRule="auto"/>
        <w:jc w:val="left"/>
        <w:rPr>
          <w:rFonts w:hint="eastAsia" w:asciiTheme="minorEastAsia" w:hAnsiTheme="minorEastAsia" w:eastAsiaTheme="minorEastAsia" w:cstheme="minorEastAsia"/>
          <w:sz w:val="28"/>
          <w:szCs w:val="28"/>
        </w:rPr>
      </w:pPr>
      <w:bookmarkStart w:id="108" w:name="_Toc1719141"/>
      <w:bookmarkStart w:id="109" w:name="_Toc1721037"/>
      <w:bookmarkStart w:id="110" w:name="_Toc11595539"/>
      <w:r>
        <w:rPr>
          <w:rFonts w:hint="eastAsia" w:asciiTheme="minorEastAsia" w:hAnsiTheme="minorEastAsia" w:eastAsiaTheme="minorEastAsia" w:cstheme="minorEastAsia"/>
          <w:sz w:val="28"/>
          <w:szCs w:val="28"/>
        </w:rPr>
        <w:br w:type="page"/>
      </w:r>
    </w:p>
    <w:bookmarkEnd w:id="108"/>
    <w:bookmarkEnd w:id="109"/>
    <w:bookmarkEnd w:id="110"/>
    <w:p w14:paraId="4D7BD1B4">
      <w:pPr>
        <w:pStyle w:val="4"/>
        <w:rPr>
          <w:rFonts w:hint="eastAsia" w:asciiTheme="minorEastAsia" w:hAnsiTheme="minorEastAsia" w:eastAsiaTheme="minorEastAsia" w:cstheme="minorEastAsia"/>
          <w:kern w:val="0"/>
          <w:sz w:val="32"/>
        </w:rPr>
      </w:pPr>
      <w:bookmarkStart w:id="111" w:name="_Toc1719143"/>
      <w:bookmarkStart w:id="112" w:name="_Toc11595541"/>
      <w:bookmarkStart w:id="113" w:name="_Toc1721039"/>
      <w:bookmarkStart w:id="114" w:name="_Toc22867"/>
      <w:r>
        <w:rPr>
          <w:rStyle w:val="52"/>
          <w:rFonts w:hint="eastAsia" w:asciiTheme="minorEastAsia" w:hAnsiTheme="minorEastAsia" w:eastAsiaTheme="minorEastAsia" w:cstheme="minorEastAsia"/>
          <w:b w:val="0"/>
          <w:bCs w:val="0"/>
        </w:rPr>
        <w:t>1、</w:t>
      </w:r>
      <w:bookmarkEnd w:id="111"/>
      <w:bookmarkEnd w:id="112"/>
      <w:bookmarkEnd w:id="113"/>
      <w:bookmarkStart w:id="115" w:name="_Hlt520356241"/>
      <w:bookmarkEnd w:id="115"/>
      <w:r>
        <w:rPr>
          <w:rStyle w:val="52"/>
          <w:rFonts w:hint="eastAsia" w:asciiTheme="minorEastAsia" w:hAnsiTheme="minorEastAsia" w:eastAsiaTheme="minorEastAsia" w:cstheme="minorEastAsia"/>
          <w:b w:val="0"/>
          <w:bCs w:val="0"/>
        </w:rPr>
        <w:t>开标一览表</w:t>
      </w:r>
      <w:bookmarkEnd w:id="114"/>
    </w:p>
    <w:p w14:paraId="2228D6B6">
      <w:pPr>
        <w:tabs>
          <w:tab w:val="left" w:pos="3255"/>
        </w:tabs>
        <w:autoSpaceDE w:val="0"/>
        <w:autoSpaceDN w:val="0"/>
        <w:adjustRightInd w:val="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项目名称：</w:t>
      </w:r>
    </w:p>
    <w:tbl>
      <w:tblPr>
        <w:tblStyle w:val="42"/>
        <w:tblpPr w:leftFromText="180" w:rightFromText="180" w:vertAnchor="page" w:horzAnchor="margin" w:tblpXSpec="center" w:tblpY="306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980"/>
        <w:gridCol w:w="2106"/>
        <w:gridCol w:w="2978"/>
      </w:tblGrid>
      <w:tr w14:paraId="69361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983" w:type="dxa"/>
            <w:vAlign w:val="center"/>
          </w:tcPr>
          <w:p w14:paraId="13C1C250">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投    标    人</w:t>
            </w:r>
          </w:p>
        </w:tc>
        <w:tc>
          <w:tcPr>
            <w:tcW w:w="7056" w:type="dxa"/>
            <w:gridSpan w:val="4"/>
          </w:tcPr>
          <w:p w14:paraId="0B482167">
            <w:pPr>
              <w:autoSpaceDE w:val="0"/>
              <w:autoSpaceDN w:val="0"/>
              <w:spacing w:line="440" w:lineRule="exact"/>
              <w:jc w:val="left"/>
              <w:rPr>
                <w:rFonts w:hint="eastAsia" w:asciiTheme="minorEastAsia" w:hAnsiTheme="minorEastAsia" w:eastAsiaTheme="minorEastAsia" w:cstheme="minorEastAsia"/>
                <w:kern w:val="0"/>
              </w:rPr>
            </w:pPr>
          </w:p>
        </w:tc>
      </w:tr>
      <w:tr w14:paraId="523D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trPr>
        <w:tc>
          <w:tcPr>
            <w:tcW w:w="1983" w:type="dxa"/>
            <w:vAlign w:val="center"/>
          </w:tcPr>
          <w:p w14:paraId="5A4D5E90">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法 定 代 表 人</w:t>
            </w:r>
          </w:p>
        </w:tc>
        <w:tc>
          <w:tcPr>
            <w:tcW w:w="1972" w:type="dxa"/>
            <w:gridSpan w:val="2"/>
          </w:tcPr>
          <w:p w14:paraId="6531A78E">
            <w:pPr>
              <w:autoSpaceDE w:val="0"/>
              <w:autoSpaceDN w:val="0"/>
              <w:spacing w:line="440" w:lineRule="exact"/>
              <w:jc w:val="left"/>
              <w:rPr>
                <w:rFonts w:hint="eastAsia" w:asciiTheme="minorEastAsia" w:hAnsiTheme="minorEastAsia" w:eastAsiaTheme="minorEastAsia" w:cstheme="minorEastAsia"/>
                <w:kern w:val="0"/>
              </w:rPr>
            </w:pPr>
          </w:p>
        </w:tc>
        <w:tc>
          <w:tcPr>
            <w:tcW w:w="2106" w:type="dxa"/>
            <w:vAlign w:val="center"/>
          </w:tcPr>
          <w:p w14:paraId="3CF5EC58">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法人委托代理人</w:t>
            </w:r>
          </w:p>
        </w:tc>
        <w:tc>
          <w:tcPr>
            <w:tcW w:w="2978" w:type="dxa"/>
            <w:vAlign w:val="center"/>
          </w:tcPr>
          <w:p w14:paraId="4178CC2D">
            <w:pPr>
              <w:autoSpaceDE w:val="0"/>
              <w:autoSpaceDN w:val="0"/>
              <w:spacing w:line="440" w:lineRule="exact"/>
              <w:jc w:val="center"/>
              <w:rPr>
                <w:rFonts w:hint="eastAsia" w:asciiTheme="minorEastAsia" w:hAnsiTheme="minorEastAsia" w:eastAsiaTheme="minorEastAsia" w:cstheme="minorEastAsia"/>
                <w:kern w:val="0"/>
              </w:rPr>
            </w:pPr>
          </w:p>
        </w:tc>
      </w:tr>
      <w:tr w14:paraId="47C5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rPr>
        <w:tc>
          <w:tcPr>
            <w:tcW w:w="1983" w:type="dxa"/>
            <w:vAlign w:val="center"/>
          </w:tcPr>
          <w:p w14:paraId="2583D81C">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联    系    人</w:t>
            </w:r>
          </w:p>
        </w:tc>
        <w:tc>
          <w:tcPr>
            <w:tcW w:w="1972" w:type="dxa"/>
            <w:gridSpan w:val="2"/>
          </w:tcPr>
          <w:p w14:paraId="4E0671E1">
            <w:pPr>
              <w:autoSpaceDE w:val="0"/>
              <w:autoSpaceDN w:val="0"/>
              <w:spacing w:line="440" w:lineRule="exact"/>
              <w:jc w:val="left"/>
              <w:rPr>
                <w:rFonts w:hint="eastAsia" w:asciiTheme="minorEastAsia" w:hAnsiTheme="minorEastAsia" w:eastAsiaTheme="minorEastAsia" w:cstheme="minorEastAsia"/>
                <w:kern w:val="0"/>
              </w:rPr>
            </w:pPr>
          </w:p>
        </w:tc>
        <w:tc>
          <w:tcPr>
            <w:tcW w:w="2106" w:type="dxa"/>
            <w:vAlign w:val="center"/>
          </w:tcPr>
          <w:p w14:paraId="684B980E">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联  系  电  话</w:t>
            </w:r>
          </w:p>
        </w:tc>
        <w:tc>
          <w:tcPr>
            <w:tcW w:w="2978" w:type="dxa"/>
            <w:vAlign w:val="center"/>
          </w:tcPr>
          <w:p w14:paraId="371550B1">
            <w:pPr>
              <w:autoSpaceDE w:val="0"/>
              <w:autoSpaceDN w:val="0"/>
              <w:spacing w:line="440" w:lineRule="exact"/>
              <w:jc w:val="center"/>
              <w:rPr>
                <w:rFonts w:hint="eastAsia" w:asciiTheme="minorEastAsia" w:hAnsiTheme="minorEastAsia" w:eastAsiaTheme="minorEastAsia" w:cstheme="minorEastAsia"/>
                <w:kern w:val="0"/>
              </w:rPr>
            </w:pPr>
          </w:p>
        </w:tc>
      </w:tr>
      <w:tr w14:paraId="6EB5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trPr>
        <w:tc>
          <w:tcPr>
            <w:tcW w:w="9039" w:type="dxa"/>
            <w:gridSpan w:val="5"/>
            <w:tcBorders>
              <w:bottom w:val="single" w:color="auto" w:sz="4" w:space="0"/>
            </w:tcBorders>
            <w:vAlign w:val="center"/>
          </w:tcPr>
          <w:p w14:paraId="7897B2D9">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投标报价（元）</w:t>
            </w:r>
          </w:p>
        </w:tc>
      </w:tr>
      <w:tr w14:paraId="39C2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0" w:hRule="atLeast"/>
        </w:trPr>
        <w:tc>
          <w:tcPr>
            <w:tcW w:w="9039" w:type="dxa"/>
            <w:gridSpan w:val="5"/>
            <w:tcBorders>
              <w:top w:val="single" w:color="auto" w:sz="4" w:space="0"/>
            </w:tcBorders>
          </w:tcPr>
          <w:p w14:paraId="35A9B729">
            <w:pPr>
              <w:autoSpaceDE w:val="0"/>
              <w:autoSpaceDN w:val="0"/>
              <w:spacing w:line="440" w:lineRule="exac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小写： </w:t>
            </w:r>
          </w:p>
          <w:p w14:paraId="4AE47756">
            <w:pPr>
              <w:autoSpaceDE w:val="0"/>
              <w:autoSpaceDN w:val="0"/>
              <w:spacing w:line="440" w:lineRule="exac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大写： </w:t>
            </w:r>
          </w:p>
        </w:tc>
      </w:tr>
      <w:tr w14:paraId="133B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078EB0FC">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投标有效期</w:t>
            </w:r>
          </w:p>
        </w:tc>
        <w:tc>
          <w:tcPr>
            <w:tcW w:w="6064" w:type="dxa"/>
            <w:gridSpan w:val="3"/>
            <w:tcBorders>
              <w:top w:val="single" w:color="auto" w:sz="4" w:space="0"/>
              <w:bottom w:val="single" w:color="auto" w:sz="4" w:space="0"/>
            </w:tcBorders>
          </w:tcPr>
          <w:p w14:paraId="082875CA">
            <w:pPr>
              <w:autoSpaceDE w:val="0"/>
              <w:autoSpaceDN w:val="0"/>
              <w:spacing w:line="440" w:lineRule="exact"/>
              <w:rPr>
                <w:rFonts w:hint="eastAsia" w:asciiTheme="minorEastAsia" w:hAnsiTheme="minorEastAsia" w:eastAsiaTheme="minorEastAsia" w:cstheme="minorEastAsia"/>
                <w:kern w:val="0"/>
              </w:rPr>
            </w:pPr>
          </w:p>
        </w:tc>
      </w:tr>
      <w:tr w14:paraId="1849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69465B0B">
            <w:pPr>
              <w:autoSpaceDE w:val="0"/>
              <w:autoSpaceDN w:val="0"/>
              <w:spacing w:line="440" w:lineRule="exact"/>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服务期</w:t>
            </w:r>
          </w:p>
        </w:tc>
        <w:tc>
          <w:tcPr>
            <w:tcW w:w="6064" w:type="dxa"/>
            <w:gridSpan w:val="3"/>
            <w:tcBorders>
              <w:top w:val="single" w:color="auto" w:sz="4" w:space="0"/>
              <w:bottom w:val="single" w:color="auto" w:sz="4" w:space="0"/>
            </w:tcBorders>
          </w:tcPr>
          <w:p w14:paraId="4B1FA6A9">
            <w:pPr>
              <w:autoSpaceDE w:val="0"/>
              <w:autoSpaceDN w:val="0"/>
              <w:spacing w:line="440" w:lineRule="exact"/>
              <w:rPr>
                <w:rFonts w:hint="eastAsia" w:asciiTheme="minorEastAsia" w:hAnsiTheme="minorEastAsia" w:eastAsiaTheme="minorEastAsia" w:cstheme="minorEastAsia"/>
                <w:kern w:val="0"/>
              </w:rPr>
            </w:pPr>
          </w:p>
        </w:tc>
      </w:tr>
    </w:tbl>
    <w:p w14:paraId="59313A20">
      <w:pPr>
        <w:rPr>
          <w:rFonts w:hint="eastAsia" w:asciiTheme="minorEastAsia" w:hAnsiTheme="minorEastAsia" w:eastAsiaTheme="minorEastAsia" w:cstheme="minorEastAsia"/>
          <w:b/>
          <w:bCs/>
          <w:sz w:val="28"/>
          <w:szCs w:val="32"/>
        </w:rPr>
      </w:pPr>
    </w:p>
    <w:p w14:paraId="508FD642">
      <w:pPr>
        <w:ind w:firstLine="4677" w:firstLineChars="1941"/>
        <w:rPr>
          <w:rFonts w:hint="eastAsia" w:ascii="宋体" w:hAnsi="宋体" w:cs="宋体"/>
          <w:b/>
          <w:bCs/>
          <w:szCs w:val="28"/>
        </w:rPr>
      </w:pPr>
      <w:r>
        <w:rPr>
          <w:rFonts w:hint="eastAsia" w:ascii="宋体" w:hAnsi="宋体" w:cs="宋体"/>
          <w:b/>
          <w:bCs/>
          <w:szCs w:val="28"/>
        </w:rPr>
        <w:t>投标人（公章）：</w:t>
      </w:r>
    </w:p>
    <w:p w14:paraId="391B8CC0">
      <w:pPr>
        <w:ind w:firstLine="4677" w:firstLineChars="1941"/>
        <w:rPr>
          <w:rFonts w:hint="eastAsia" w:ascii="宋体" w:hAnsi="宋体" w:cs="宋体"/>
          <w:b/>
          <w:bCs/>
          <w:szCs w:val="28"/>
        </w:rPr>
      </w:pPr>
      <w:r>
        <w:rPr>
          <w:rFonts w:hint="eastAsia" w:ascii="宋体" w:hAnsi="宋体" w:cs="宋体"/>
          <w:b/>
          <w:bCs/>
          <w:szCs w:val="28"/>
        </w:rPr>
        <w:t>法定代表人（签章）：</w:t>
      </w:r>
    </w:p>
    <w:p w14:paraId="70F3755E">
      <w:pPr>
        <w:ind w:firstLine="4677" w:firstLineChars="1941"/>
        <w:jc w:val="right"/>
        <w:rPr>
          <w:rFonts w:hint="eastAsia" w:ascii="宋体" w:hAnsi="宋体"/>
          <w:b/>
          <w:bCs/>
          <w:szCs w:val="28"/>
        </w:rPr>
      </w:pPr>
      <w:r>
        <w:rPr>
          <w:rFonts w:hint="eastAsia" w:ascii="宋体" w:hAnsi="宋体"/>
          <w:b/>
          <w:bCs/>
          <w:szCs w:val="28"/>
        </w:rPr>
        <w:t>年  月  日</w:t>
      </w:r>
    </w:p>
    <w:p w14:paraId="46EA8C4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14:paraId="2F13BC9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1、此报价包含人工费、运输费、交通费、电话费、税金等一系列费用，招标人不必再支付其他任何费用。</w:t>
      </w:r>
    </w:p>
    <w:p w14:paraId="23367C9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2、此表应按投标人须知的规定装订密封。</w:t>
      </w:r>
    </w:p>
    <w:p w14:paraId="7C568C3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3、此表中，投标总价应和投标分项报价表的总价相一致。</w:t>
      </w:r>
      <w:r>
        <w:rPr>
          <w:rFonts w:hint="eastAsia" w:asciiTheme="minorEastAsia" w:hAnsiTheme="minorEastAsia" w:eastAsiaTheme="minorEastAsia" w:cstheme="minorEastAsia"/>
        </w:rPr>
        <w:br w:type="page"/>
      </w:r>
    </w:p>
    <w:p w14:paraId="1F4EE2C5">
      <w:pPr>
        <w:pStyle w:val="4"/>
        <w:rPr>
          <w:rFonts w:hint="eastAsia" w:asciiTheme="minorEastAsia" w:hAnsiTheme="minorEastAsia" w:eastAsiaTheme="minorEastAsia" w:cstheme="minorEastAsia"/>
        </w:rPr>
      </w:pPr>
      <w:bookmarkStart w:id="116" w:name="_Toc11595543"/>
      <w:bookmarkStart w:id="117" w:name="_Toc9466"/>
      <w:r>
        <w:rPr>
          <w:rFonts w:hint="eastAsia" w:asciiTheme="minorEastAsia" w:hAnsiTheme="minorEastAsia" w:eastAsiaTheme="minorEastAsia" w:cstheme="minorEastAsia"/>
        </w:rPr>
        <w:t>2、投标函</w:t>
      </w:r>
      <w:bookmarkEnd w:id="116"/>
      <w:bookmarkEnd w:id="117"/>
    </w:p>
    <w:p w14:paraId="305E548B">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kern w:val="0"/>
          <w:szCs w:val="24"/>
          <w:u w:val="single"/>
        </w:rPr>
        <w:t>木垒哈萨克自治县林业和草原局</w:t>
      </w:r>
    </w:p>
    <w:p w14:paraId="2DDE1C15">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根据贵方“（项目名称）”的招标文件（项目编号××），（投标人代表姓名、职务）经正式授权并代表投标人（投标人名称）提交投标文件。据此函，签字人宣布并同意如下：</w:t>
      </w:r>
    </w:p>
    <w:p w14:paraId="3CE82553">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（1）按招标文件规定提供交付施工总价见开标一览表。</w:t>
      </w:r>
    </w:p>
    <w:p w14:paraId="30ECB6DF">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（2）我们根据招标文件的规定，严格履行合同的责任和义务。</w:t>
      </w:r>
    </w:p>
    <w:p w14:paraId="04305B10">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（3）我们已详细审核全部招标文件，我们知道必须放弃提出含糊不清或误解的问题的权利。</w:t>
      </w:r>
    </w:p>
    <w:p w14:paraId="4E222451">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（4）我们同意从开标日期起遵循本投标文件，并在投标人须知中规定的投标有效期之前均具有约束力，并有可能中标。</w:t>
      </w:r>
    </w:p>
    <w:p w14:paraId="0ED8176A">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（5）如果在开标后规定的投标有效期内撤回投标，我们的投标保证金可被贵方没收。</w:t>
      </w:r>
    </w:p>
    <w:p w14:paraId="1306E4C6">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（6）同意向贵方提供贵方可能另外要求的与其投标有关的任何证据或资料。</w:t>
      </w:r>
    </w:p>
    <w:p w14:paraId="0A833A4D">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（7）我方完全理解采购人不一定将合同授予最低报价的投标人的行为。</w:t>
      </w:r>
    </w:p>
    <w:p w14:paraId="6760628E">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（8）我们愿意遵守国家有关规定和招标文件中规定的收费标准，承付中标服务费。</w:t>
      </w:r>
    </w:p>
    <w:p w14:paraId="77B1BF7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与本投标有关的正式通讯地址为：</w:t>
      </w:r>
    </w:p>
    <w:p w14:paraId="790B4F4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   址：                             邮   编：           </w:t>
      </w:r>
    </w:p>
    <w:p w14:paraId="41ED848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电    话：            传   真：           </w:t>
      </w:r>
    </w:p>
    <w:p w14:paraId="5002F7C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法定代表人或其委托代理人（签字）：                     </w:t>
      </w:r>
    </w:p>
    <w:p w14:paraId="1CE77B7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投标人（盖章）：                                </w:t>
      </w:r>
    </w:p>
    <w:p w14:paraId="77790BC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投标人开户行:                               </w:t>
      </w:r>
    </w:p>
    <w:p w14:paraId="79C4BE6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账    号:                                   </w:t>
      </w:r>
    </w:p>
    <w:p w14:paraId="0BCA819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公    章：                                  </w:t>
      </w:r>
    </w:p>
    <w:p w14:paraId="72D9580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日    期：                                  </w:t>
      </w:r>
    </w:p>
    <w:p w14:paraId="17135299">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118" w:name="_Toc1719145"/>
      <w:bookmarkStart w:id="119" w:name="_Toc1721041"/>
      <w:bookmarkStart w:id="120" w:name="_Toc11595544"/>
    </w:p>
    <w:p w14:paraId="5B547ED6">
      <w:pPr>
        <w:pStyle w:val="4"/>
        <w:rPr>
          <w:rFonts w:hint="eastAsia" w:asciiTheme="minorEastAsia" w:hAnsiTheme="minorEastAsia" w:eastAsiaTheme="minorEastAsia" w:cstheme="minorEastAsia"/>
        </w:rPr>
      </w:pPr>
      <w:bookmarkStart w:id="121" w:name="_Toc25197"/>
      <w:r>
        <w:rPr>
          <w:rFonts w:hint="eastAsia" w:asciiTheme="minorEastAsia" w:hAnsiTheme="minorEastAsia" w:eastAsiaTheme="minorEastAsia" w:cstheme="minorEastAsia"/>
        </w:rPr>
        <w:t>3、分项报价表</w:t>
      </w:r>
      <w:bookmarkEnd w:id="121"/>
    </w:p>
    <w:tbl>
      <w:tblPr>
        <w:tblStyle w:val="4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21"/>
        <w:gridCol w:w="1530"/>
        <w:gridCol w:w="1398"/>
        <w:gridCol w:w="1650"/>
        <w:gridCol w:w="1635"/>
        <w:gridCol w:w="828"/>
      </w:tblGrid>
      <w:tr w14:paraId="417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jc w:val="center"/>
        </w:trPr>
        <w:tc>
          <w:tcPr>
            <w:tcW w:w="883" w:type="dxa"/>
            <w:vAlign w:val="center"/>
          </w:tcPr>
          <w:p w14:paraId="5392CDFA">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序号</w:t>
            </w:r>
          </w:p>
        </w:tc>
        <w:tc>
          <w:tcPr>
            <w:tcW w:w="1721" w:type="dxa"/>
            <w:vAlign w:val="center"/>
          </w:tcPr>
          <w:p w14:paraId="41F4E1C9">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名 称</w:t>
            </w:r>
          </w:p>
        </w:tc>
        <w:tc>
          <w:tcPr>
            <w:tcW w:w="1530" w:type="dxa"/>
            <w:vAlign w:val="center"/>
          </w:tcPr>
          <w:p w14:paraId="6A86C06C">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规格型号</w:t>
            </w:r>
          </w:p>
        </w:tc>
        <w:tc>
          <w:tcPr>
            <w:tcW w:w="1398" w:type="dxa"/>
            <w:vAlign w:val="center"/>
          </w:tcPr>
          <w:p w14:paraId="4E90D85C">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数量（标明单位）</w:t>
            </w:r>
          </w:p>
        </w:tc>
        <w:tc>
          <w:tcPr>
            <w:tcW w:w="1650" w:type="dxa"/>
            <w:vAlign w:val="center"/>
          </w:tcPr>
          <w:p w14:paraId="25C91532">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单价（元）</w:t>
            </w:r>
          </w:p>
        </w:tc>
        <w:tc>
          <w:tcPr>
            <w:tcW w:w="1635" w:type="dxa"/>
            <w:vAlign w:val="center"/>
          </w:tcPr>
          <w:p w14:paraId="2E3ED57D">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合价（元）</w:t>
            </w:r>
          </w:p>
        </w:tc>
        <w:tc>
          <w:tcPr>
            <w:tcW w:w="828" w:type="dxa"/>
            <w:vAlign w:val="center"/>
          </w:tcPr>
          <w:p w14:paraId="3B90EA56">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备注</w:t>
            </w:r>
          </w:p>
        </w:tc>
      </w:tr>
      <w:tr w14:paraId="155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883" w:type="dxa"/>
            <w:vAlign w:val="center"/>
          </w:tcPr>
          <w:p w14:paraId="1C776083">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721" w:type="dxa"/>
            <w:vAlign w:val="center"/>
          </w:tcPr>
          <w:p w14:paraId="2ABE3A9D">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内容</w:t>
            </w:r>
          </w:p>
        </w:tc>
        <w:tc>
          <w:tcPr>
            <w:tcW w:w="1530" w:type="dxa"/>
            <w:vAlign w:val="center"/>
          </w:tcPr>
          <w:p w14:paraId="5EDB5547">
            <w:pPr>
              <w:ind w:firstLine="480"/>
              <w:jc w:val="center"/>
              <w:rPr>
                <w:rFonts w:hint="eastAsia" w:asciiTheme="minorEastAsia" w:hAnsiTheme="minorEastAsia" w:eastAsiaTheme="minorEastAsia" w:cstheme="minorEastAsia"/>
                <w:szCs w:val="24"/>
              </w:rPr>
            </w:pPr>
          </w:p>
        </w:tc>
        <w:tc>
          <w:tcPr>
            <w:tcW w:w="1398" w:type="dxa"/>
            <w:vAlign w:val="center"/>
          </w:tcPr>
          <w:p w14:paraId="1F636022">
            <w:pPr>
              <w:ind w:firstLine="480"/>
              <w:jc w:val="center"/>
              <w:rPr>
                <w:rFonts w:hint="eastAsia" w:asciiTheme="minorEastAsia" w:hAnsiTheme="minorEastAsia" w:eastAsiaTheme="minorEastAsia" w:cstheme="minorEastAsia"/>
                <w:szCs w:val="24"/>
              </w:rPr>
            </w:pPr>
          </w:p>
        </w:tc>
        <w:tc>
          <w:tcPr>
            <w:tcW w:w="1650" w:type="dxa"/>
            <w:vAlign w:val="center"/>
          </w:tcPr>
          <w:p w14:paraId="426BBBF0">
            <w:pPr>
              <w:ind w:firstLine="480"/>
              <w:jc w:val="center"/>
              <w:rPr>
                <w:rFonts w:hint="eastAsia" w:asciiTheme="minorEastAsia" w:hAnsiTheme="minorEastAsia" w:eastAsiaTheme="minorEastAsia" w:cstheme="minorEastAsia"/>
                <w:szCs w:val="24"/>
              </w:rPr>
            </w:pPr>
          </w:p>
        </w:tc>
        <w:tc>
          <w:tcPr>
            <w:tcW w:w="1635" w:type="dxa"/>
            <w:vAlign w:val="center"/>
          </w:tcPr>
          <w:p w14:paraId="3A15B9E2">
            <w:pPr>
              <w:ind w:firstLine="480"/>
              <w:jc w:val="center"/>
              <w:rPr>
                <w:rFonts w:hint="eastAsia" w:asciiTheme="minorEastAsia" w:hAnsiTheme="minorEastAsia" w:eastAsiaTheme="minorEastAsia" w:cstheme="minorEastAsia"/>
                <w:szCs w:val="24"/>
              </w:rPr>
            </w:pPr>
          </w:p>
        </w:tc>
        <w:tc>
          <w:tcPr>
            <w:tcW w:w="828" w:type="dxa"/>
            <w:vAlign w:val="center"/>
          </w:tcPr>
          <w:p w14:paraId="6E88E8D1">
            <w:pPr>
              <w:ind w:firstLine="480"/>
              <w:jc w:val="center"/>
              <w:rPr>
                <w:rFonts w:hint="eastAsia" w:asciiTheme="minorEastAsia" w:hAnsiTheme="minorEastAsia" w:eastAsiaTheme="minorEastAsia" w:cstheme="minorEastAsia"/>
                <w:szCs w:val="24"/>
              </w:rPr>
            </w:pPr>
          </w:p>
        </w:tc>
      </w:tr>
      <w:tr w14:paraId="660C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883" w:type="dxa"/>
            <w:vAlign w:val="center"/>
          </w:tcPr>
          <w:p w14:paraId="01F2C330">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p>
        </w:tc>
        <w:tc>
          <w:tcPr>
            <w:tcW w:w="1721" w:type="dxa"/>
            <w:vAlign w:val="center"/>
          </w:tcPr>
          <w:p w14:paraId="5936C906">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1530" w:type="dxa"/>
            <w:vAlign w:val="center"/>
          </w:tcPr>
          <w:p w14:paraId="25CADB0D">
            <w:pPr>
              <w:ind w:firstLine="480"/>
              <w:jc w:val="center"/>
              <w:rPr>
                <w:rFonts w:hint="eastAsia" w:asciiTheme="minorEastAsia" w:hAnsiTheme="minorEastAsia" w:eastAsiaTheme="minorEastAsia" w:cstheme="minorEastAsia"/>
                <w:szCs w:val="24"/>
              </w:rPr>
            </w:pPr>
          </w:p>
        </w:tc>
        <w:tc>
          <w:tcPr>
            <w:tcW w:w="1398" w:type="dxa"/>
            <w:vAlign w:val="center"/>
          </w:tcPr>
          <w:p w14:paraId="72425377">
            <w:pPr>
              <w:ind w:firstLine="480"/>
              <w:jc w:val="center"/>
              <w:rPr>
                <w:rFonts w:hint="eastAsia" w:asciiTheme="minorEastAsia" w:hAnsiTheme="minorEastAsia" w:eastAsiaTheme="minorEastAsia" w:cstheme="minorEastAsia"/>
                <w:szCs w:val="24"/>
              </w:rPr>
            </w:pPr>
          </w:p>
        </w:tc>
        <w:tc>
          <w:tcPr>
            <w:tcW w:w="1650" w:type="dxa"/>
            <w:vAlign w:val="center"/>
          </w:tcPr>
          <w:p w14:paraId="758902F3">
            <w:pPr>
              <w:ind w:firstLine="480"/>
              <w:jc w:val="center"/>
              <w:rPr>
                <w:rFonts w:hint="eastAsia" w:asciiTheme="minorEastAsia" w:hAnsiTheme="minorEastAsia" w:eastAsiaTheme="minorEastAsia" w:cstheme="minorEastAsia"/>
                <w:szCs w:val="24"/>
              </w:rPr>
            </w:pPr>
          </w:p>
        </w:tc>
        <w:tc>
          <w:tcPr>
            <w:tcW w:w="1635" w:type="dxa"/>
            <w:vAlign w:val="center"/>
          </w:tcPr>
          <w:p w14:paraId="244314E6">
            <w:pPr>
              <w:ind w:firstLine="480"/>
              <w:jc w:val="center"/>
              <w:rPr>
                <w:rFonts w:hint="eastAsia" w:asciiTheme="minorEastAsia" w:hAnsiTheme="minorEastAsia" w:eastAsiaTheme="minorEastAsia" w:cstheme="minorEastAsia"/>
                <w:szCs w:val="24"/>
              </w:rPr>
            </w:pPr>
          </w:p>
        </w:tc>
        <w:tc>
          <w:tcPr>
            <w:tcW w:w="828" w:type="dxa"/>
            <w:vAlign w:val="center"/>
          </w:tcPr>
          <w:p w14:paraId="3C856F55">
            <w:pPr>
              <w:ind w:firstLine="480"/>
              <w:jc w:val="center"/>
              <w:rPr>
                <w:rFonts w:hint="eastAsia" w:asciiTheme="minorEastAsia" w:hAnsiTheme="minorEastAsia" w:eastAsiaTheme="minorEastAsia" w:cstheme="minorEastAsia"/>
                <w:szCs w:val="24"/>
              </w:rPr>
            </w:pPr>
          </w:p>
        </w:tc>
      </w:tr>
      <w:tr w14:paraId="0376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15A349B8">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1721" w:type="dxa"/>
            <w:vAlign w:val="center"/>
          </w:tcPr>
          <w:p w14:paraId="344FE792">
            <w:pPr>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7041" w:type="dxa"/>
            <w:gridSpan w:val="5"/>
            <w:vAlign w:val="center"/>
          </w:tcPr>
          <w:p w14:paraId="787389B4">
            <w:pPr>
              <w:ind w:firstLine="480"/>
              <w:jc w:val="center"/>
              <w:rPr>
                <w:rFonts w:hint="eastAsia" w:asciiTheme="minorEastAsia" w:hAnsiTheme="minorEastAsia" w:eastAsiaTheme="minorEastAsia" w:cstheme="minorEastAsia"/>
                <w:szCs w:val="24"/>
              </w:rPr>
            </w:pPr>
          </w:p>
        </w:tc>
      </w:tr>
      <w:tr w14:paraId="636C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2604" w:type="dxa"/>
            <w:gridSpan w:val="2"/>
            <w:vAlign w:val="center"/>
          </w:tcPr>
          <w:p w14:paraId="7A8C60CB">
            <w:pPr>
              <w:ind w:firstLine="48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合计总价（万元）</w:t>
            </w:r>
          </w:p>
        </w:tc>
        <w:tc>
          <w:tcPr>
            <w:tcW w:w="7041" w:type="dxa"/>
            <w:gridSpan w:val="5"/>
            <w:vAlign w:val="center"/>
          </w:tcPr>
          <w:p w14:paraId="766A347E">
            <w:pPr>
              <w:ind w:firstLine="48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含运杂费等相关费用</w:t>
            </w:r>
          </w:p>
        </w:tc>
      </w:tr>
    </w:tbl>
    <w:p w14:paraId="5E97DDB4">
      <w:pPr>
        <w:ind w:firstLine="4677" w:firstLineChars="1941"/>
        <w:rPr>
          <w:rFonts w:hint="eastAsia" w:asciiTheme="minorEastAsia" w:hAnsiTheme="minorEastAsia" w:eastAsiaTheme="minorEastAsia" w:cstheme="minorEastAsia"/>
          <w:b/>
          <w:bCs/>
          <w:szCs w:val="28"/>
        </w:rPr>
      </w:pPr>
    </w:p>
    <w:p w14:paraId="03213389">
      <w:pPr>
        <w:ind w:firstLine="4677" w:firstLineChars="1941"/>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投标人（签字盖章）：</w:t>
      </w:r>
    </w:p>
    <w:p w14:paraId="2BC2CCE3">
      <w:pPr>
        <w:ind w:firstLine="4677" w:firstLineChars="1941"/>
        <w:jc w:val="righ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年  月  日</w:t>
      </w:r>
    </w:p>
    <w:p w14:paraId="6B3AEA32">
      <w:pPr>
        <w:spacing w:before="156" w:beforeLines="50"/>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注：1、如果按单价计算的结果与总价不一致，以单价为准修正总价。</w:t>
      </w:r>
    </w:p>
    <w:p w14:paraId="4E3766D1">
      <w:pPr>
        <w:pStyle w:val="21"/>
        <w:ind w:right="-15"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2、投标人须参照第五章各包所列明的内容全部报价。如果不提供详细分项报价视为未实质性响应招标文件。</w:t>
      </w:r>
    </w:p>
    <w:p w14:paraId="3E703412">
      <w:pPr>
        <w:widowControl/>
        <w:spacing w:line="240" w:lineRule="auto"/>
        <w:jc w:val="left"/>
        <w:rPr>
          <w:rFonts w:hint="eastAsia" w:asciiTheme="minorEastAsia" w:hAnsiTheme="minorEastAsia" w:eastAsiaTheme="minorEastAsia" w:cstheme="minorEastAsia"/>
        </w:rPr>
      </w:pPr>
    </w:p>
    <w:p w14:paraId="718A6FB3">
      <w:pPr>
        <w:widowControl/>
        <w:spacing w:line="240" w:lineRule="auto"/>
        <w:jc w:val="left"/>
        <w:rPr>
          <w:rFonts w:hint="eastAsia" w:asciiTheme="minorEastAsia" w:hAnsiTheme="minorEastAsia" w:eastAsiaTheme="minorEastAsia" w:cstheme="minorEastAsia"/>
          <w:b/>
          <w:bCs/>
          <w:sz w:val="30"/>
          <w:szCs w:val="32"/>
        </w:rPr>
      </w:pPr>
      <w:r>
        <w:rPr>
          <w:rFonts w:hint="eastAsia" w:asciiTheme="minorEastAsia" w:hAnsiTheme="minorEastAsia" w:eastAsiaTheme="minorEastAsia" w:cstheme="minorEastAsia"/>
        </w:rPr>
        <w:br w:type="page"/>
      </w:r>
    </w:p>
    <w:p w14:paraId="66EC2C12">
      <w:pPr>
        <w:pStyle w:val="4"/>
        <w:rPr>
          <w:rFonts w:hint="eastAsia" w:asciiTheme="minorEastAsia" w:hAnsiTheme="minorEastAsia" w:eastAsiaTheme="minorEastAsia" w:cstheme="minorEastAsia"/>
        </w:rPr>
      </w:pPr>
      <w:bookmarkStart w:id="122" w:name="_Toc24143"/>
      <w:r>
        <w:rPr>
          <w:rFonts w:hint="eastAsia" w:asciiTheme="minorEastAsia" w:hAnsiTheme="minorEastAsia" w:eastAsiaTheme="minorEastAsia" w:cstheme="minorEastAsia"/>
        </w:rPr>
        <w:t>3、资格审查文件</w:t>
      </w:r>
      <w:bookmarkEnd w:id="118"/>
      <w:bookmarkEnd w:id="119"/>
      <w:bookmarkEnd w:id="120"/>
      <w:bookmarkEnd w:id="122"/>
    </w:p>
    <w:p w14:paraId="0D63AD1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投标人应按下列顺序排序资格声明文件：</w:t>
      </w:r>
    </w:p>
    <w:tbl>
      <w:tblPr>
        <w:tblStyle w:val="4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14:paraId="4152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43F4438A">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①、法人或者其他组织的营业 执照等证明文件，自然人的身份证明；</w:t>
            </w:r>
          </w:p>
          <w:p w14:paraId="0CCFEC76">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②、财务状况报告，依法缴纳税收和社会保障资金的相关材料；</w:t>
            </w:r>
          </w:p>
          <w:p w14:paraId="1FAF30DA">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③、具备履行合同所必需的设备和专业技术能力的承诺书；</w:t>
            </w:r>
          </w:p>
          <w:p w14:paraId="1EF1E7B3">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④、参加政府采购 活动前3年内在经营活动中没有重大违法记录的书面声明。</w:t>
            </w:r>
          </w:p>
        </w:tc>
      </w:tr>
      <w:tr w14:paraId="0FB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1576F568">
            <w:pPr>
              <w:spacing w:line="44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r>
      <w:tr w14:paraId="3151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1F3E3A5E">
            <w:pPr>
              <w:spacing w:line="440" w:lineRule="exact"/>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rPr>
              <w:t>保证金缴纳凭证：投标人可将本项目保证金支付的汇款凭证、支票、汇票或保证金收据的扫描件作为缴纳凭证制作在投标文件中。</w:t>
            </w:r>
          </w:p>
        </w:tc>
      </w:tr>
      <w:tr w14:paraId="530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2DCAAAA2">
            <w:pPr>
              <w:spacing w:line="4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tc>
      </w:tr>
    </w:tbl>
    <w:p w14:paraId="617EAF12">
      <w:pPr>
        <w:pStyle w:val="15"/>
        <w:rPr>
          <w:rFonts w:hint="eastAsia" w:asciiTheme="minorEastAsia" w:hAnsiTheme="minorEastAsia" w:eastAsiaTheme="minorEastAsia" w:cstheme="minorEastAsia"/>
        </w:rPr>
      </w:pPr>
    </w:p>
    <w:p w14:paraId="540F2572">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rPr>
        <w:br w:type="page"/>
      </w:r>
      <w:bookmarkStart w:id="123" w:name="_Toc1719146"/>
      <w:bookmarkStart w:id="124" w:name="_Toc11595545"/>
      <w:r>
        <w:rPr>
          <w:rFonts w:hint="eastAsia" w:asciiTheme="minorEastAsia" w:hAnsiTheme="minorEastAsia" w:eastAsiaTheme="minorEastAsia" w:cstheme="minorEastAsia"/>
          <w:b/>
          <w:sz w:val="32"/>
          <w:szCs w:val="32"/>
        </w:rPr>
        <w:t>（一）提供合法有效的企业营业执照</w:t>
      </w:r>
      <w:bookmarkEnd w:id="123"/>
      <w:bookmarkEnd w:id="124"/>
    </w:p>
    <w:p w14:paraId="641C736F">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提供合法有效的营业执照副本复印件并加盖公章；</w:t>
      </w:r>
    </w:p>
    <w:p w14:paraId="32854E2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3F1500EB">
      <w:pPr>
        <w:jc w:val="center"/>
        <w:rPr>
          <w:rFonts w:hint="eastAsia" w:asciiTheme="minorEastAsia" w:hAnsiTheme="minorEastAsia" w:eastAsiaTheme="minorEastAsia" w:cstheme="minorEastAsia"/>
          <w:b/>
          <w:sz w:val="32"/>
          <w:szCs w:val="32"/>
        </w:rPr>
      </w:pPr>
      <w:bookmarkStart w:id="125" w:name="_Toc11595546"/>
      <w:r>
        <w:rPr>
          <w:rFonts w:hint="eastAsia" w:asciiTheme="minorEastAsia" w:hAnsiTheme="minorEastAsia" w:eastAsiaTheme="minorEastAsia" w:cstheme="minorEastAsia"/>
          <w:b/>
          <w:sz w:val="32"/>
          <w:szCs w:val="32"/>
        </w:rPr>
        <w:t>（二）法定代表人身份证明或法定代表人授权委托书</w:t>
      </w:r>
      <w:bookmarkEnd w:id="125"/>
    </w:p>
    <w:p w14:paraId="23D118C8">
      <w:pPr>
        <w:jc w:val="center"/>
        <w:rPr>
          <w:rFonts w:hint="eastAsia" w:asciiTheme="minorEastAsia" w:hAnsiTheme="minorEastAsia" w:eastAsiaTheme="minorEastAsia" w:cstheme="minorEastAsia"/>
          <w:b/>
          <w:sz w:val="28"/>
          <w:szCs w:val="28"/>
        </w:rPr>
      </w:pPr>
      <w:bookmarkStart w:id="126" w:name="_Toc11595547"/>
      <w:bookmarkStart w:id="127" w:name="_Toc1719147"/>
      <w:bookmarkStart w:id="128" w:name="_Toc10478844"/>
      <w:r>
        <w:rPr>
          <w:rFonts w:hint="eastAsia" w:asciiTheme="minorEastAsia" w:hAnsiTheme="minorEastAsia" w:eastAsiaTheme="minorEastAsia" w:cstheme="minorEastAsia"/>
          <w:b/>
          <w:sz w:val="28"/>
          <w:szCs w:val="28"/>
        </w:rPr>
        <w:t>法定代表人授权委托书</w:t>
      </w:r>
      <w:bookmarkEnd w:id="126"/>
      <w:bookmarkEnd w:id="127"/>
      <w:bookmarkEnd w:id="128"/>
    </w:p>
    <w:p w14:paraId="27B0693B">
      <w:p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本授权委托书声明：我（姓名）系 （投标人名称）的法人代表人，现授权委托   （投标人名称）  的（姓名）为我公司代理人，以本公司的名义参加（招标人）的  （项目名称） 的投标活动。代理人在参加整个项目招标响应活动、合同招标过程中所签署的一切文件和处理与之有关的一切事物，我均予以承认。</w:t>
      </w:r>
    </w:p>
    <w:p w14:paraId="35C1B53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代理人：              性别：         年龄：       </w:t>
      </w:r>
    </w:p>
    <w:p w14:paraId="6352662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单  位：              部门：         职务：       </w:t>
      </w:r>
    </w:p>
    <w:p w14:paraId="6B250E0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邮箱：                   </w:t>
      </w:r>
    </w:p>
    <w:p w14:paraId="0798F18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代理人无转委权。特此委托。</w:t>
      </w:r>
    </w:p>
    <w:p w14:paraId="11776632">
      <w:pPr>
        <w:rPr>
          <w:rFonts w:hint="eastAsia" w:asciiTheme="minorEastAsia" w:hAnsiTheme="minorEastAsia" w:eastAsiaTheme="minorEastAsia" w:cstheme="minorEastAsia"/>
        </w:rPr>
      </w:pPr>
    </w:p>
    <w:p w14:paraId="2C9859F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授权人身份证复印件：</w:t>
      </w:r>
    </w:p>
    <w:p w14:paraId="6BBF3ADB">
      <w:pPr>
        <w:rPr>
          <w:rFonts w:hint="eastAsia" w:asciiTheme="minorEastAsia" w:hAnsiTheme="minorEastAsia" w:eastAsiaTheme="minorEastAsia" w:cstheme="minorEastAsia"/>
        </w:rPr>
      </w:pPr>
    </w:p>
    <w:p w14:paraId="2241C844">
      <w:pPr>
        <w:pStyle w:val="15"/>
        <w:rPr>
          <w:rFonts w:hint="eastAsia" w:asciiTheme="minorEastAsia" w:hAnsiTheme="minorEastAsia" w:eastAsiaTheme="minorEastAsia" w:cstheme="minorEastAsia"/>
        </w:rPr>
      </w:pPr>
    </w:p>
    <w:p w14:paraId="50AC90F9">
      <w:pPr>
        <w:rPr>
          <w:rFonts w:hint="eastAsia" w:asciiTheme="minorEastAsia" w:hAnsiTheme="minorEastAsia" w:eastAsiaTheme="minorEastAsia" w:cstheme="minorEastAsia"/>
        </w:rPr>
      </w:pPr>
    </w:p>
    <w:p w14:paraId="07428A1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被授权人身份证复印件：</w:t>
      </w:r>
    </w:p>
    <w:p w14:paraId="1EB90BFF">
      <w:pPr>
        <w:rPr>
          <w:rFonts w:hint="eastAsia" w:asciiTheme="minorEastAsia" w:hAnsiTheme="minorEastAsia" w:eastAsiaTheme="minorEastAsia" w:cstheme="minorEastAsia"/>
        </w:rPr>
      </w:pPr>
    </w:p>
    <w:p w14:paraId="3C0DF57A">
      <w:pPr>
        <w:pStyle w:val="15"/>
        <w:rPr>
          <w:rFonts w:hint="eastAsia" w:asciiTheme="minorEastAsia" w:hAnsiTheme="minorEastAsia" w:eastAsiaTheme="minorEastAsia" w:cstheme="minorEastAsia"/>
        </w:rPr>
      </w:pPr>
    </w:p>
    <w:p w14:paraId="7E8F19DD">
      <w:pPr>
        <w:rPr>
          <w:rFonts w:hint="eastAsia" w:asciiTheme="minorEastAsia" w:hAnsiTheme="minorEastAsia" w:eastAsiaTheme="minorEastAsia" w:cstheme="minorEastAsia"/>
        </w:rPr>
      </w:pPr>
    </w:p>
    <w:p w14:paraId="52E03D9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投标人（盖章）：                             法定代表人：（盖章）</w:t>
      </w:r>
    </w:p>
    <w:p w14:paraId="7FA822C5">
      <w:pPr>
        <w:rPr>
          <w:rFonts w:hint="eastAsia" w:asciiTheme="minorEastAsia" w:hAnsiTheme="minorEastAsia" w:eastAsiaTheme="minorEastAsia" w:cstheme="minorEastAsia"/>
        </w:rPr>
      </w:pPr>
    </w:p>
    <w:p w14:paraId="704AD9FF">
      <w:pPr>
        <w:ind w:firstLine="4560" w:firstLineChars="1900"/>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029A045A">
      <w:pPr>
        <w:pStyle w:val="15"/>
        <w:rPr>
          <w:rFonts w:hint="eastAsia" w:asciiTheme="minorEastAsia" w:hAnsiTheme="minorEastAsia" w:eastAsiaTheme="minorEastAsia" w:cstheme="minorEastAsia"/>
        </w:rPr>
      </w:pPr>
    </w:p>
    <w:p w14:paraId="69A595C8">
      <w:pPr>
        <w:rPr>
          <w:rFonts w:hint="eastAsia" w:asciiTheme="minorEastAsia" w:hAnsiTheme="minorEastAsia" w:eastAsiaTheme="minorEastAsia" w:cstheme="minorEastAsia"/>
        </w:rPr>
      </w:pPr>
    </w:p>
    <w:p w14:paraId="107016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注：1、法定代表人本人作为公司代理人前来参与投标的，不提供此项证明文件。</w:t>
      </w:r>
    </w:p>
    <w:p w14:paraId="371B9B6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2、授权书上应当附有授权人和被授权人的居民身份证复印件。</w:t>
      </w:r>
    </w:p>
    <w:p w14:paraId="392621D3">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rPr>
        <w:br w:type="page"/>
      </w:r>
      <w:bookmarkStart w:id="129" w:name="_Toc11595548"/>
      <w:bookmarkStart w:id="130" w:name="_Toc10478845"/>
      <w:r>
        <w:rPr>
          <w:rFonts w:hint="eastAsia" w:asciiTheme="minorEastAsia" w:hAnsiTheme="minorEastAsia" w:eastAsiaTheme="minorEastAsia" w:cstheme="minorEastAsia"/>
          <w:b/>
          <w:sz w:val="32"/>
          <w:szCs w:val="32"/>
        </w:rPr>
        <w:t>法定代表人身份证明书</w:t>
      </w:r>
      <w:bookmarkEnd w:id="129"/>
      <w:bookmarkEnd w:id="130"/>
    </w:p>
    <w:p w14:paraId="06EC8036">
      <w:pPr>
        <w:rPr>
          <w:rFonts w:hint="eastAsia" w:asciiTheme="minorEastAsia" w:hAnsiTheme="minorEastAsia" w:eastAsiaTheme="minorEastAsia" w:cstheme="minorEastAsia"/>
        </w:rPr>
      </w:pPr>
    </w:p>
    <w:p w14:paraId="39FF41F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企业名称：                                                   </w:t>
      </w:r>
    </w:p>
    <w:p w14:paraId="1091F92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企业类型：                                                   </w:t>
      </w:r>
    </w:p>
    <w:p w14:paraId="4B10C40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    址：                                                   </w:t>
      </w:r>
    </w:p>
    <w:p w14:paraId="5D3E3A5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营业期限：                                                   </w:t>
      </w:r>
    </w:p>
    <w:p w14:paraId="3750A24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成立时间：                                                   </w:t>
      </w:r>
    </w:p>
    <w:p w14:paraId="2B6E37A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w:t>
      </w:r>
    </w:p>
    <w:p w14:paraId="3E594AB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职务：                </w:t>
      </w:r>
    </w:p>
    <w:p w14:paraId="029555C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系           （投标人公司名称）              的法定代表人。</w:t>
      </w:r>
    </w:p>
    <w:p w14:paraId="3607BB2F">
      <w:pPr>
        <w:rPr>
          <w:rFonts w:hint="eastAsia" w:asciiTheme="minorEastAsia" w:hAnsiTheme="minorEastAsia" w:eastAsiaTheme="minorEastAsia" w:cstheme="minorEastAsia"/>
        </w:rPr>
      </w:pPr>
    </w:p>
    <w:p w14:paraId="61A4CD6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A688BF0">
      <w:pPr>
        <w:rPr>
          <w:rFonts w:hint="eastAsia" w:asciiTheme="minorEastAsia" w:hAnsiTheme="minorEastAsia" w:eastAsiaTheme="minorEastAsia" w:cstheme="minorEastAsia"/>
        </w:rPr>
      </w:pPr>
    </w:p>
    <w:p w14:paraId="67CD2D6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                      （盖章）</w:t>
      </w:r>
    </w:p>
    <w:p w14:paraId="4553E9F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  期：        年        月        日</w:t>
      </w:r>
    </w:p>
    <w:p w14:paraId="3F4373E2">
      <w:pPr>
        <w:rPr>
          <w:rFonts w:hint="eastAsia" w:asciiTheme="minorEastAsia" w:hAnsiTheme="minorEastAsia" w:eastAsiaTheme="minorEastAsia" w:cstheme="minorEastAsia"/>
        </w:rPr>
      </w:pPr>
    </w:p>
    <w:p w14:paraId="19C1861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注：1、本证明书为法定代表人本人作为公司代理人参与投标的，提供此项证明书。</w:t>
      </w:r>
    </w:p>
    <w:p w14:paraId="3040C8F0">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406970B6">
      <w:pPr>
        <w:jc w:val="center"/>
        <w:rPr>
          <w:rFonts w:hint="eastAsia" w:asciiTheme="minorEastAsia" w:hAnsiTheme="minorEastAsia" w:eastAsiaTheme="minorEastAsia" w:cstheme="minorEastAsia"/>
          <w:bCs/>
          <w:kern w:val="0"/>
          <w:szCs w:val="24"/>
        </w:rPr>
      </w:pPr>
      <w:r>
        <w:rPr>
          <w:rFonts w:hint="eastAsia" w:asciiTheme="minorEastAsia" w:hAnsiTheme="minorEastAsia" w:eastAsiaTheme="minorEastAsia" w:cstheme="minorEastAsia"/>
          <w:b/>
          <w:sz w:val="32"/>
          <w:szCs w:val="32"/>
        </w:rPr>
        <w:t>（三）资质证书</w:t>
      </w:r>
    </w:p>
    <w:p w14:paraId="2815C192">
      <w:pPr>
        <w:widowControl/>
        <w:spacing w:line="240" w:lineRule="auto"/>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br w:type="page"/>
      </w:r>
    </w:p>
    <w:p w14:paraId="65AFD481">
      <w:pPr>
        <w:jc w:val="center"/>
        <w:rPr>
          <w:rFonts w:hint="eastAsia" w:asciiTheme="minorEastAsia" w:hAnsiTheme="minorEastAsia" w:eastAsiaTheme="minorEastAsia" w:cstheme="minorEastAsia"/>
          <w:b/>
          <w:sz w:val="32"/>
          <w:szCs w:val="32"/>
        </w:rPr>
      </w:pPr>
      <w:bookmarkStart w:id="131" w:name="_Toc11595549"/>
      <w:r>
        <w:rPr>
          <w:rFonts w:hint="eastAsia" w:asciiTheme="minorEastAsia" w:hAnsiTheme="minorEastAsia" w:eastAsiaTheme="minorEastAsia" w:cstheme="minorEastAsia"/>
          <w:b/>
          <w:sz w:val="32"/>
          <w:szCs w:val="32"/>
        </w:rPr>
        <w:t>（四）信用网站截图</w:t>
      </w:r>
      <w:bookmarkEnd w:id="131"/>
    </w:p>
    <w:p w14:paraId="25784A3B">
      <w:pPr>
        <w:rPr>
          <w:rFonts w:hint="eastAsia" w:asciiTheme="minorEastAsia" w:hAnsiTheme="minorEastAsia" w:eastAsiaTheme="minorEastAsia" w:cstheme="minorEastAsia"/>
        </w:rPr>
      </w:pPr>
    </w:p>
    <w:p w14:paraId="12C48C75">
      <w:pPr>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szCs w:val="24"/>
        </w:rPr>
        <w:t>“信用中国”网站（www.creditchina.gov.cn）被列入失信被执行人、重大税收违法案件当事人名单、中国政府采购网（www.ccgp.gov.cn）被列入政府采购严重违法失信行为记录名单</w:t>
      </w:r>
      <w:r>
        <w:rPr>
          <w:rFonts w:hint="eastAsia" w:asciiTheme="minorEastAsia" w:hAnsiTheme="minorEastAsia" w:eastAsiaTheme="minorEastAsia" w:cstheme="minorEastAsia"/>
        </w:rPr>
        <w:t>（提供网页截图，加盖公章）。</w:t>
      </w:r>
      <w:r>
        <w:rPr>
          <w:rFonts w:hint="eastAsia" w:asciiTheme="minorEastAsia" w:hAnsiTheme="minorEastAsia" w:eastAsiaTheme="minorEastAsia" w:cstheme="minorEastAsia"/>
        </w:rPr>
        <w:br w:type="page"/>
      </w:r>
    </w:p>
    <w:p w14:paraId="194D21DF">
      <w:pPr>
        <w:jc w:val="center"/>
        <w:rPr>
          <w:rFonts w:hint="eastAsia" w:asciiTheme="minorEastAsia" w:hAnsiTheme="minorEastAsia" w:eastAsiaTheme="minorEastAsia" w:cstheme="minorEastAsia"/>
          <w:b/>
          <w:sz w:val="32"/>
          <w:szCs w:val="32"/>
        </w:rPr>
      </w:pPr>
      <w:bookmarkStart w:id="132" w:name="_Toc11595550"/>
    </w:p>
    <w:p w14:paraId="3F1938C9">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（五）投标保证金</w:t>
      </w:r>
      <w:bookmarkEnd w:id="132"/>
      <w:r>
        <w:rPr>
          <w:rFonts w:hint="eastAsia" w:asciiTheme="minorEastAsia" w:hAnsiTheme="minorEastAsia" w:eastAsiaTheme="minorEastAsia" w:cstheme="minorEastAsia"/>
          <w:b/>
          <w:sz w:val="32"/>
          <w:szCs w:val="32"/>
        </w:rPr>
        <w:t>汇款凭证</w:t>
      </w:r>
    </w:p>
    <w:p w14:paraId="45A44984">
      <w:pPr>
        <w:ind w:firstLine="480" w:firstLineChars="200"/>
        <w:rPr>
          <w:rFonts w:hint="eastAsia" w:asciiTheme="minorEastAsia" w:hAnsiTheme="minorEastAsia" w:eastAsiaTheme="minorEastAsia" w:cstheme="minorEastAsia"/>
        </w:rPr>
      </w:pPr>
    </w:p>
    <w:p w14:paraId="4AA52644">
      <w:pPr>
        <w:widowControl/>
        <w:spacing w:line="240" w:lineRule="auto"/>
        <w:jc w:val="left"/>
        <w:rPr>
          <w:rFonts w:hint="eastAsia" w:asciiTheme="minorEastAsia" w:hAnsiTheme="minorEastAsia" w:eastAsiaTheme="minorEastAsia" w:cstheme="minorEastAsia"/>
          <w:b/>
          <w:sz w:val="32"/>
          <w:szCs w:val="32"/>
        </w:rPr>
      </w:pPr>
      <w:bookmarkStart w:id="133" w:name="_Toc11595551"/>
      <w:r>
        <w:rPr>
          <w:rFonts w:hint="eastAsia" w:asciiTheme="minorEastAsia" w:hAnsiTheme="minorEastAsia" w:eastAsiaTheme="minorEastAsia" w:cstheme="minorEastAsia"/>
          <w:b/>
          <w:sz w:val="32"/>
          <w:szCs w:val="32"/>
        </w:rPr>
        <w:br w:type="page"/>
      </w:r>
    </w:p>
    <w:bookmarkEnd w:id="133"/>
    <w:p w14:paraId="3CB9EC53">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（六）中小企业声明函</w:t>
      </w:r>
    </w:p>
    <w:p w14:paraId="43ABFC07">
      <w:pPr>
        <w:snapToGrid w:val="0"/>
        <w:ind w:firstLine="480" w:firstLineChars="200"/>
        <w:rPr>
          <w:rFonts w:hint="eastAsia" w:asciiTheme="minorEastAsia" w:hAnsiTheme="minorEastAsia" w:eastAsiaTheme="minorEastAsia" w:cstheme="minorEastAsia"/>
          <w:szCs w:val="24"/>
        </w:rPr>
      </w:pPr>
    </w:p>
    <w:p w14:paraId="37F06425">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4"/>
          <w:u w:val="single"/>
        </w:rPr>
        <w:t>（单位名称）</w:t>
      </w:r>
      <w:r>
        <w:rPr>
          <w:rFonts w:hint="eastAsia" w:asciiTheme="minorEastAsia" w:hAnsiTheme="minorEastAsia" w:eastAsiaTheme="minorEastAsia" w:cstheme="minorEastAsia"/>
          <w:szCs w:val="24"/>
        </w:rPr>
        <w:t>的</w:t>
      </w:r>
      <w:r>
        <w:rPr>
          <w:rFonts w:hint="eastAsia" w:asciiTheme="minorEastAsia" w:hAnsiTheme="minorEastAsia" w:eastAsiaTheme="minorEastAsia" w:cstheme="minorEastAsia"/>
          <w:i/>
          <w:szCs w:val="24"/>
          <w:u w:val="single"/>
        </w:rPr>
        <w:t>（项目名称）</w:t>
      </w:r>
      <w:r>
        <w:rPr>
          <w:rFonts w:hint="eastAsia" w:asciiTheme="minorEastAsia" w:hAnsiTheme="minorEastAsia" w:eastAsiaTheme="minorEastAsia" w:cstheme="minorEastAsia"/>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C3EC3D9">
      <w:pPr>
        <w:snapToGrid w:val="0"/>
        <w:ind w:firstLine="480" w:firstLineChars="200"/>
        <w:rPr>
          <w:rFonts w:hint="eastAsia" w:asciiTheme="minorEastAsia" w:hAnsiTheme="minorEastAsia" w:eastAsiaTheme="minorEastAsia" w:cstheme="minorEastAsia"/>
          <w:szCs w:val="24"/>
        </w:rPr>
      </w:pPr>
    </w:p>
    <w:p w14:paraId="2EEC1E98">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i/>
          <w:szCs w:val="24"/>
          <w:u w:val="single"/>
        </w:rPr>
        <w:t>（标的名称）</w:t>
      </w:r>
      <w:r>
        <w:rPr>
          <w:rFonts w:hint="eastAsia" w:asciiTheme="minorEastAsia" w:hAnsiTheme="minorEastAsia" w:eastAsiaTheme="minorEastAsia" w:cstheme="minorEastAsia"/>
          <w:szCs w:val="24"/>
        </w:rPr>
        <w:t>，属于</w:t>
      </w:r>
      <w:r>
        <w:rPr>
          <w:rFonts w:hint="eastAsia" w:asciiTheme="minorEastAsia" w:hAnsiTheme="minorEastAsia" w:eastAsiaTheme="minorEastAsia" w:cstheme="minorEastAsia"/>
          <w:i/>
          <w:szCs w:val="24"/>
          <w:u w:val="single"/>
        </w:rPr>
        <w:t>（采购文件中明确的所属行业）</w:t>
      </w:r>
      <w:r>
        <w:rPr>
          <w:rFonts w:hint="eastAsia" w:asciiTheme="minorEastAsia" w:hAnsiTheme="minorEastAsia" w:eastAsiaTheme="minorEastAsia" w:cstheme="minorEastAsia"/>
          <w:szCs w:val="24"/>
        </w:rPr>
        <w:t>；承建（承接）企业为</w:t>
      </w:r>
      <w:r>
        <w:rPr>
          <w:rFonts w:hint="eastAsia" w:asciiTheme="minorEastAsia" w:hAnsiTheme="minorEastAsia" w:eastAsiaTheme="minorEastAsia" w:cstheme="minorEastAsia"/>
          <w:i/>
          <w:szCs w:val="24"/>
          <w:u w:val="single"/>
        </w:rPr>
        <w:t>（企业名称）</w:t>
      </w:r>
      <w:r>
        <w:rPr>
          <w:rFonts w:hint="eastAsia" w:asciiTheme="minorEastAsia" w:hAnsiTheme="minorEastAsia" w:eastAsiaTheme="minorEastAsia" w:cstheme="minorEastAsia"/>
          <w:szCs w:val="24"/>
        </w:rPr>
        <w:t>，从业人员</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人，营业收入为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万元，资产总额为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万元</w:t>
      </w:r>
      <w:r>
        <w:rPr>
          <w:rStyle w:val="50"/>
          <w:rFonts w:hint="eastAsia" w:asciiTheme="minorEastAsia" w:hAnsiTheme="minorEastAsia" w:eastAsiaTheme="minorEastAsia" w:cstheme="minorEastAsia"/>
          <w:szCs w:val="24"/>
        </w:rPr>
        <w:footnoteReference w:id="0"/>
      </w:r>
      <w:r>
        <w:rPr>
          <w:rFonts w:hint="eastAsia" w:asciiTheme="minorEastAsia" w:hAnsiTheme="minorEastAsia" w:eastAsiaTheme="minorEastAsia" w:cstheme="minorEastAsia"/>
          <w:szCs w:val="24"/>
        </w:rPr>
        <w:t>，属于</w:t>
      </w:r>
      <w:r>
        <w:rPr>
          <w:rFonts w:hint="eastAsia" w:asciiTheme="minorEastAsia" w:hAnsiTheme="minorEastAsia" w:eastAsiaTheme="minorEastAsia" w:cstheme="minorEastAsia"/>
          <w:i/>
          <w:szCs w:val="24"/>
          <w:u w:val="single"/>
        </w:rPr>
        <w:t>（中型企业、小型企业、微型企业）</w:t>
      </w:r>
      <w:r>
        <w:rPr>
          <w:rFonts w:hint="eastAsia" w:asciiTheme="minorEastAsia" w:hAnsiTheme="minorEastAsia" w:eastAsiaTheme="minorEastAsia" w:cstheme="minorEastAsia"/>
          <w:szCs w:val="24"/>
        </w:rPr>
        <w:t>；</w:t>
      </w:r>
    </w:p>
    <w:p w14:paraId="335E80FD">
      <w:pPr>
        <w:snapToGrid w:val="0"/>
        <w:ind w:firstLine="480" w:firstLineChars="200"/>
        <w:rPr>
          <w:rFonts w:hint="eastAsia" w:asciiTheme="minorEastAsia" w:hAnsiTheme="minorEastAsia" w:eastAsiaTheme="minorEastAsia" w:cstheme="minorEastAsia"/>
          <w:szCs w:val="24"/>
        </w:rPr>
      </w:pPr>
    </w:p>
    <w:p w14:paraId="4B874699">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2. </w:t>
      </w:r>
      <w:r>
        <w:rPr>
          <w:rFonts w:hint="eastAsia" w:asciiTheme="minorEastAsia" w:hAnsiTheme="minorEastAsia" w:eastAsiaTheme="minorEastAsia" w:cstheme="minorEastAsia"/>
          <w:i/>
          <w:szCs w:val="24"/>
          <w:u w:val="single"/>
        </w:rPr>
        <w:t>（标的名称）</w:t>
      </w:r>
      <w:r>
        <w:rPr>
          <w:rFonts w:hint="eastAsia" w:asciiTheme="minorEastAsia" w:hAnsiTheme="minorEastAsia" w:eastAsiaTheme="minorEastAsia" w:cstheme="minorEastAsia"/>
          <w:szCs w:val="24"/>
        </w:rPr>
        <w:t>，属于</w:t>
      </w:r>
      <w:r>
        <w:rPr>
          <w:rFonts w:hint="eastAsia" w:asciiTheme="minorEastAsia" w:hAnsiTheme="minorEastAsia" w:eastAsiaTheme="minorEastAsia" w:cstheme="minorEastAsia"/>
          <w:i/>
          <w:szCs w:val="24"/>
          <w:u w:val="single"/>
        </w:rPr>
        <w:t>（采购文件中明确的所属行业）</w:t>
      </w:r>
      <w:r>
        <w:rPr>
          <w:rFonts w:hint="eastAsia" w:asciiTheme="minorEastAsia" w:hAnsiTheme="minorEastAsia" w:eastAsiaTheme="minorEastAsia" w:cstheme="minorEastAsia"/>
          <w:szCs w:val="24"/>
        </w:rPr>
        <w:t>；承建（承接）企业为</w:t>
      </w:r>
      <w:r>
        <w:rPr>
          <w:rFonts w:hint="eastAsia" w:asciiTheme="minorEastAsia" w:hAnsiTheme="minorEastAsia" w:eastAsiaTheme="minorEastAsia" w:cstheme="minorEastAsia"/>
          <w:i/>
          <w:szCs w:val="24"/>
          <w:u w:val="single"/>
        </w:rPr>
        <w:t>（企业名称）</w:t>
      </w:r>
      <w:r>
        <w:rPr>
          <w:rFonts w:hint="eastAsia" w:asciiTheme="minorEastAsia" w:hAnsiTheme="minorEastAsia" w:eastAsiaTheme="minorEastAsia" w:cstheme="minorEastAsia"/>
          <w:szCs w:val="24"/>
        </w:rPr>
        <w:t>，从业人员</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人，营业收入为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万元，资产总额为</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万元，属于</w:t>
      </w:r>
      <w:r>
        <w:rPr>
          <w:rFonts w:hint="eastAsia" w:asciiTheme="minorEastAsia" w:hAnsiTheme="minorEastAsia" w:eastAsiaTheme="minorEastAsia" w:cstheme="minorEastAsia"/>
          <w:i/>
          <w:szCs w:val="24"/>
          <w:u w:val="single"/>
        </w:rPr>
        <w:t>（中型企业、小型企业、微型企业）</w:t>
      </w:r>
      <w:r>
        <w:rPr>
          <w:rFonts w:hint="eastAsia" w:asciiTheme="minorEastAsia" w:hAnsiTheme="minorEastAsia" w:eastAsiaTheme="minorEastAsia" w:cstheme="minorEastAsia"/>
          <w:szCs w:val="24"/>
        </w:rPr>
        <w:t>；</w:t>
      </w:r>
    </w:p>
    <w:p w14:paraId="1FAC2982">
      <w:pPr>
        <w:snapToGrid w:val="0"/>
        <w:ind w:firstLine="480" w:firstLineChars="200"/>
        <w:rPr>
          <w:rFonts w:hint="eastAsia" w:asciiTheme="minorEastAsia" w:hAnsiTheme="minorEastAsia" w:eastAsiaTheme="minorEastAsia" w:cstheme="minorEastAsia"/>
          <w:szCs w:val="24"/>
        </w:rPr>
      </w:pPr>
    </w:p>
    <w:p w14:paraId="2AC13678">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p w14:paraId="5153760E">
      <w:pPr>
        <w:snapToGrid w:val="0"/>
        <w:ind w:firstLine="480" w:firstLineChars="200"/>
        <w:rPr>
          <w:rFonts w:hint="eastAsia" w:asciiTheme="minorEastAsia" w:hAnsiTheme="minorEastAsia" w:eastAsiaTheme="minorEastAsia" w:cstheme="minorEastAsia"/>
          <w:szCs w:val="24"/>
        </w:rPr>
      </w:pPr>
    </w:p>
    <w:p w14:paraId="09E4D679">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以上企业，不属于大企业的分支机构，不存在控股股东为大企业的情形，也不存在与大企业的负责人为同一人的情形。</w:t>
      </w:r>
    </w:p>
    <w:p w14:paraId="2B049C33">
      <w:pPr>
        <w:snapToGrid w:val="0"/>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本企业对上述声明内容的真实性负责。如有虚假，将依法承担相应责任。</w:t>
      </w:r>
    </w:p>
    <w:p w14:paraId="6AE92BDD">
      <w:pPr>
        <w:snapToGrid w:val="0"/>
        <w:ind w:firstLine="480" w:firstLineChars="200"/>
        <w:jc w:val="right"/>
        <w:rPr>
          <w:rFonts w:hint="eastAsia" w:asciiTheme="minorEastAsia" w:hAnsiTheme="minorEastAsia" w:eastAsiaTheme="minorEastAsia" w:cstheme="minorEastAsia"/>
          <w:szCs w:val="24"/>
        </w:rPr>
      </w:pPr>
    </w:p>
    <w:p w14:paraId="0E44A73D">
      <w:pPr>
        <w:snapToGrid w:val="0"/>
        <w:ind w:firstLine="480" w:firstLineChars="200"/>
        <w:jc w:val="right"/>
        <w:rPr>
          <w:rFonts w:hint="eastAsia" w:asciiTheme="minorEastAsia" w:hAnsiTheme="minorEastAsia" w:eastAsiaTheme="minorEastAsia" w:cstheme="minorEastAsia"/>
          <w:szCs w:val="24"/>
        </w:rPr>
      </w:pPr>
    </w:p>
    <w:p w14:paraId="7AD07CA3">
      <w:pPr>
        <w:snapToGrid w:val="0"/>
        <w:ind w:firstLine="480" w:firstLineChars="200"/>
        <w:jc w:val="righ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企业名称（盖章）：</w:t>
      </w:r>
    </w:p>
    <w:p w14:paraId="2B4A833C">
      <w:pPr>
        <w:snapToGrid w:val="0"/>
        <w:ind w:firstLine="480" w:firstLineChars="200"/>
        <w:jc w:val="righ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日期：</w:t>
      </w:r>
    </w:p>
    <w:p w14:paraId="64995EC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134" w:name="_Toc1719149"/>
    </w:p>
    <w:p w14:paraId="6AD4D04D">
      <w:pPr>
        <w:pStyle w:val="4"/>
        <w:rPr>
          <w:rFonts w:hint="eastAsia" w:asciiTheme="minorEastAsia" w:hAnsiTheme="minorEastAsia" w:eastAsiaTheme="minorEastAsia" w:cstheme="minorEastAsia"/>
        </w:rPr>
      </w:pPr>
      <w:bookmarkStart w:id="135" w:name="_Toc19879"/>
      <w:r>
        <w:rPr>
          <w:rFonts w:hint="eastAsia" w:asciiTheme="minorEastAsia" w:hAnsiTheme="minorEastAsia" w:eastAsiaTheme="minorEastAsia" w:cstheme="minorEastAsia"/>
        </w:rPr>
        <w:t>4、拟投入人员配备情况</w:t>
      </w:r>
      <w:bookmarkEnd w:id="135"/>
    </w:p>
    <w:tbl>
      <w:tblPr>
        <w:tblStyle w:val="4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989"/>
        <w:gridCol w:w="4092"/>
      </w:tblGrid>
      <w:tr w14:paraId="1F37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4" w:type="dxa"/>
            <w:vAlign w:val="center"/>
          </w:tcPr>
          <w:p w14:paraId="0148110A">
            <w:pPr>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姓名</w:t>
            </w:r>
          </w:p>
        </w:tc>
        <w:tc>
          <w:tcPr>
            <w:tcW w:w="1166" w:type="dxa"/>
            <w:vAlign w:val="center"/>
          </w:tcPr>
          <w:p w14:paraId="44C251DF">
            <w:pPr>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职务</w:t>
            </w:r>
          </w:p>
        </w:tc>
        <w:tc>
          <w:tcPr>
            <w:tcW w:w="1989" w:type="dxa"/>
            <w:vAlign w:val="center"/>
          </w:tcPr>
          <w:p w14:paraId="6DCBBC6A">
            <w:pPr>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职称/证书</w:t>
            </w:r>
          </w:p>
        </w:tc>
        <w:tc>
          <w:tcPr>
            <w:tcW w:w="4092" w:type="dxa"/>
            <w:vAlign w:val="center"/>
          </w:tcPr>
          <w:p w14:paraId="3C082319">
            <w:pPr>
              <w:jc w:val="cente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业绩情况</w:t>
            </w:r>
          </w:p>
        </w:tc>
      </w:tr>
      <w:tr w14:paraId="7591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14" w:type="dxa"/>
            <w:vAlign w:val="center"/>
          </w:tcPr>
          <w:p w14:paraId="25E57AB9">
            <w:pPr>
              <w:jc w:val="center"/>
              <w:rPr>
                <w:rFonts w:hint="eastAsia" w:asciiTheme="minorEastAsia" w:hAnsiTheme="minorEastAsia" w:eastAsiaTheme="minorEastAsia" w:cstheme="minorEastAsia"/>
                <w:b/>
                <w:szCs w:val="24"/>
              </w:rPr>
            </w:pPr>
          </w:p>
        </w:tc>
        <w:tc>
          <w:tcPr>
            <w:tcW w:w="1166" w:type="dxa"/>
            <w:vAlign w:val="center"/>
          </w:tcPr>
          <w:p w14:paraId="6FA1C5B9">
            <w:pPr>
              <w:jc w:val="center"/>
              <w:rPr>
                <w:rFonts w:hint="eastAsia" w:asciiTheme="minorEastAsia" w:hAnsiTheme="minorEastAsia" w:eastAsiaTheme="minorEastAsia" w:cstheme="minorEastAsia"/>
                <w:b/>
                <w:szCs w:val="24"/>
              </w:rPr>
            </w:pPr>
          </w:p>
        </w:tc>
        <w:tc>
          <w:tcPr>
            <w:tcW w:w="1989" w:type="dxa"/>
            <w:vAlign w:val="center"/>
          </w:tcPr>
          <w:p w14:paraId="2C2B4517">
            <w:pPr>
              <w:jc w:val="center"/>
              <w:rPr>
                <w:rFonts w:hint="eastAsia" w:asciiTheme="minorEastAsia" w:hAnsiTheme="minorEastAsia" w:eastAsiaTheme="minorEastAsia" w:cstheme="minorEastAsia"/>
                <w:b/>
                <w:szCs w:val="24"/>
              </w:rPr>
            </w:pPr>
          </w:p>
        </w:tc>
        <w:tc>
          <w:tcPr>
            <w:tcW w:w="4092" w:type="dxa"/>
            <w:vAlign w:val="center"/>
          </w:tcPr>
          <w:p w14:paraId="13065900">
            <w:pPr>
              <w:jc w:val="center"/>
              <w:rPr>
                <w:rFonts w:hint="eastAsia" w:asciiTheme="minorEastAsia" w:hAnsiTheme="minorEastAsia" w:eastAsiaTheme="minorEastAsia" w:cstheme="minorEastAsia"/>
                <w:b/>
                <w:szCs w:val="24"/>
              </w:rPr>
            </w:pPr>
          </w:p>
        </w:tc>
      </w:tr>
      <w:tr w14:paraId="0CE7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14" w:type="dxa"/>
            <w:vAlign w:val="center"/>
          </w:tcPr>
          <w:p w14:paraId="5B887941">
            <w:pPr>
              <w:jc w:val="center"/>
              <w:rPr>
                <w:rFonts w:hint="eastAsia" w:asciiTheme="minorEastAsia" w:hAnsiTheme="minorEastAsia" w:eastAsiaTheme="minorEastAsia" w:cstheme="minorEastAsia"/>
                <w:b/>
                <w:szCs w:val="24"/>
              </w:rPr>
            </w:pPr>
          </w:p>
        </w:tc>
        <w:tc>
          <w:tcPr>
            <w:tcW w:w="1166" w:type="dxa"/>
            <w:vAlign w:val="center"/>
          </w:tcPr>
          <w:p w14:paraId="1DA0924D">
            <w:pPr>
              <w:jc w:val="center"/>
              <w:rPr>
                <w:rFonts w:hint="eastAsia" w:asciiTheme="minorEastAsia" w:hAnsiTheme="minorEastAsia" w:eastAsiaTheme="minorEastAsia" w:cstheme="minorEastAsia"/>
                <w:b/>
                <w:szCs w:val="24"/>
              </w:rPr>
            </w:pPr>
          </w:p>
        </w:tc>
        <w:tc>
          <w:tcPr>
            <w:tcW w:w="1989" w:type="dxa"/>
            <w:vAlign w:val="center"/>
          </w:tcPr>
          <w:p w14:paraId="341945BA">
            <w:pPr>
              <w:jc w:val="center"/>
              <w:rPr>
                <w:rFonts w:hint="eastAsia" w:asciiTheme="minorEastAsia" w:hAnsiTheme="minorEastAsia" w:eastAsiaTheme="minorEastAsia" w:cstheme="minorEastAsia"/>
                <w:b/>
                <w:szCs w:val="24"/>
              </w:rPr>
            </w:pPr>
          </w:p>
        </w:tc>
        <w:tc>
          <w:tcPr>
            <w:tcW w:w="4092" w:type="dxa"/>
            <w:vAlign w:val="center"/>
          </w:tcPr>
          <w:p w14:paraId="4894BB6C">
            <w:pPr>
              <w:jc w:val="center"/>
              <w:rPr>
                <w:rFonts w:hint="eastAsia" w:asciiTheme="minorEastAsia" w:hAnsiTheme="minorEastAsia" w:eastAsiaTheme="minorEastAsia" w:cstheme="minorEastAsia"/>
                <w:b/>
                <w:szCs w:val="24"/>
              </w:rPr>
            </w:pPr>
          </w:p>
        </w:tc>
      </w:tr>
      <w:tr w14:paraId="5326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14" w:type="dxa"/>
            <w:vAlign w:val="center"/>
          </w:tcPr>
          <w:p w14:paraId="166B442F">
            <w:pPr>
              <w:jc w:val="center"/>
              <w:rPr>
                <w:rFonts w:hint="eastAsia" w:asciiTheme="minorEastAsia" w:hAnsiTheme="minorEastAsia" w:eastAsiaTheme="minorEastAsia" w:cstheme="minorEastAsia"/>
                <w:b/>
                <w:szCs w:val="24"/>
              </w:rPr>
            </w:pPr>
          </w:p>
        </w:tc>
        <w:tc>
          <w:tcPr>
            <w:tcW w:w="1166" w:type="dxa"/>
            <w:vAlign w:val="center"/>
          </w:tcPr>
          <w:p w14:paraId="2C238F19">
            <w:pPr>
              <w:jc w:val="center"/>
              <w:rPr>
                <w:rFonts w:hint="eastAsia" w:asciiTheme="minorEastAsia" w:hAnsiTheme="minorEastAsia" w:eastAsiaTheme="minorEastAsia" w:cstheme="minorEastAsia"/>
                <w:b/>
                <w:szCs w:val="24"/>
              </w:rPr>
            </w:pPr>
          </w:p>
        </w:tc>
        <w:tc>
          <w:tcPr>
            <w:tcW w:w="1989" w:type="dxa"/>
            <w:vAlign w:val="center"/>
          </w:tcPr>
          <w:p w14:paraId="6B358B9E">
            <w:pPr>
              <w:jc w:val="center"/>
              <w:rPr>
                <w:rFonts w:hint="eastAsia" w:asciiTheme="minorEastAsia" w:hAnsiTheme="minorEastAsia" w:eastAsiaTheme="minorEastAsia" w:cstheme="minorEastAsia"/>
                <w:b/>
                <w:szCs w:val="24"/>
              </w:rPr>
            </w:pPr>
          </w:p>
        </w:tc>
        <w:tc>
          <w:tcPr>
            <w:tcW w:w="4092" w:type="dxa"/>
            <w:vAlign w:val="center"/>
          </w:tcPr>
          <w:p w14:paraId="003A2EEE">
            <w:pPr>
              <w:jc w:val="center"/>
              <w:rPr>
                <w:rFonts w:hint="eastAsia" w:asciiTheme="minorEastAsia" w:hAnsiTheme="minorEastAsia" w:eastAsiaTheme="minorEastAsia" w:cstheme="minorEastAsia"/>
                <w:b/>
                <w:szCs w:val="24"/>
              </w:rPr>
            </w:pPr>
          </w:p>
        </w:tc>
      </w:tr>
      <w:tr w14:paraId="4B4C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14" w:type="dxa"/>
            <w:vAlign w:val="center"/>
          </w:tcPr>
          <w:p w14:paraId="19E1D625">
            <w:pPr>
              <w:jc w:val="center"/>
              <w:rPr>
                <w:rFonts w:hint="eastAsia" w:asciiTheme="minorEastAsia" w:hAnsiTheme="minorEastAsia" w:eastAsiaTheme="minorEastAsia" w:cstheme="minorEastAsia"/>
                <w:b/>
                <w:szCs w:val="24"/>
              </w:rPr>
            </w:pPr>
          </w:p>
        </w:tc>
        <w:tc>
          <w:tcPr>
            <w:tcW w:w="1166" w:type="dxa"/>
            <w:vAlign w:val="center"/>
          </w:tcPr>
          <w:p w14:paraId="07E10311">
            <w:pPr>
              <w:jc w:val="center"/>
              <w:rPr>
                <w:rFonts w:hint="eastAsia" w:asciiTheme="minorEastAsia" w:hAnsiTheme="minorEastAsia" w:eastAsiaTheme="minorEastAsia" w:cstheme="minorEastAsia"/>
                <w:b/>
                <w:szCs w:val="24"/>
              </w:rPr>
            </w:pPr>
          </w:p>
        </w:tc>
        <w:tc>
          <w:tcPr>
            <w:tcW w:w="1989" w:type="dxa"/>
            <w:vAlign w:val="center"/>
          </w:tcPr>
          <w:p w14:paraId="5E3F4A70">
            <w:pPr>
              <w:jc w:val="center"/>
              <w:rPr>
                <w:rFonts w:hint="eastAsia" w:asciiTheme="minorEastAsia" w:hAnsiTheme="minorEastAsia" w:eastAsiaTheme="minorEastAsia" w:cstheme="minorEastAsia"/>
                <w:b/>
                <w:szCs w:val="24"/>
              </w:rPr>
            </w:pPr>
          </w:p>
        </w:tc>
        <w:tc>
          <w:tcPr>
            <w:tcW w:w="4092" w:type="dxa"/>
            <w:vAlign w:val="center"/>
          </w:tcPr>
          <w:p w14:paraId="3D178B6C">
            <w:pPr>
              <w:jc w:val="center"/>
              <w:rPr>
                <w:rFonts w:hint="eastAsia" w:asciiTheme="minorEastAsia" w:hAnsiTheme="minorEastAsia" w:eastAsiaTheme="minorEastAsia" w:cstheme="minorEastAsia"/>
                <w:b/>
                <w:szCs w:val="24"/>
              </w:rPr>
            </w:pPr>
          </w:p>
        </w:tc>
      </w:tr>
      <w:tr w14:paraId="6864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Borders>
              <w:bottom w:val="single" w:color="auto" w:sz="4" w:space="0"/>
            </w:tcBorders>
            <w:vAlign w:val="center"/>
          </w:tcPr>
          <w:p w14:paraId="4F2A53CF">
            <w:pPr>
              <w:jc w:val="center"/>
              <w:rPr>
                <w:rFonts w:hint="eastAsia" w:asciiTheme="minorEastAsia" w:hAnsiTheme="minorEastAsia" w:eastAsiaTheme="minorEastAsia" w:cstheme="minorEastAsia"/>
                <w:b/>
                <w:szCs w:val="24"/>
              </w:rPr>
            </w:pPr>
          </w:p>
        </w:tc>
        <w:tc>
          <w:tcPr>
            <w:tcW w:w="1166" w:type="dxa"/>
            <w:tcBorders>
              <w:bottom w:val="single" w:color="auto" w:sz="4" w:space="0"/>
            </w:tcBorders>
            <w:vAlign w:val="center"/>
          </w:tcPr>
          <w:p w14:paraId="25DE1CE5">
            <w:pPr>
              <w:jc w:val="center"/>
              <w:rPr>
                <w:rFonts w:hint="eastAsia" w:asciiTheme="minorEastAsia" w:hAnsiTheme="minorEastAsia" w:eastAsiaTheme="minorEastAsia" w:cstheme="minorEastAsia"/>
                <w:b/>
                <w:szCs w:val="24"/>
              </w:rPr>
            </w:pPr>
          </w:p>
        </w:tc>
        <w:tc>
          <w:tcPr>
            <w:tcW w:w="1989" w:type="dxa"/>
            <w:tcBorders>
              <w:bottom w:val="single" w:color="auto" w:sz="4" w:space="0"/>
            </w:tcBorders>
            <w:vAlign w:val="center"/>
          </w:tcPr>
          <w:p w14:paraId="550737DC">
            <w:pPr>
              <w:jc w:val="center"/>
              <w:rPr>
                <w:rFonts w:hint="eastAsia" w:asciiTheme="minorEastAsia" w:hAnsiTheme="minorEastAsia" w:eastAsiaTheme="minorEastAsia" w:cstheme="minorEastAsia"/>
                <w:b/>
                <w:szCs w:val="24"/>
              </w:rPr>
            </w:pPr>
          </w:p>
        </w:tc>
        <w:tc>
          <w:tcPr>
            <w:tcW w:w="4092" w:type="dxa"/>
            <w:tcBorders>
              <w:bottom w:val="single" w:color="auto" w:sz="4" w:space="0"/>
            </w:tcBorders>
            <w:vAlign w:val="center"/>
          </w:tcPr>
          <w:p w14:paraId="10F6D561">
            <w:pPr>
              <w:jc w:val="center"/>
              <w:rPr>
                <w:rFonts w:hint="eastAsia" w:asciiTheme="minorEastAsia" w:hAnsiTheme="minorEastAsia" w:eastAsiaTheme="minorEastAsia" w:cstheme="minorEastAsia"/>
                <w:b/>
                <w:szCs w:val="24"/>
              </w:rPr>
            </w:pPr>
          </w:p>
        </w:tc>
      </w:tr>
      <w:tr w14:paraId="5833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4" w:type="dxa"/>
          </w:tcPr>
          <w:p w14:paraId="7AE5DA67">
            <w:pPr>
              <w:jc w:val="center"/>
              <w:rPr>
                <w:rFonts w:hint="eastAsia" w:asciiTheme="minorEastAsia" w:hAnsiTheme="minorEastAsia" w:eastAsiaTheme="minorEastAsia" w:cstheme="minorEastAsia"/>
                <w:szCs w:val="24"/>
              </w:rPr>
            </w:pPr>
          </w:p>
        </w:tc>
        <w:tc>
          <w:tcPr>
            <w:tcW w:w="1166" w:type="dxa"/>
          </w:tcPr>
          <w:p w14:paraId="5EF89ABA">
            <w:pPr>
              <w:jc w:val="center"/>
              <w:rPr>
                <w:rFonts w:hint="eastAsia" w:asciiTheme="minorEastAsia" w:hAnsiTheme="minorEastAsia" w:eastAsiaTheme="minorEastAsia" w:cstheme="minorEastAsia"/>
                <w:szCs w:val="24"/>
              </w:rPr>
            </w:pPr>
          </w:p>
        </w:tc>
        <w:tc>
          <w:tcPr>
            <w:tcW w:w="1989" w:type="dxa"/>
          </w:tcPr>
          <w:p w14:paraId="0254AE69">
            <w:pPr>
              <w:jc w:val="center"/>
              <w:rPr>
                <w:rFonts w:hint="eastAsia" w:asciiTheme="minorEastAsia" w:hAnsiTheme="minorEastAsia" w:eastAsiaTheme="minorEastAsia" w:cstheme="minorEastAsia"/>
                <w:szCs w:val="24"/>
              </w:rPr>
            </w:pPr>
          </w:p>
        </w:tc>
        <w:tc>
          <w:tcPr>
            <w:tcW w:w="4092" w:type="dxa"/>
          </w:tcPr>
          <w:p w14:paraId="05B3A7A6">
            <w:pPr>
              <w:jc w:val="center"/>
              <w:rPr>
                <w:rFonts w:hint="eastAsia" w:asciiTheme="minorEastAsia" w:hAnsiTheme="minorEastAsia" w:eastAsiaTheme="minorEastAsia" w:cstheme="minorEastAsia"/>
                <w:szCs w:val="24"/>
              </w:rPr>
            </w:pPr>
          </w:p>
        </w:tc>
      </w:tr>
      <w:tr w14:paraId="0C8C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014" w:type="dxa"/>
          </w:tcPr>
          <w:p w14:paraId="3F363BC1">
            <w:pPr>
              <w:jc w:val="center"/>
              <w:rPr>
                <w:rFonts w:hint="eastAsia" w:asciiTheme="minorEastAsia" w:hAnsiTheme="minorEastAsia" w:eastAsiaTheme="minorEastAsia" w:cstheme="minorEastAsia"/>
                <w:szCs w:val="24"/>
              </w:rPr>
            </w:pPr>
          </w:p>
        </w:tc>
        <w:tc>
          <w:tcPr>
            <w:tcW w:w="1166" w:type="dxa"/>
          </w:tcPr>
          <w:p w14:paraId="1E9F4178">
            <w:pPr>
              <w:jc w:val="center"/>
              <w:rPr>
                <w:rFonts w:hint="eastAsia" w:asciiTheme="minorEastAsia" w:hAnsiTheme="minorEastAsia" w:eastAsiaTheme="minorEastAsia" w:cstheme="minorEastAsia"/>
                <w:szCs w:val="24"/>
              </w:rPr>
            </w:pPr>
          </w:p>
        </w:tc>
        <w:tc>
          <w:tcPr>
            <w:tcW w:w="1989" w:type="dxa"/>
          </w:tcPr>
          <w:p w14:paraId="5E9F50B7">
            <w:pPr>
              <w:jc w:val="center"/>
              <w:rPr>
                <w:rFonts w:hint="eastAsia" w:asciiTheme="minorEastAsia" w:hAnsiTheme="minorEastAsia" w:eastAsiaTheme="minorEastAsia" w:cstheme="minorEastAsia"/>
                <w:szCs w:val="24"/>
              </w:rPr>
            </w:pPr>
          </w:p>
        </w:tc>
        <w:tc>
          <w:tcPr>
            <w:tcW w:w="4092" w:type="dxa"/>
          </w:tcPr>
          <w:p w14:paraId="20E85832">
            <w:pPr>
              <w:jc w:val="center"/>
              <w:rPr>
                <w:rFonts w:hint="eastAsia" w:asciiTheme="minorEastAsia" w:hAnsiTheme="minorEastAsia" w:eastAsiaTheme="minorEastAsia" w:cstheme="minorEastAsia"/>
                <w:szCs w:val="24"/>
              </w:rPr>
            </w:pPr>
          </w:p>
        </w:tc>
      </w:tr>
      <w:tr w14:paraId="4C8D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4" w:type="dxa"/>
          </w:tcPr>
          <w:p w14:paraId="7A093485">
            <w:pPr>
              <w:jc w:val="center"/>
              <w:rPr>
                <w:rFonts w:hint="eastAsia" w:asciiTheme="minorEastAsia" w:hAnsiTheme="minorEastAsia" w:eastAsiaTheme="minorEastAsia" w:cstheme="minorEastAsia"/>
                <w:szCs w:val="24"/>
              </w:rPr>
            </w:pPr>
          </w:p>
        </w:tc>
        <w:tc>
          <w:tcPr>
            <w:tcW w:w="1166" w:type="dxa"/>
          </w:tcPr>
          <w:p w14:paraId="4E30D045">
            <w:pPr>
              <w:jc w:val="center"/>
              <w:rPr>
                <w:rFonts w:hint="eastAsia" w:asciiTheme="minorEastAsia" w:hAnsiTheme="minorEastAsia" w:eastAsiaTheme="minorEastAsia" w:cstheme="minorEastAsia"/>
                <w:szCs w:val="24"/>
              </w:rPr>
            </w:pPr>
          </w:p>
        </w:tc>
        <w:tc>
          <w:tcPr>
            <w:tcW w:w="1989" w:type="dxa"/>
          </w:tcPr>
          <w:p w14:paraId="41B2CDF1">
            <w:pPr>
              <w:jc w:val="center"/>
              <w:rPr>
                <w:rFonts w:hint="eastAsia" w:asciiTheme="minorEastAsia" w:hAnsiTheme="minorEastAsia" w:eastAsiaTheme="minorEastAsia" w:cstheme="minorEastAsia"/>
                <w:szCs w:val="24"/>
              </w:rPr>
            </w:pPr>
          </w:p>
        </w:tc>
        <w:tc>
          <w:tcPr>
            <w:tcW w:w="4092" w:type="dxa"/>
          </w:tcPr>
          <w:p w14:paraId="03937F74">
            <w:pPr>
              <w:jc w:val="center"/>
              <w:rPr>
                <w:rFonts w:hint="eastAsia" w:asciiTheme="minorEastAsia" w:hAnsiTheme="minorEastAsia" w:eastAsiaTheme="minorEastAsia" w:cstheme="minorEastAsia"/>
                <w:szCs w:val="24"/>
              </w:rPr>
            </w:pPr>
          </w:p>
        </w:tc>
      </w:tr>
      <w:tr w14:paraId="07C9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14" w:type="dxa"/>
          </w:tcPr>
          <w:p w14:paraId="6276C369">
            <w:pPr>
              <w:jc w:val="center"/>
              <w:rPr>
                <w:rFonts w:hint="eastAsia" w:asciiTheme="minorEastAsia" w:hAnsiTheme="minorEastAsia" w:eastAsiaTheme="minorEastAsia" w:cstheme="minorEastAsia"/>
                <w:szCs w:val="24"/>
              </w:rPr>
            </w:pPr>
          </w:p>
        </w:tc>
        <w:tc>
          <w:tcPr>
            <w:tcW w:w="1166" w:type="dxa"/>
          </w:tcPr>
          <w:p w14:paraId="01338650">
            <w:pPr>
              <w:jc w:val="center"/>
              <w:rPr>
                <w:rFonts w:hint="eastAsia" w:asciiTheme="minorEastAsia" w:hAnsiTheme="minorEastAsia" w:eastAsiaTheme="minorEastAsia" w:cstheme="minorEastAsia"/>
                <w:szCs w:val="24"/>
              </w:rPr>
            </w:pPr>
          </w:p>
        </w:tc>
        <w:tc>
          <w:tcPr>
            <w:tcW w:w="1989" w:type="dxa"/>
          </w:tcPr>
          <w:p w14:paraId="30B46582">
            <w:pPr>
              <w:jc w:val="center"/>
              <w:rPr>
                <w:rFonts w:hint="eastAsia" w:asciiTheme="minorEastAsia" w:hAnsiTheme="minorEastAsia" w:eastAsiaTheme="minorEastAsia" w:cstheme="minorEastAsia"/>
                <w:szCs w:val="24"/>
              </w:rPr>
            </w:pPr>
          </w:p>
        </w:tc>
        <w:tc>
          <w:tcPr>
            <w:tcW w:w="4092" w:type="dxa"/>
          </w:tcPr>
          <w:p w14:paraId="13A6F9C8">
            <w:pPr>
              <w:jc w:val="center"/>
              <w:rPr>
                <w:rFonts w:hint="eastAsia" w:asciiTheme="minorEastAsia" w:hAnsiTheme="minorEastAsia" w:eastAsiaTheme="minorEastAsia" w:cstheme="minorEastAsia"/>
                <w:szCs w:val="24"/>
              </w:rPr>
            </w:pPr>
          </w:p>
        </w:tc>
      </w:tr>
      <w:tr w14:paraId="57C8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Pr>
          <w:p w14:paraId="4BBF434D">
            <w:pPr>
              <w:jc w:val="center"/>
              <w:rPr>
                <w:rFonts w:hint="eastAsia" w:asciiTheme="minorEastAsia" w:hAnsiTheme="minorEastAsia" w:eastAsiaTheme="minorEastAsia" w:cstheme="minorEastAsia"/>
                <w:szCs w:val="24"/>
              </w:rPr>
            </w:pPr>
          </w:p>
        </w:tc>
        <w:tc>
          <w:tcPr>
            <w:tcW w:w="1166" w:type="dxa"/>
          </w:tcPr>
          <w:p w14:paraId="0385BEE6">
            <w:pPr>
              <w:jc w:val="center"/>
              <w:rPr>
                <w:rFonts w:hint="eastAsia" w:asciiTheme="minorEastAsia" w:hAnsiTheme="minorEastAsia" w:eastAsiaTheme="minorEastAsia" w:cstheme="minorEastAsia"/>
                <w:szCs w:val="24"/>
              </w:rPr>
            </w:pPr>
          </w:p>
        </w:tc>
        <w:tc>
          <w:tcPr>
            <w:tcW w:w="1989" w:type="dxa"/>
          </w:tcPr>
          <w:p w14:paraId="3CF93826">
            <w:pPr>
              <w:jc w:val="center"/>
              <w:rPr>
                <w:rFonts w:hint="eastAsia" w:asciiTheme="minorEastAsia" w:hAnsiTheme="minorEastAsia" w:eastAsiaTheme="minorEastAsia" w:cstheme="minorEastAsia"/>
                <w:szCs w:val="24"/>
              </w:rPr>
            </w:pPr>
          </w:p>
        </w:tc>
        <w:tc>
          <w:tcPr>
            <w:tcW w:w="4092" w:type="dxa"/>
          </w:tcPr>
          <w:p w14:paraId="3FEBE54B">
            <w:pPr>
              <w:jc w:val="center"/>
              <w:rPr>
                <w:rFonts w:hint="eastAsia" w:asciiTheme="minorEastAsia" w:hAnsiTheme="minorEastAsia" w:eastAsiaTheme="minorEastAsia" w:cstheme="minorEastAsia"/>
                <w:szCs w:val="24"/>
              </w:rPr>
            </w:pPr>
          </w:p>
        </w:tc>
      </w:tr>
    </w:tbl>
    <w:p w14:paraId="38433405">
      <w:pPr>
        <w:pStyle w:val="24"/>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本项目一旦我单位中标，将由上述表中组建人员。上述填报内容真实，如不真实，将按照有关规定接受处理。（后附人员证书）</w:t>
      </w:r>
    </w:p>
    <w:p w14:paraId="052F7A4A">
      <w:pPr>
        <w:ind w:firstLine="843" w:firstLineChars="30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 xml:space="preserve">投标人（签字盖章）：                  </w:t>
      </w:r>
    </w:p>
    <w:p w14:paraId="09730D87">
      <w:pPr>
        <w:ind w:firstLine="7379" w:firstLineChars="2625"/>
        <w:rPr>
          <w:rFonts w:hint="eastAsia" w:asciiTheme="minorEastAsia" w:hAnsiTheme="minorEastAsia" w:eastAsiaTheme="minorEastAsia" w:cstheme="minorEastAsia"/>
          <w:b/>
          <w:bCs/>
          <w:sz w:val="28"/>
          <w:szCs w:val="32"/>
        </w:rPr>
      </w:pPr>
    </w:p>
    <w:p w14:paraId="1DDAA0B4">
      <w:pPr>
        <w:ind w:firstLine="6437" w:firstLineChars="229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年  月  日</w:t>
      </w:r>
    </w:p>
    <w:bookmarkEnd w:id="134"/>
    <w:p w14:paraId="6753D6C1">
      <w:pPr>
        <w:widowControl/>
        <w:spacing w:line="240" w:lineRule="auto"/>
        <w:jc w:val="left"/>
        <w:rPr>
          <w:rFonts w:hint="eastAsia" w:asciiTheme="minorEastAsia" w:hAnsiTheme="minorEastAsia" w:eastAsiaTheme="minorEastAsia" w:cstheme="minorEastAsia"/>
          <w:b/>
          <w:bCs/>
          <w:sz w:val="30"/>
          <w:szCs w:val="30"/>
        </w:rPr>
      </w:pPr>
      <w:bookmarkStart w:id="136" w:name="_Toc1719161"/>
      <w:bookmarkStart w:id="137" w:name="_Toc11595567"/>
      <w:r>
        <w:rPr>
          <w:rFonts w:hint="eastAsia" w:asciiTheme="minorEastAsia" w:hAnsiTheme="minorEastAsia" w:eastAsiaTheme="minorEastAsia" w:cstheme="minorEastAsia"/>
          <w:b/>
          <w:bCs/>
          <w:sz w:val="30"/>
          <w:szCs w:val="30"/>
        </w:rPr>
        <w:br w:type="page"/>
      </w:r>
    </w:p>
    <w:bookmarkEnd w:id="136"/>
    <w:bookmarkEnd w:id="137"/>
    <w:p w14:paraId="1662A141">
      <w:pPr>
        <w:pStyle w:val="4"/>
        <w:rPr>
          <w:rFonts w:hint="eastAsia" w:asciiTheme="minorEastAsia" w:hAnsiTheme="minorEastAsia" w:eastAsiaTheme="minorEastAsia" w:cstheme="minorEastAsia"/>
        </w:rPr>
      </w:pPr>
      <w:bookmarkStart w:id="138" w:name="_Toc6044"/>
      <w:bookmarkStart w:id="139" w:name="_Toc160880537"/>
      <w:bookmarkStart w:id="140" w:name="_Toc169332846"/>
      <w:bookmarkStart w:id="141" w:name="_Toc235438286"/>
      <w:bookmarkStart w:id="142" w:name="_Toc249325725"/>
      <w:bookmarkStart w:id="143" w:name="_Toc235438357"/>
      <w:bookmarkStart w:id="144" w:name="_Toc235438003"/>
      <w:bookmarkStart w:id="145" w:name="_Toc182805225"/>
      <w:bookmarkStart w:id="146" w:name="_Toc192663843"/>
      <w:bookmarkStart w:id="147" w:name="_Toc177985477"/>
      <w:bookmarkStart w:id="148" w:name="_Toc181436573"/>
      <w:bookmarkStart w:id="149" w:name="_Toc191783230"/>
      <w:bookmarkStart w:id="150" w:name="_Toc182372790"/>
      <w:bookmarkStart w:id="151" w:name="_Toc251613844"/>
      <w:bookmarkStart w:id="152" w:name="_Toc192664161"/>
      <w:bookmarkStart w:id="153" w:name="_Toc253066629"/>
      <w:bookmarkStart w:id="154" w:name="_Toc203355741"/>
      <w:bookmarkStart w:id="155" w:name="_Toc11595575"/>
      <w:bookmarkStart w:id="156" w:name="_Toc251586246"/>
      <w:bookmarkStart w:id="157" w:name="_Toc232302127"/>
      <w:bookmarkStart w:id="158" w:name="_Toc169332957"/>
      <w:bookmarkStart w:id="159" w:name="_Toc192663694"/>
      <w:bookmarkStart w:id="160" w:name="_Toc193165742"/>
      <w:bookmarkStart w:id="161" w:name="_Toc192996454"/>
      <w:bookmarkStart w:id="162" w:name="_Toc160880168"/>
      <w:bookmarkStart w:id="163" w:name="_Toc191803634"/>
      <w:bookmarkStart w:id="164" w:name="_Toc191789337"/>
      <w:bookmarkStart w:id="165" w:name="_Toc236021462"/>
      <w:bookmarkStart w:id="166" w:name="_Toc181436469"/>
      <w:bookmarkStart w:id="167" w:name="_Toc211917124"/>
      <w:bookmarkStart w:id="168" w:name="_Toc193160456"/>
      <w:bookmarkStart w:id="169" w:name="_Toc180302921"/>
      <w:bookmarkStart w:id="170" w:name="_Toc191802698"/>
      <w:bookmarkStart w:id="171" w:name="_Toc170798801"/>
      <w:bookmarkStart w:id="172" w:name="_Toc192996346"/>
      <w:r>
        <w:rPr>
          <w:rFonts w:hint="eastAsia" w:asciiTheme="minorEastAsia" w:hAnsiTheme="minorEastAsia" w:eastAsiaTheme="minorEastAsia" w:cstheme="minorEastAsia"/>
        </w:rPr>
        <w:t>5、业绩</w:t>
      </w:r>
      <w:bookmarkEnd w:id="138"/>
    </w:p>
    <w:tbl>
      <w:tblPr>
        <w:tblStyle w:val="42"/>
        <w:tblW w:w="893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938"/>
        <w:gridCol w:w="2412"/>
        <w:gridCol w:w="996"/>
        <w:gridCol w:w="1082"/>
        <w:gridCol w:w="1095"/>
        <w:gridCol w:w="909"/>
        <w:gridCol w:w="898"/>
        <w:gridCol w:w="608"/>
      </w:tblGrid>
      <w:tr w14:paraId="0987CE8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1864" w:hRule="atLeast"/>
          <w:jc w:val="center"/>
        </w:trPr>
        <w:tc>
          <w:tcPr>
            <w:tcW w:w="938" w:type="dxa"/>
            <w:vAlign w:val="center"/>
          </w:tcPr>
          <w:p w14:paraId="60D0E6BF">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412" w:type="dxa"/>
            <w:vAlign w:val="center"/>
          </w:tcPr>
          <w:p w14:paraId="493106B3">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项目委托单位、联系人及电话</w:t>
            </w:r>
          </w:p>
        </w:tc>
        <w:tc>
          <w:tcPr>
            <w:tcW w:w="996" w:type="dxa"/>
            <w:vAlign w:val="center"/>
          </w:tcPr>
          <w:p w14:paraId="78DAEEA5">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p w14:paraId="0202262F">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082" w:type="dxa"/>
            <w:vAlign w:val="center"/>
          </w:tcPr>
          <w:p w14:paraId="277F7E77">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p w14:paraId="61236735">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w:t>
            </w:r>
          </w:p>
        </w:tc>
        <w:tc>
          <w:tcPr>
            <w:tcW w:w="1095" w:type="dxa"/>
            <w:vAlign w:val="center"/>
          </w:tcPr>
          <w:p w14:paraId="263B5424">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w:t>
            </w:r>
          </w:p>
          <w:p w14:paraId="4D17B488">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金额</w:t>
            </w:r>
          </w:p>
        </w:tc>
        <w:tc>
          <w:tcPr>
            <w:tcW w:w="909" w:type="dxa"/>
            <w:vAlign w:val="center"/>
          </w:tcPr>
          <w:p w14:paraId="21759BE0">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w:t>
            </w:r>
            <w:r>
              <w:rPr>
                <w:rFonts w:hint="eastAsia" w:asciiTheme="minorEastAsia" w:hAnsiTheme="minorEastAsia" w:eastAsiaTheme="minorEastAsia" w:cstheme="minorEastAsia"/>
                <w:spacing w:val="-9"/>
                <w:sz w:val="21"/>
                <w:szCs w:val="21"/>
              </w:rPr>
              <w:t>签订日期</w:t>
            </w:r>
          </w:p>
        </w:tc>
        <w:tc>
          <w:tcPr>
            <w:tcW w:w="898" w:type="dxa"/>
            <w:vAlign w:val="center"/>
          </w:tcPr>
          <w:p w14:paraId="37E9AB61">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w:t>
            </w:r>
          </w:p>
          <w:p w14:paraId="1A607B43">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情况</w:t>
            </w:r>
          </w:p>
        </w:tc>
        <w:tc>
          <w:tcPr>
            <w:tcW w:w="608" w:type="dxa"/>
            <w:vAlign w:val="center"/>
          </w:tcPr>
          <w:p w14:paraId="026576B6">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AFCAD7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3A0AE38B">
            <w:pPr>
              <w:pStyle w:val="9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412" w:type="dxa"/>
            <w:vAlign w:val="center"/>
          </w:tcPr>
          <w:p w14:paraId="4EC81571">
            <w:pPr>
              <w:pStyle w:val="95"/>
              <w:jc w:val="center"/>
              <w:rPr>
                <w:rFonts w:hint="eastAsia" w:asciiTheme="minorEastAsia" w:hAnsiTheme="minorEastAsia" w:eastAsiaTheme="minorEastAsia" w:cstheme="minorEastAsia"/>
                <w:sz w:val="21"/>
                <w:szCs w:val="21"/>
              </w:rPr>
            </w:pPr>
          </w:p>
        </w:tc>
        <w:tc>
          <w:tcPr>
            <w:tcW w:w="996" w:type="dxa"/>
            <w:vAlign w:val="center"/>
          </w:tcPr>
          <w:p w14:paraId="6CEB6551">
            <w:pPr>
              <w:pStyle w:val="95"/>
              <w:jc w:val="center"/>
              <w:rPr>
                <w:rFonts w:hint="eastAsia" w:asciiTheme="minorEastAsia" w:hAnsiTheme="minorEastAsia" w:eastAsiaTheme="minorEastAsia" w:cstheme="minorEastAsia"/>
                <w:sz w:val="21"/>
                <w:szCs w:val="21"/>
              </w:rPr>
            </w:pPr>
          </w:p>
        </w:tc>
        <w:tc>
          <w:tcPr>
            <w:tcW w:w="1082" w:type="dxa"/>
            <w:vAlign w:val="center"/>
          </w:tcPr>
          <w:p w14:paraId="1D9AC964">
            <w:pPr>
              <w:pStyle w:val="95"/>
              <w:jc w:val="center"/>
              <w:rPr>
                <w:rFonts w:hint="eastAsia" w:asciiTheme="minorEastAsia" w:hAnsiTheme="minorEastAsia" w:eastAsiaTheme="minorEastAsia" w:cstheme="minorEastAsia"/>
                <w:sz w:val="21"/>
                <w:szCs w:val="21"/>
              </w:rPr>
            </w:pPr>
          </w:p>
        </w:tc>
        <w:tc>
          <w:tcPr>
            <w:tcW w:w="1095" w:type="dxa"/>
            <w:vAlign w:val="center"/>
          </w:tcPr>
          <w:p w14:paraId="562CC9A2">
            <w:pPr>
              <w:pStyle w:val="95"/>
              <w:jc w:val="center"/>
              <w:rPr>
                <w:rFonts w:hint="eastAsia" w:asciiTheme="minorEastAsia" w:hAnsiTheme="minorEastAsia" w:eastAsiaTheme="minorEastAsia" w:cstheme="minorEastAsia"/>
                <w:sz w:val="21"/>
                <w:szCs w:val="21"/>
              </w:rPr>
            </w:pPr>
          </w:p>
        </w:tc>
        <w:tc>
          <w:tcPr>
            <w:tcW w:w="909" w:type="dxa"/>
            <w:vAlign w:val="center"/>
          </w:tcPr>
          <w:p w14:paraId="0F40308F">
            <w:pPr>
              <w:pStyle w:val="95"/>
              <w:jc w:val="center"/>
              <w:rPr>
                <w:rFonts w:hint="eastAsia" w:asciiTheme="minorEastAsia" w:hAnsiTheme="minorEastAsia" w:eastAsiaTheme="minorEastAsia" w:cstheme="minorEastAsia"/>
                <w:sz w:val="21"/>
                <w:szCs w:val="21"/>
              </w:rPr>
            </w:pPr>
          </w:p>
        </w:tc>
        <w:tc>
          <w:tcPr>
            <w:tcW w:w="898" w:type="dxa"/>
            <w:vAlign w:val="center"/>
          </w:tcPr>
          <w:p w14:paraId="2C939639">
            <w:pPr>
              <w:pStyle w:val="95"/>
              <w:jc w:val="center"/>
              <w:rPr>
                <w:rFonts w:hint="eastAsia" w:asciiTheme="minorEastAsia" w:hAnsiTheme="minorEastAsia" w:eastAsiaTheme="minorEastAsia" w:cstheme="minorEastAsia"/>
                <w:sz w:val="21"/>
                <w:szCs w:val="21"/>
              </w:rPr>
            </w:pPr>
          </w:p>
        </w:tc>
        <w:tc>
          <w:tcPr>
            <w:tcW w:w="608" w:type="dxa"/>
            <w:vAlign w:val="center"/>
          </w:tcPr>
          <w:p w14:paraId="34F6CBFE">
            <w:pPr>
              <w:pStyle w:val="95"/>
              <w:jc w:val="center"/>
              <w:rPr>
                <w:rFonts w:hint="eastAsia" w:asciiTheme="minorEastAsia" w:hAnsiTheme="minorEastAsia" w:eastAsiaTheme="minorEastAsia" w:cstheme="minorEastAsia"/>
                <w:sz w:val="21"/>
                <w:szCs w:val="21"/>
              </w:rPr>
            </w:pPr>
          </w:p>
        </w:tc>
      </w:tr>
      <w:tr w14:paraId="5CF7DD4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4A9747B5">
            <w:pPr>
              <w:pStyle w:val="9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412" w:type="dxa"/>
            <w:vAlign w:val="center"/>
          </w:tcPr>
          <w:p w14:paraId="28A6BB4E">
            <w:pPr>
              <w:pStyle w:val="95"/>
              <w:jc w:val="center"/>
              <w:rPr>
                <w:rFonts w:hint="eastAsia" w:asciiTheme="minorEastAsia" w:hAnsiTheme="minorEastAsia" w:eastAsiaTheme="minorEastAsia" w:cstheme="minorEastAsia"/>
                <w:sz w:val="21"/>
                <w:szCs w:val="21"/>
              </w:rPr>
            </w:pPr>
          </w:p>
        </w:tc>
        <w:tc>
          <w:tcPr>
            <w:tcW w:w="996" w:type="dxa"/>
            <w:vAlign w:val="center"/>
          </w:tcPr>
          <w:p w14:paraId="1F6C5CEE">
            <w:pPr>
              <w:pStyle w:val="95"/>
              <w:jc w:val="center"/>
              <w:rPr>
                <w:rFonts w:hint="eastAsia" w:asciiTheme="minorEastAsia" w:hAnsiTheme="minorEastAsia" w:eastAsiaTheme="minorEastAsia" w:cstheme="minorEastAsia"/>
                <w:sz w:val="21"/>
                <w:szCs w:val="21"/>
              </w:rPr>
            </w:pPr>
          </w:p>
        </w:tc>
        <w:tc>
          <w:tcPr>
            <w:tcW w:w="1082" w:type="dxa"/>
            <w:vAlign w:val="center"/>
          </w:tcPr>
          <w:p w14:paraId="1B35D5C7">
            <w:pPr>
              <w:pStyle w:val="95"/>
              <w:jc w:val="center"/>
              <w:rPr>
                <w:rFonts w:hint="eastAsia" w:asciiTheme="minorEastAsia" w:hAnsiTheme="minorEastAsia" w:eastAsiaTheme="minorEastAsia" w:cstheme="minorEastAsia"/>
                <w:sz w:val="21"/>
                <w:szCs w:val="21"/>
              </w:rPr>
            </w:pPr>
          </w:p>
        </w:tc>
        <w:tc>
          <w:tcPr>
            <w:tcW w:w="1095" w:type="dxa"/>
            <w:vAlign w:val="center"/>
          </w:tcPr>
          <w:p w14:paraId="7B56F96C">
            <w:pPr>
              <w:pStyle w:val="95"/>
              <w:jc w:val="center"/>
              <w:rPr>
                <w:rFonts w:hint="eastAsia" w:asciiTheme="minorEastAsia" w:hAnsiTheme="minorEastAsia" w:eastAsiaTheme="minorEastAsia" w:cstheme="minorEastAsia"/>
                <w:sz w:val="21"/>
                <w:szCs w:val="21"/>
              </w:rPr>
            </w:pPr>
          </w:p>
        </w:tc>
        <w:tc>
          <w:tcPr>
            <w:tcW w:w="909" w:type="dxa"/>
            <w:vAlign w:val="center"/>
          </w:tcPr>
          <w:p w14:paraId="52ABA509">
            <w:pPr>
              <w:pStyle w:val="95"/>
              <w:jc w:val="center"/>
              <w:rPr>
                <w:rFonts w:hint="eastAsia" w:asciiTheme="minorEastAsia" w:hAnsiTheme="minorEastAsia" w:eastAsiaTheme="minorEastAsia" w:cstheme="minorEastAsia"/>
                <w:sz w:val="21"/>
                <w:szCs w:val="21"/>
              </w:rPr>
            </w:pPr>
          </w:p>
        </w:tc>
        <w:tc>
          <w:tcPr>
            <w:tcW w:w="898" w:type="dxa"/>
            <w:vAlign w:val="center"/>
          </w:tcPr>
          <w:p w14:paraId="1DE72D67">
            <w:pPr>
              <w:pStyle w:val="95"/>
              <w:jc w:val="center"/>
              <w:rPr>
                <w:rFonts w:hint="eastAsia" w:asciiTheme="minorEastAsia" w:hAnsiTheme="minorEastAsia" w:eastAsiaTheme="minorEastAsia" w:cstheme="minorEastAsia"/>
                <w:sz w:val="21"/>
                <w:szCs w:val="21"/>
              </w:rPr>
            </w:pPr>
          </w:p>
        </w:tc>
        <w:tc>
          <w:tcPr>
            <w:tcW w:w="608" w:type="dxa"/>
            <w:vAlign w:val="center"/>
          </w:tcPr>
          <w:p w14:paraId="48C587CF">
            <w:pPr>
              <w:pStyle w:val="95"/>
              <w:jc w:val="center"/>
              <w:rPr>
                <w:rFonts w:hint="eastAsia" w:asciiTheme="minorEastAsia" w:hAnsiTheme="minorEastAsia" w:eastAsiaTheme="minorEastAsia" w:cstheme="minorEastAsia"/>
                <w:sz w:val="21"/>
                <w:szCs w:val="21"/>
              </w:rPr>
            </w:pPr>
          </w:p>
        </w:tc>
      </w:tr>
      <w:tr w14:paraId="56E6488D">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2BF1A94B">
            <w:pPr>
              <w:pStyle w:val="9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412" w:type="dxa"/>
            <w:vAlign w:val="center"/>
          </w:tcPr>
          <w:p w14:paraId="70F85F4F">
            <w:pPr>
              <w:pStyle w:val="95"/>
              <w:jc w:val="center"/>
              <w:rPr>
                <w:rFonts w:hint="eastAsia" w:asciiTheme="minorEastAsia" w:hAnsiTheme="minorEastAsia" w:eastAsiaTheme="minorEastAsia" w:cstheme="minorEastAsia"/>
                <w:sz w:val="21"/>
                <w:szCs w:val="21"/>
              </w:rPr>
            </w:pPr>
          </w:p>
        </w:tc>
        <w:tc>
          <w:tcPr>
            <w:tcW w:w="996" w:type="dxa"/>
            <w:vAlign w:val="center"/>
          </w:tcPr>
          <w:p w14:paraId="036D5B54">
            <w:pPr>
              <w:pStyle w:val="95"/>
              <w:jc w:val="center"/>
              <w:rPr>
                <w:rFonts w:hint="eastAsia" w:asciiTheme="minorEastAsia" w:hAnsiTheme="minorEastAsia" w:eastAsiaTheme="minorEastAsia" w:cstheme="minorEastAsia"/>
                <w:sz w:val="21"/>
                <w:szCs w:val="21"/>
              </w:rPr>
            </w:pPr>
          </w:p>
        </w:tc>
        <w:tc>
          <w:tcPr>
            <w:tcW w:w="1082" w:type="dxa"/>
            <w:vAlign w:val="center"/>
          </w:tcPr>
          <w:p w14:paraId="15556249">
            <w:pPr>
              <w:pStyle w:val="95"/>
              <w:jc w:val="center"/>
              <w:rPr>
                <w:rFonts w:hint="eastAsia" w:asciiTheme="minorEastAsia" w:hAnsiTheme="minorEastAsia" w:eastAsiaTheme="minorEastAsia" w:cstheme="minorEastAsia"/>
                <w:sz w:val="21"/>
                <w:szCs w:val="21"/>
              </w:rPr>
            </w:pPr>
          </w:p>
        </w:tc>
        <w:tc>
          <w:tcPr>
            <w:tcW w:w="1095" w:type="dxa"/>
            <w:vAlign w:val="center"/>
          </w:tcPr>
          <w:p w14:paraId="07A849EA">
            <w:pPr>
              <w:pStyle w:val="95"/>
              <w:jc w:val="center"/>
              <w:rPr>
                <w:rFonts w:hint="eastAsia" w:asciiTheme="minorEastAsia" w:hAnsiTheme="minorEastAsia" w:eastAsiaTheme="minorEastAsia" w:cstheme="minorEastAsia"/>
                <w:sz w:val="21"/>
                <w:szCs w:val="21"/>
              </w:rPr>
            </w:pPr>
          </w:p>
        </w:tc>
        <w:tc>
          <w:tcPr>
            <w:tcW w:w="909" w:type="dxa"/>
            <w:vAlign w:val="center"/>
          </w:tcPr>
          <w:p w14:paraId="5E283CBF">
            <w:pPr>
              <w:pStyle w:val="95"/>
              <w:jc w:val="center"/>
              <w:rPr>
                <w:rFonts w:hint="eastAsia" w:asciiTheme="minorEastAsia" w:hAnsiTheme="minorEastAsia" w:eastAsiaTheme="minorEastAsia" w:cstheme="minorEastAsia"/>
                <w:sz w:val="21"/>
                <w:szCs w:val="21"/>
              </w:rPr>
            </w:pPr>
          </w:p>
        </w:tc>
        <w:tc>
          <w:tcPr>
            <w:tcW w:w="898" w:type="dxa"/>
            <w:vAlign w:val="center"/>
          </w:tcPr>
          <w:p w14:paraId="48AF41B4">
            <w:pPr>
              <w:pStyle w:val="95"/>
              <w:jc w:val="center"/>
              <w:rPr>
                <w:rFonts w:hint="eastAsia" w:asciiTheme="minorEastAsia" w:hAnsiTheme="minorEastAsia" w:eastAsiaTheme="minorEastAsia" w:cstheme="minorEastAsia"/>
                <w:sz w:val="21"/>
                <w:szCs w:val="21"/>
              </w:rPr>
            </w:pPr>
          </w:p>
        </w:tc>
        <w:tc>
          <w:tcPr>
            <w:tcW w:w="608" w:type="dxa"/>
            <w:vAlign w:val="center"/>
          </w:tcPr>
          <w:p w14:paraId="067879D3">
            <w:pPr>
              <w:pStyle w:val="95"/>
              <w:jc w:val="center"/>
              <w:rPr>
                <w:rFonts w:hint="eastAsia" w:asciiTheme="minorEastAsia" w:hAnsiTheme="minorEastAsia" w:eastAsiaTheme="minorEastAsia" w:cstheme="minorEastAsia"/>
                <w:sz w:val="21"/>
                <w:szCs w:val="21"/>
              </w:rPr>
            </w:pPr>
          </w:p>
        </w:tc>
      </w:tr>
      <w:tr w14:paraId="08AC17C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5B7A2C34">
            <w:pPr>
              <w:pStyle w:val="9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412" w:type="dxa"/>
            <w:vAlign w:val="center"/>
          </w:tcPr>
          <w:p w14:paraId="78FE9EB4">
            <w:pPr>
              <w:pStyle w:val="95"/>
              <w:jc w:val="center"/>
              <w:rPr>
                <w:rFonts w:hint="eastAsia" w:asciiTheme="minorEastAsia" w:hAnsiTheme="minorEastAsia" w:eastAsiaTheme="minorEastAsia" w:cstheme="minorEastAsia"/>
                <w:sz w:val="21"/>
                <w:szCs w:val="21"/>
              </w:rPr>
            </w:pPr>
          </w:p>
        </w:tc>
        <w:tc>
          <w:tcPr>
            <w:tcW w:w="996" w:type="dxa"/>
            <w:vAlign w:val="center"/>
          </w:tcPr>
          <w:p w14:paraId="5B1B5B19">
            <w:pPr>
              <w:pStyle w:val="95"/>
              <w:jc w:val="center"/>
              <w:rPr>
                <w:rFonts w:hint="eastAsia" w:asciiTheme="minorEastAsia" w:hAnsiTheme="minorEastAsia" w:eastAsiaTheme="minorEastAsia" w:cstheme="minorEastAsia"/>
                <w:sz w:val="21"/>
                <w:szCs w:val="21"/>
              </w:rPr>
            </w:pPr>
          </w:p>
        </w:tc>
        <w:tc>
          <w:tcPr>
            <w:tcW w:w="1082" w:type="dxa"/>
            <w:vAlign w:val="center"/>
          </w:tcPr>
          <w:p w14:paraId="4382A3BA">
            <w:pPr>
              <w:pStyle w:val="95"/>
              <w:jc w:val="center"/>
              <w:rPr>
                <w:rFonts w:hint="eastAsia" w:asciiTheme="minorEastAsia" w:hAnsiTheme="minorEastAsia" w:eastAsiaTheme="minorEastAsia" w:cstheme="minorEastAsia"/>
                <w:sz w:val="21"/>
                <w:szCs w:val="21"/>
              </w:rPr>
            </w:pPr>
          </w:p>
        </w:tc>
        <w:tc>
          <w:tcPr>
            <w:tcW w:w="1095" w:type="dxa"/>
            <w:vAlign w:val="center"/>
          </w:tcPr>
          <w:p w14:paraId="05CFE1A7">
            <w:pPr>
              <w:pStyle w:val="95"/>
              <w:jc w:val="center"/>
              <w:rPr>
                <w:rFonts w:hint="eastAsia" w:asciiTheme="minorEastAsia" w:hAnsiTheme="minorEastAsia" w:eastAsiaTheme="minorEastAsia" w:cstheme="minorEastAsia"/>
                <w:sz w:val="21"/>
                <w:szCs w:val="21"/>
              </w:rPr>
            </w:pPr>
          </w:p>
        </w:tc>
        <w:tc>
          <w:tcPr>
            <w:tcW w:w="909" w:type="dxa"/>
            <w:vAlign w:val="center"/>
          </w:tcPr>
          <w:p w14:paraId="1310774C">
            <w:pPr>
              <w:pStyle w:val="95"/>
              <w:jc w:val="center"/>
              <w:rPr>
                <w:rFonts w:hint="eastAsia" w:asciiTheme="minorEastAsia" w:hAnsiTheme="minorEastAsia" w:eastAsiaTheme="minorEastAsia" w:cstheme="minorEastAsia"/>
                <w:sz w:val="21"/>
                <w:szCs w:val="21"/>
              </w:rPr>
            </w:pPr>
          </w:p>
        </w:tc>
        <w:tc>
          <w:tcPr>
            <w:tcW w:w="898" w:type="dxa"/>
            <w:vAlign w:val="center"/>
          </w:tcPr>
          <w:p w14:paraId="79BD57DA">
            <w:pPr>
              <w:pStyle w:val="95"/>
              <w:jc w:val="center"/>
              <w:rPr>
                <w:rFonts w:hint="eastAsia" w:asciiTheme="minorEastAsia" w:hAnsiTheme="minorEastAsia" w:eastAsiaTheme="minorEastAsia" w:cstheme="minorEastAsia"/>
                <w:sz w:val="21"/>
                <w:szCs w:val="21"/>
              </w:rPr>
            </w:pPr>
          </w:p>
        </w:tc>
        <w:tc>
          <w:tcPr>
            <w:tcW w:w="608" w:type="dxa"/>
            <w:vAlign w:val="center"/>
          </w:tcPr>
          <w:p w14:paraId="6FE03DB4">
            <w:pPr>
              <w:pStyle w:val="95"/>
              <w:jc w:val="center"/>
              <w:rPr>
                <w:rFonts w:hint="eastAsia" w:asciiTheme="minorEastAsia" w:hAnsiTheme="minorEastAsia" w:eastAsiaTheme="minorEastAsia" w:cstheme="minorEastAsia"/>
                <w:sz w:val="21"/>
                <w:szCs w:val="21"/>
              </w:rPr>
            </w:pPr>
          </w:p>
        </w:tc>
      </w:tr>
      <w:tr w14:paraId="1A635CE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4D1A0597">
            <w:pPr>
              <w:pStyle w:val="95"/>
              <w:jc w:val="center"/>
              <w:rPr>
                <w:rFonts w:hint="eastAsia" w:asciiTheme="minorEastAsia" w:hAnsiTheme="minorEastAsia" w:eastAsiaTheme="minorEastAsia" w:cstheme="minorEastAsia"/>
                <w:sz w:val="21"/>
                <w:szCs w:val="21"/>
              </w:rPr>
            </w:pPr>
          </w:p>
        </w:tc>
        <w:tc>
          <w:tcPr>
            <w:tcW w:w="2412" w:type="dxa"/>
            <w:vAlign w:val="center"/>
          </w:tcPr>
          <w:p w14:paraId="7A553DD4">
            <w:pPr>
              <w:pStyle w:val="95"/>
              <w:jc w:val="center"/>
              <w:rPr>
                <w:rFonts w:hint="eastAsia" w:asciiTheme="minorEastAsia" w:hAnsiTheme="minorEastAsia" w:eastAsiaTheme="minorEastAsia" w:cstheme="minorEastAsia"/>
                <w:sz w:val="21"/>
                <w:szCs w:val="21"/>
              </w:rPr>
            </w:pPr>
          </w:p>
        </w:tc>
        <w:tc>
          <w:tcPr>
            <w:tcW w:w="996" w:type="dxa"/>
            <w:vAlign w:val="center"/>
          </w:tcPr>
          <w:p w14:paraId="3331F543">
            <w:pPr>
              <w:pStyle w:val="95"/>
              <w:jc w:val="center"/>
              <w:rPr>
                <w:rFonts w:hint="eastAsia" w:asciiTheme="minorEastAsia" w:hAnsiTheme="minorEastAsia" w:eastAsiaTheme="minorEastAsia" w:cstheme="minorEastAsia"/>
                <w:sz w:val="21"/>
                <w:szCs w:val="21"/>
              </w:rPr>
            </w:pPr>
          </w:p>
        </w:tc>
        <w:tc>
          <w:tcPr>
            <w:tcW w:w="1082" w:type="dxa"/>
            <w:vAlign w:val="center"/>
          </w:tcPr>
          <w:p w14:paraId="1E9ADFF0">
            <w:pPr>
              <w:pStyle w:val="95"/>
              <w:jc w:val="center"/>
              <w:rPr>
                <w:rFonts w:hint="eastAsia" w:asciiTheme="minorEastAsia" w:hAnsiTheme="minorEastAsia" w:eastAsiaTheme="minorEastAsia" w:cstheme="minorEastAsia"/>
                <w:sz w:val="21"/>
                <w:szCs w:val="21"/>
              </w:rPr>
            </w:pPr>
          </w:p>
        </w:tc>
        <w:tc>
          <w:tcPr>
            <w:tcW w:w="1095" w:type="dxa"/>
            <w:vAlign w:val="center"/>
          </w:tcPr>
          <w:p w14:paraId="368DB070">
            <w:pPr>
              <w:pStyle w:val="95"/>
              <w:jc w:val="center"/>
              <w:rPr>
                <w:rFonts w:hint="eastAsia" w:asciiTheme="minorEastAsia" w:hAnsiTheme="minorEastAsia" w:eastAsiaTheme="minorEastAsia" w:cstheme="minorEastAsia"/>
                <w:sz w:val="21"/>
                <w:szCs w:val="21"/>
              </w:rPr>
            </w:pPr>
          </w:p>
        </w:tc>
        <w:tc>
          <w:tcPr>
            <w:tcW w:w="909" w:type="dxa"/>
            <w:vAlign w:val="center"/>
          </w:tcPr>
          <w:p w14:paraId="74B67FA4">
            <w:pPr>
              <w:pStyle w:val="95"/>
              <w:jc w:val="center"/>
              <w:rPr>
                <w:rFonts w:hint="eastAsia" w:asciiTheme="minorEastAsia" w:hAnsiTheme="minorEastAsia" w:eastAsiaTheme="minorEastAsia" w:cstheme="minorEastAsia"/>
                <w:sz w:val="21"/>
                <w:szCs w:val="21"/>
              </w:rPr>
            </w:pPr>
          </w:p>
        </w:tc>
        <w:tc>
          <w:tcPr>
            <w:tcW w:w="898" w:type="dxa"/>
            <w:vAlign w:val="center"/>
          </w:tcPr>
          <w:p w14:paraId="184BB74F">
            <w:pPr>
              <w:pStyle w:val="95"/>
              <w:jc w:val="center"/>
              <w:rPr>
                <w:rFonts w:hint="eastAsia" w:asciiTheme="minorEastAsia" w:hAnsiTheme="minorEastAsia" w:eastAsiaTheme="minorEastAsia" w:cstheme="minorEastAsia"/>
                <w:sz w:val="21"/>
                <w:szCs w:val="21"/>
              </w:rPr>
            </w:pPr>
          </w:p>
        </w:tc>
        <w:tc>
          <w:tcPr>
            <w:tcW w:w="608" w:type="dxa"/>
            <w:vAlign w:val="center"/>
          </w:tcPr>
          <w:p w14:paraId="2BC40793">
            <w:pPr>
              <w:pStyle w:val="95"/>
              <w:jc w:val="center"/>
              <w:rPr>
                <w:rFonts w:hint="eastAsia" w:asciiTheme="minorEastAsia" w:hAnsiTheme="minorEastAsia" w:eastAsiaTheme="minorEastAsia" w:cstheme="minorEastAsia"/>
                <w:sz w:val="21"/>
                <w:szCs w:val="21"/>
              </w:rPr>
            </w:pPr>
          </w:p>
        </w:tc>
      </w:tr>
    </w:tbl>
    <w:p w14:paraId="70EF12B4">
      <w:pPr>
        <w:pStyle w:val="24"/>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注：请投标人按照合同签订时间先后顺序填写此表，并按照同一顺序附相关证明材料。</w:t>
      </w:r>
    </w:p>
    <w:p w14:paraId="1EAD83F8">
      <w:pPr>
        <w:spacing w:before="3"/>
        <w:ind w:left="360"/>
        <w:rPr>
          <w:rFonts w:hint="eastAsia" w:asciiTheme="minorEastAsia" w:hAnsiTheme="minorEastAsia" w:eastAsiaTheme="minorEastAsia" w:cstheme="minorEastAsia"/>
          <w:sz w:val="21"/>
          <w:szCs w:val="21"/>
        </w:rPr>
      </w:pPr>
    </w:p>
    <w:p w14:paraId="01AC8F40">
      <w:pPr>
        <w:ind w:firstLine="843" w:firstLineChars="30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 xml:space="preserve">投标人（签字盖章）：                </w:t>
      </w:r>
    </w:p>
    <w:p w14:paraId="540028AC">
      <w:pPr>
        <w:ind w:firstLine="7379" w:firstLineChars="2625"/>
        <w:rPr>
          <w:rFonts w:hint="eastAsia" w:asciiTheme="minorEastAsia" w:hAnsiTheme="minorEastAsia" w:eastAsiaTheme="minorEastAsia" w:cstheme="minorEastAsia"/>
          <w:b/>
          <w:bCs/>
          <w:sz w:val="28"/>
          <w:szCs w:val="32"/>
        </w:rPr>
      </w:pPr>
    </w:p>
    <w:p w14:paraId="25251E96">
      <w:pPr>
        <w:ind w:firstLine="6437" w:firstLineChars="229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年  月  日</w:t>
      </w:r>
    </w:p>
    <w:p w14:paraId="1C1331A4">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27642F8E">
      <w:pPr>
        <w:pStyle w:val="4"/>
        <w:rPr>
          <w:rFonts w:hint="eastAsia" w:asciiTheme="minorEastAsia" w:hAnsiTheme="minorEastAsia" w:eastAsiaTheme="minorEastAsia" w:cstheme="minorEastAsia"/>
        </w:rPr>
      </w:pPr>
      <w:bookmarkStart w:id="173" w:name="_Toc28402"/>
      <w:r>
        <w:rPr>
          <w:rFonts w:hint="eastAsia" w:asciiTheme="minorEastAsia" w:hAnsiTheme="minorEastAsia" w:eastAsiaTheme="minorEastAsia" w:cstheme="minorEastAsia"/>
        </w:rPr>
        <w:t>6、技术内容偏离表</w:t>
      </w:r>
      <w:bookmarkEnd w:id="173"/>
    </w:p>
    <w:tbl>
      <w:tblPr>
        <w:tblStyle w:val="42"/>
        <w:tblW w:w="8619" w:type="dxa"/>
        <w:tblInd w:w="0" w:type="dxa"/>
        <w:tblLayout w:type="fixed"/>
        <w:tblCellMar>
          <w:top w:w="0" w:type="dxa"/>
          <w:left w:w="108" w:type="dxa"/>
          <w:bottom w:w="0" w:type="dxa"/>
          <w:right w:w="108" w:type="dxa"/>
        </w:tblCellMar>
      </w:tblPr>
      <w:tblGrid>
        <w:gridCol w:w="1085"/>
        <w:gridCol w:w="1968"/>
        <w:gridCol w:w="2687"/>
        <w:gridCol w:w="2879"/>
      </w:tblGrid>
      <w:tr w14:paraId="4DDD9880">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9811F4C">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68" w:type="dxa"/>
            <w:tcBorders>
              <w:top w:val="single" w:color="auto" w:sz="6" w:space="0"/>
              <w:left w:val="single" w:color="auto" w:sz="6" w:space="0"/>
              <w:bottom w:val="single" w:color="auto" w:sz="6" w:space="0"/>
              <w:right w:val="single" w:color="auto" w:sz="6" w:space="0"/>
            </w:tcBorders>
            <w:vAlign w:val="center"/>
          </w:tcPr>
          <w:p w14:paraId="799A6FBC">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招标规格</w:t>
            </w:r>
          </w:p>
        </w:tc>
        <w:tc>
          <w:tcPr>
            <w:tcW w:w="2687" w:type="dxa"/>
            <w:tcBorders>
              <w:top w:val="single" w:color="auto" w:sz="6" w:space="0"/>
              <w:left w:val="single" w:color="auto" w:sz="6" w:space="0"/>
              <w:bottom w:val="single" w:color="auto" w:sz="6" w:space="0"/>
              <w:right w:val="single" w:color="auto" w:sz="6" w:space="0"/>
            </w:tcBorders>
            <w:vAlign w:val="center"/>
          </w:tcPr>
          <w:p w14:paraId="34BD8A4A">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投标规格</w:t>
            </w:r>
          </w:p>
        </w:tc>
        <w:tc>
          <w:tcPr>
            <w:tcW w:w="2879" w:type="dxa"/>
            <w:tcBorders>
              <w:top w:val="single" w:color="auto" w:sz="6" w:space="0"/>
              <w:left w:val="single" w:color="auto" w:sz="4" w:space="0"/>
              <w:bottom w:val="single" w:color="auto" w:sz="6" w:space="0"/>
              <w:right w:val="single" w:color="auto" w:sz="6" w:space="0"/>
            </w:tcBorders>
            <w:vAlign w:val="center"/>
          </w:tcPr>
          <w:p w14:paraId="666F109F">
            <w:pPr>
              <w:pStyle w:val="95"/>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响应/偏离</w:t>
            </w:r>
          </w:p>
        </w:tc>
      </w:tr>
      <w:tr w14:paraId="1BBA27FD">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9304030">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5B1B5B89">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43937867">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0B7ED4E6">
            <w:pPr>
              <w:jc w:val="center"/>
              <w:rPr>
                <w:rFonts w:hint="eastAsia" w:asciiTheme="minorEastAsia" w:hAnsiTheme="minorEastAsia" w:eastAsiaTheme="minorEastAsia" w:cstheme="minorEastAsia"/>
                <w:szCs w:val="24"/>
              </w:rPr>
            </w:pPr>
          </w:p>
        </w:tc>
      </w:tr>
      <w:tr w14:paraId="2D26CE35">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F9CE3BC">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50D9806F">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4320F3B2">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231D78B">
            <w:pPr>
              <w:jc w:val="center"/>
              <w:rPr>
                <w:rFonts w:hint="eastAsia" w:asciiTheme="minorEastAsia" w:hAnsiTheme="minorEastAsia" w:eastAsiaTheme="minorEastAsia" w:cstheme="minorEastAsia"/>
                <w:szCs w:val="24"/>
              </w:rPr>
            </w:pPr>
          </w:p>
        </w:tc>
      </w:tr>
      <w:tr w14:paraId="368A7E8B">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4C19182">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50F8024A">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557CB775">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2C96F6E5">
            <w:pPr>
              <w:jc w:val="center"/>
              <w:rPr>
                <w:rFonts w:hint="eastAsia" w:asciiTheme="minorEastAsia" w:hAnsiTheme="minorEastAsia" w:eastAsiaTheme="minorEastAsia" w:cstheme="minorEastAsia"/>
                <w:szCs w:val="24"/>
              </w:rPr>
            </w:pPr>
          </w:p>
        </w:tc>
      </w:tr>
      <w:tr w14:paraId="1A088467">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7A255BAE">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063B2377">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25CC4C72">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299D7E71">
            <w:pPr>
              <w:jc w:val="center"/>
              <w:rPr>
                <w:rFonts w:hint="eastAsia" w:asciiTheme="minorEastAsia" w:hAnsiTheme="minorEastAsia" w:eastAsiaTheme="minorEastAsia" w:cstheme="minorEastAsia"/>
                <w:szCs w:val="24"/>
              </w:rPr>
            </w:pPr>
          </w:p>
        </w:tc>
      </w:tr>
      <w:tr w14:paraId="2B43172F">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53CC249B">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59A52932">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302A49AB">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158EB2D">
            <w:pPr>
              <w:jc w:val="center"/>
              <w:rPr>
                <w:rFonts w:hint="eastAsia" w:asciiTheme="minorEastAsia" w:hAnsiTheme="minorEastAsia" w:eastAsiaTheme="minorEastAsia" w:cstheme="minorEastAsia"/>
                <w:szCs w:val="24"/>
              </w:rPr>
            </w:pPr>
          </w:p>
        </w:tc>
      </w:tr>
      <w:tr w14:paraId="0D13A5A5">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7DD26E3">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0A29B0E1">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7C73561E">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FBBA772">
            <w:pPr>
              <w:jc w:val="center"/>
              <w:rPr>
                <w:rFonts w:hint="eastAsia" w:asciiTheme="minorEastAsia" w:hAnsiTheme="minorEastAsia" w:eastAsiaTheme="minorEastAsia" w:cstheme="minorEastAsia"/>
                <w:szCs w:val="24"/>
              </w:rPr>
            </w:pPr>
          </w:p>
        </w:tc>
      </w:tr>
      <w:tr w14:paraId="3A501054">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5C66DB4">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686B6629">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7B3B0F94">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23D1950E">
            <w:pPr>
              <w:jc w:val="center"/>
              <w:rPr>
                <w:rFonts w:hint="eastAsia" w:asciiTheme="minorEastAsia" w:hAnsiTheme="minorEastAsia" w:eastAsiaTheme="minorEastAsia" w:cstheme="minorEastAsia"/>
                <w:szCs w:val="24"/>
              </w:rPr>
            </w:pPr>
          </w:p>
        </w:tc>
      </w:tr>
      <w:tr w14:paraId="4D09E7FB">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2C8F42FB">
            <w:pPr>
              <w:jc w:val="center"/>
              <w:rPr>
                <w:rFonts w:hint="eastAsia" w:asciiTheme="minorEastAsia" w:hAnsiTheme="minorEastAsia" w:eastAsiaTheme="minorEastAsia" w:cstheme="minorEastAsia"/>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0F095035">
            <w:pPr>
              <w:jc w:val="center"/>
              <w:rPr>
                <w:rFonts w:hint="eastAsia" w:asciiTheme="minorEastAsia" w:hAnsiTheme="minorEastAsia" w:eastAsiaTheme="minorEastAsia" w:cstheme="minorEastAsia"/>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7356BD7E">
            <w:pPr>
              <w:jc w:val="center"/>
              <w:rPr>
                <w:rFonts w:hint="eastAsia" w:asciiTheme="minorEastAsia" w:hAnsiTheme="minorEastAsia" w:eastAsiaTheme="minorEastAsia" w:cstheme="minorEastAsia"/>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1B08C79">
            <w:pPr>
              <w:jc w:val="center"/>
              <w:rPr>
                <w:rFonts w:hint="eastAsia" w:asciiTheme="minorEastAsia" w:hAnsiTheme="minorEastAsia" w:eastAsiaTheme="minorEastAsia" w:cstheme="minorEastAsia"/>
                <w:szCs w:val="24"/>
              </w:rPr>
            </w:pPr>
          </w:p>
        </w:tc>
      </w:tr>
    </w:tbl>
    <w:p w14:paraId="101562DA">
      <w:pPr>
        <w:pStyle w:val="24"/>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此偏离表按招标文件第五章内容逐条填写。</w:t>
      </w:r>
    </w:p>
    <w:p w14:paraId="1F7DF06E">
      <w:pPr>
        <w:ind w:firstLine="843" w:firstLineChars="30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 xml:space="preserve">投标人（签字盖章）：                  </w:t>
      </w:r>
    </w:p>
    <w:p w14:paraId="3D7D7E62">
      <w:pPr>
        <w:ind w:firstLine="7379" w:firstLineChars="2625"/>
        <w:rPr>
          <w:rFonts w:hint="eastAsia" w:asciiTheme="minorEastAsia" w:hAnsiTheme="minorEastAsia" w:eastAsiaTheme="minorEastAsia" w:cstheme="minorEastAsia"/>
          <w:b/>
          <w:bCs/>
          <w:sz w:val="28"/>
          <w:szCs w:val="32"/>
        </w:rPr>
      </w:pPr>
    </w:p>
    <w:p w14:paraId="126647F3">
      <w:pPr>
        <w:ind w:firstLine="6437" w:firstLineChars="2290"/>
        <w:rPr>
          <w:rFonts w:hint="eastAsia"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年  月  日</w:t>
      </w:r>
    </w:p>
    <w:p w14:paraId="78E300A7">
      <w:pPr>
        <w:ind w:firstLine="6437" w:firstLineChars="2290"/>
        <w:rPr>
          <w:rFonts w:hint="eastAsia" w:asciiTheme="minorEastAsia" w:hAnsiTheme="minorEastAsia" w:eastAsiaTheme="minorEastAsia" w:cstheme="minorEastAsia"/>
          <w:b/>
          <w:bCs/>
          <w:sz w:val="28"/>
          <w:szCs w:val="32"/>
        </w:rPr>
      </w:pPr>
    </w:p>
    <w:p w14:paraId="379CFC88">
      <w:pPr>
        <w:widowControl/>
        <w:spacing w:line="240" w:lineRule="auto"/>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C90BC9C">
      <w:pPr>
        <w:spacing w:line="500" w:lineRule="exact"/>
        <w:ind w:firstLine="1795" w:firstLineChars="596"/>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投标人认为有必要提交的其他资料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7A05FEB">
      <w:pPr>
        <w:spacing w:line="500" w:lineRule="exact"/>
        <w:rPr>
          <w:rFonts w:hint="eastAsia" w:asciiTheme="minorEastAsia" w:hAnsiTheme="minorEastAsia" w:eastAsiaTheme="minorEastAsia" w:cstheme="minorEastAsia"/>
          <w:szCs w:val="24"/>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C548855">
        <w:pPr>
          <w:pStyle w:val="26"/>
          <w:jc w:val="center"/>
        </w:pPr>
        <w:r>
          <w:fldChar w:fldCharType="begin"/>
        </w:r>
        <w:r>
          <w:instrText xml:space="preserve">PAGE   \* MERGEFORMAT</w:instrText>
        </w:r>
        <w:r>
          <w:fldChar w:fldCharType="separate"/>
        </w:r>
        <w:r>
          <w:rPr>
            <w:lang w:val="zh-CN"/>
          </w:rPr>
          <w:t>3</w:t>
        </w:r>
        <w:r>
          <w:fldChar w:fldCharType="end"/>
        </w:r>
      </w:p>
    </w:sdtContent>
  </w:sdt>
  <w:p w14:paraId="61FF0DA0">
    <w:pPr>
      <w:pStyle w:val="26"/>
      <w:tabs>
        <w:tab w:val="center" w:pos="4535"/>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B559">
    <w:pPr>
      <w:pStyle w:val="26"/>
      <w:tabs>
        <w:tab w:val="left" w:pos="7770"/>
      </w:tabs>
      <w:ind w:left="3791" w:right="360" w:hanging="3790" w:hangingChars="2106"/>
      <w:rPr>
        <w:rFonts w:eastAsia="黑体"/>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825" cy="140335"/>
              <wp:effectExtent l="0" t="0" r="0" b="0"/>
              <wp:wrapNone/>
              <wp:docPr id="2" name="文本框 7"/>
              <wp:cNvGraphicFramePr/>
              <a:graphic xmlns:a="http://schemas.openxmlformats.org/drawingml/2006/main">
                <a:graphicData uri="http://schemas.microsoft.com/office/word/2010/wordprocessingShape">
                  <wps:wsp>
                    <wps:cNvSpPr/>
                    <wps:spPr>
                      <a:xfrm>
                        <a:off x="0" y="0"/>
                        <a:ext cx="123825" cy="140335"/>
                      </a:xfrm>
                      <a:prstGeom prst="rect">
                        <a:avLst/>
                      </a:prstGeom>
                      <a:noFill/>
                      <a:ln w="9525">
                        <a:noFill/>
                      </a:ln>
                      <a:effectLst/>
                    </wps:spPr>
                    <wps:txbx>
                      <w:txbxContent>
                        <w:p w14:paraId="4280A1F4">
                          <w:pPr>
                            <w:pStyle w:val="26"/>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1.05pt;width:9.75pt;mso-position-horizontal:center;mso-position-horizontal-relative:margin;mso-wrap-style:none;z-index:251659264;mso-width-relative:page;mso-height-relative:page;" filled="f" stroked="f" coordsize="21600,21600" o:gfxdata="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VDT10QAAAAMBAAAPAAAAAAAAAAEAIAAAACIAAABk&#10;cnMvZG93bnJldi54bWxQSwECFAAUAAAACACHTuJAHMiUXNQBAACkAwAADgAAAAAAAAABACAAAAAg&#10;AQAAZHJzL2Uyb0RvYy54bWxQSwUGAAAAAAYABgBZAQAAZgUAAAAA&#10;">
              <v:fill on="f" focussize="0,0"/>
              <v:stroke on="f"/>
              <v:imagedata o:title=""/>
              <o:lock v:ext="edit" aspectratio="f"/>
              <v:textbox inset="0mm,0mm,0mm,0mm" style="mso-fit-shape-to-text:t;">
                <w:txbxContent>
                  <w:p w14:paraId="4280A1F4">
                    <w:pPr>
                      <w:pStyle w:val="26"/>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42A1E720">
      <w:pPr>
        <w:pStyle w:val="31"/>
      </w:pPr>
      <w:r>
        <w:rPr>
          <w:rStyle w:val="50"/>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B395">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562E"/>
    <w:multiLevelType w:val="multilevel"/>
    <w:tmpl w:val="A489562E"/>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2"/>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0FFFFF89"/>
    <w:multiLevelType w:val="singleLevel"/>
    <w:tmpl w:val="0FFFFF89"/>
    <w:lvl w:ilvl="0" w:tentative="0">
      <w:start w:val="1"/>
      <w:numFmt w:val="bullet"/>
      <w:pStyle w:val="71"/>
      <w:lvlText w:val=""/>
      <w:lvlJc w:val="left"/>
      <w:pPr>
        <w:tabs>
          <w:tab w:val="left" w:pos="360"/>
        </w:tabs>
        <w:ind w:left="360" w:hanging="360"/>
      </w:pPr>
      <w:rPr>
        <w:rFonts w:hint="default" w:ascii="Wingdings" w:hAnsi="Wingdings"/>
      </w:rPr>
    </w:lvl>
  </w:abstractNum>
  <w:abstractNum w:abstractNumId="2">
    <w:nsid w:val="33882284"/>
    <w:multiLevelType w:val="multilevel"/>
    <w:tmpl w:val="33882284"/>
    <w:lvl w:ilvl="0" w:tentative="0">
      <w:start w:val="6"/>
      <w:numFmt w:val="decimal"/>
      <w:pStyle w:val="80"/>
      <w:lvlText w:val="%1、"/>
      <w:lvlJc w:val="left"/>
      <w:pPr>
        <w:tabs>
          <w:tab w:val="left" w:pos="840"/>
        </w:tabs>
        <w:ind w:left="84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9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WM4ZTRkMzMxZWMzM2IxMDc5NzU0Njk3ODNlNzAifQ=="/>
  </w:docVars>
  <w:rsids>
    <w:rsidRoot w:val="0008257E"/>
    <w:rsid w:val="0000153C"/>
    <w:rsid w:val="0001256C"/>
    <w:rsid w:val="0001330F"/>
    <w:rsid w:val="000148A9"/>
    <w:rsid w:val="00017352"/>
    <w:rsid w:val="000205B0"/>
    <w:rsid w:val="00020732"/>
    <w:rsid w:val="00023292"/>
    <w:rsid w:val="000263A3"/>
    <w:rsid w:val="000309A8"/>
    <w:rsid w:val="00035EC0"/>
    <w:rsid w:val="00037005"/>
    <w:rsid w:val="00042253"/>
    <w:rsid w:val="00042984"/>
    <w:rsid w:val="00046BD5"/>
    <w:rsid w:val="00046C2D"/>
    <w:rsid w:val="00057167"/>
    <w:rsid w:val="000769F0"/>
    <w:rsid w:val="0007772C"/>
    <w:rsid w:val="0008257E"/>
    <w:rsid w:val="00082E11"/>
    <w:rsid w:val="00083FE8"/>
    <w:rsid w:val="000871B2"/>
    <w:rsid w:val="000902D2"/>
    <w:rsid w:val="000903A4"/>
    <w:rsid w:val="00092C61"/>
    <w:rsid w:val="00095467"/>
    <w:rsid w:val="00095A29"/>
    <w:rsid w:val="00095F81"/>
    <w:rsid w:val="00096702"/>
    <w:rsid w:val="000A0F97"/>
    <w:rsid w:val="000A253F"/>
    <w:rsid w:val="000A5AE7"/>
    <w:rsid w:val="000A6F02"/>
    <w:rsid w:val="000B466B"/>
    <w:rsid w:val="000B5608"/>
    <w:rsid w:val="000B680B"/>
    <w:rsid w:val="000B7559"/>
    <w:rsid w:val="000C3297"/>
    <w:rsid w:val="000C52C7"/>
    <w:rsid w:val="000C7793"/>
    <w:rsid w:val="000D055E"/>
    <w:rsid w:val="000D1B54"/>
    <w:rsid w:val="000D2540"/>
    <w:rsid w:val="000D52D4"/>
    <w:rsid w:val="000E3C5F"/>
    <w:rsid w:val="000E41AC"/>
    <w:rsid w:val="000E4541"/>
    <w:rsid w:val="000F4705"/>
    <w:rsid w:val="000F5502"/>
    <w:rsid w:val="000F6FF8"/>
    <w:rsid w:val="00100485"/>
    <w:rsid w:val="00102389"/>
    <w:rsid w:val="001023CE"/>
    <w:rsid w:val="00106432"/>
    <w:rsid w:val="00106F5B"/>
    <w:rsid w:val="0011032E"/>
    <w:rsid w:val="00111678"/>
    <w:rsid w:val="001206B8"/>
    <w:rsid w:val="00125CA4"/>
    <w:rsid w:val="00127F38"/>
    <w:rsid w:val="00130122"/>
    <w:rsid w:val="001370C1"/>
    <w:rsid w:val="00137907"/>
    <w:rsid w:val="00141A5C"/>
    <w:rsid w:val="00143E5F"/>
    <w:rsid w:val="001446CE"/>
    <w:rsid w:val="00144F68"/>
    <w:rsid w:val="00145E81"/>
    <w:rsid w:val="00146FEE"/>
    <w:rsid w:val="001507C7"/>
    <w:rsid w:val="0015501C"/>
    <w:rsid w:val="00155868"/>
    <w:rsid w:val="00160187"/>
    <w:rsid w:val="001613C0"/>
    <w:rsid w:val="00163E6F"/>
    <w:rsid w:val="00166CA9"/>
    <w:rsid w:val="00171DAD"/>
    <w:rsid w:val="00172DF8"/>
    <w:rsid w:val="00175B24"/>
    <w:rsid w:val="00175FFA"/>
    <w:rsid w:val="00177CC3"/>
    <w:rsid w:val="00181293"/>
    <w:rsid w:val="00185E36"/>
    <w:rsid w:val="00187A4B"/>
    <w:rsid w:val="00190BD7"/>
    <w:rsid w:val="00192A26"/>
    <w:rsid w:val="001941AB"/>
    <w:rsid w:val="00196CFD"/>
    <w:rsid w:val="001A249F"/>
    <w:rsid w:val="001A3DE0"/>
    <w:rsid w:val="001A5B01"/>
    <w:rsid w:val="001A675D"/>
    <w:rsid w:val="001A7735"/>
    <w:rsid w:val="001B0AF8"/>
    <w:rsid w:val="001B2238"/>
    <w:rsid w:val="001B70CD"/>
    <w:rsid w:val="001C0333"/>
    <w:rsid w:val="001C7192"/>
    <w:rsid w:val="001D3493"/>
    <w:rsid w:val="001D4EF9"/>
    <w:rsid w:val="001E1753"/>
    <w:rsid w:val="001E3B17"/>
    <w:rsid w:val="001F009B"/>
    <w:rsid w:val="001F0C60"/>
    <w:rsid w:val="001F363A"/>
    <w:rsid w:val="00200D2D"/>
    <w:rsid w:val="002031F5"/>
    <w:rsid w:val="00204179"/>
    <w:rsid w:val="00206709"/>
    <w:rsid w:val="00207CD8"/>
    <w:rsid w:val="00207E24"/>
    <w:rsid w:val="00210131"/>
    <w:rsid w:val="00210628"/>
    <w:rsid w:val="00211040"/>
    <w:rsid w:val="00211BAD"/>
    <w:rsid w:val="00212880"/>
    <w:rsid w:val="00213A09"/>
    <w:rsid w:val="00216150"/>
    <w:rsid w:val="00216884"/>
    <w:rsid w:val="00216917"/>
    <w:rsid w:val="0021697C"/>
    <w:rsid w:val="002244F4"/>
    <w:rsid w:val="00224B64"/>
    <w:rsid w:val="00225122"/>
    <w:rsid w:val="00225420"/>
    <w:rsid w:val="00226038"/>
    <w:rsid w:val="00227F82"/>
    <w:rsid w:val="002321D6"/>
    <w:rsid w:val="0023247D"/>
    <w:rsid w:val="00234B57"/>
    <w:rsid w:val="00237CB5"/>
    <w:rsid w:val="00242A86"/>
    <w:rsid w:val="0025182B"/>
    <w:rsid w:val="0025252D"/>
    <w:rsid w:val="002555F3"/>
    <w:rsid w:val="00256530"/>
    <w:rsid w:val="00256D9A"/>
    <w:rsid w:val="00257475"/>
    <w:rsid w:val="00262D45"/>
    <w:rsid w:val="002642FC"/>
    <w:rsid w:val="002671C5"/>
    <w:rsid w:val="00271088"/>
    <w:rsid w:val="002740BA"/>
    <w:rsid w:val="00275F29"/>
    <w:rsid w:val="00276C2B"/>
    <w:rsid w:val="00280F54"/>
    <w:rsid w:val="002815E4"/>
    <w:rsid w:val="0029019A"/>
    <w:rsid w:val="002905E3"/>
    <w:rsid w:val="00291213"/>
    <w:rsid w:val="00297838"/>
    <w:rsid w:val="002A4194"/>
    <w:rsid w:val="002B079F"/>
    <w:rsid w:val="002B086A"/>
    <w:rsid w:val="002B25BD"/>
    <w:rsid w:val="002B63BE"/>
    <w:rsid w:val="002B663A"/>
    <w:rsid w:val="002B6785"/>
    <w:rsid w:val="002D6179"/>
    <w:rsid w:val="002D72D8"/>
    <w:rsid w:val="002E0CF1"/>
    <w:rsid w:val="002E2874"/>
    <w:rsid w:val="002F265F"/>
    <w:rsid w:val="00304DFB"/>
    <w:rsid w:val="00304E89"/>
    <w:rsid w:val="003056FE"/>
    <w:rsid w:val="00310629"/>
    <w:rsid w:val="00313436"/>
    <w:rsid w:val="0031624E"/>
    <w:rsid w:val="00317B37"/>
    <w:rsid w:val="00322231"/>
    <w:rsid w:val="00335955"/>
    <w:rsid w:val="00342040"/>
    <w:rsid w:val="003423C3"/>
    <w:rsid w:val="00343788"/>
    <w:rsid w:val="00353294"/>
    <w:rsid w:val="00360EFE"/>
    <w:rsid w:val="00362DB7"/>
    <w:rsid w:val="003638E8"/>
    <w:rsid w:val="00371489"/>
    <w:rsid w:val="003721DD"/>
    <w:rsid w:val="00372542"/>
    <w:rsid w:val="00375C23"/>
    <w:rsid w:val="00376447"/>
    <w:rsid w:val="00377B85"/>
    <w:rsid w:val="003810F6"/>
    <w:rsid w:val="003822B6"/>
    <w:rsid w:val="00382A99"/>
    <w:rsid w:val="00383E6D"/>
    <w:rsid w:val="003855B2"/>
    <w:rsid w:val="00391BBE"/>
    <w:rsid w:val="0039513A"/>
    <w:rsid w:val="0039730C"/>
    <w:rsid w:val="003A0AB7"/>
    <w:rsid w:val="003A0E95"/>
    <w:rsid w:val="003A1A86"/>
    <w:rsid w:val="003A2C7B"/>
    <w:rsid w:val="003A3806"/>
    <w:rsid w:val="003A5DB5"/>
    <w:rsid w:val="003B1482"/>
    <w:rsid w:val="003B4491"/>
    <w:rsid w:val="003B6DB8"/>
    <w:rsid w:val="003C40A3"/>
    <w:rsid w:val="003C40C2"/>
    <w:rsid w:val="003C6857"/>
    <w:rsid w:val="003D1B16"/>
    <w:rsid w:val="003D3732"/>
    <w:rsid w:val="003D67C5"/>
    <w:rsid w:val="003D74C3"/>
    <w:rsid w:val="003D795C"/>
    <w:rsid w:val="003D7AED"/>
    <w:rsid w:val="003E30D0"/>
    <w:rsid w:val="003F4302"/>
    <w:rsid w:val="003F609F"/>
    <w:rsid w:val="00402F9F"/>
    <w:rsid w:val="004036E8"/>
    <w:rsid w:val="00406679"/>
    <w:rsid w:val="00407219"/>
    <w:rsid w:val="0041307D"/>
    <w:rsid w:val="00414DB2"/>
    <w:rsid w:val="0041625C"/>
    <w:rsid w:val="0042695E"/>
    <w:rsid w:val="00433313"/>
    <w:rsid w:val="00434AF4"/>
    <w:rsid w:val="00435A47"/>
    <w:rsid w:val="00444B7C"/>
    <w:rsid w:val="00444DB0"/>
    <w:rsid w:val="004472B7"/>
    <w:rsid w:val="00456EC0"/>
    <w:rsid w:val="0046509F"/>
    <w:rsid w:val="004665FB"/>
    <w:rsid w:val="00470006"/>
    <w:rsid w:val="0047064F"/>
    <w:rsid w:val="00470976"/>
    <w:rsid w:val="00471199"/>
    <w:rsid w:val="00475811"/>
    <w:rsid w:val="00481277"/>
    <w:rsid w:val="00485E48"/>
    <w:rsid w:val="004867B3"/>
    <w:rsid w:val="00493B8A"/>
    <w:rsid w:val="00494233"/>
    <w:rsid w:val="004A0087"/>
    <w:rsid w:val="004A60E2"/>
    <w:rsid w:val="004A7E99"/>
    <w:rsid w:val="004B271B"/>
    <w:rsid w:val="004B5C4A"/>
    <w:rsid w:val="004B7416"/>
    <w:rsid w:val="004C07CB"/>
    <w:rsid w:val="004C1F9E"/>
    <w:rsid w:val="004C2488"/>
    <w:rsid w:val="004C5FE6"/>
    <w:rsid w:val="004C65AA"/>
    <w:rsid w:val="004C71E2"/>
    <w:rsid w:val="004D18DE"/>
    <w:rsid w:val="004D2FB1"/>
    <w:rsid w:val="004D4DFD"/>
    <w:rsid w:val="004D5922"/>
    <w:rsid w:val="004D7BB7"/>
    <w:rsid w:val="004E079F"/>
    <w:rsid w:val="004E6FFC"/>
    <w:rsid w:val="004F2697"/>
    <w:rsid w:val="005024AC"/>
    <w:rsid w:val="00503609"/>
    <w:rsid w:val="00503F58"/>
    <w:rsid w:val="005071C2"/>
    <w:rsid w:val="005138F0"/>
    <w:rsid w:val="00515C1D"/>
    <w:rsid w:val="00517903"/>
    <w:rsid w:val="00522D1E"/>
    <w:rsid w:val="00526655"/>
    <w:rsid w:val="005266C3"/>
    <w:rsid w:val="00526757"/>
    <w:rsid w:val="00527838"/>
    <w:rsid w:val="00532570"/>
    <w:rsid w:val="005454EB"/>
    <w:rsid w:val="00545A12"/>
    <w:rsid w:val="00546BF3"/>
    <w:rsid w:val="00557C08"/>
    <w:rsid w:val="00561FDA"/>
    <w:rsid w:val="005628ED"/>
    <w:rsid w:val="005655C5"/>
    <w:rsid w:val="005716BC"/>
    <w:rsid w:val="005724CA"/>
    <w:rsid w:val="0057284E"/>
    <w:rsid w:val="0057349E"/>
    <w:rsid w:val="005736E4"/>
    <w:rsid w:val="005747F8"/>
    <w:rsid w:val="00577678"/>
    <w:rsid w:val="00584367"/>
    <w:rsid w:val="00584E1F"/>
    <w:rsid w:val="00586DAD"/>
    <w:rsid w:val="0058703E"/>
    <w:rsid w:val="00590632"/>
    <w:rsid w:val="00591492"/>
    <w:rsid w:val="00595E57"/>
    <w:rsid w:val="005A2E3E"/>
    <w:rsid w:val="005A5CD3"/>
    <w:rsid w:val="005B1634"/>
    <w:rsid w:val="005B21B9"/>
    <w:rsid w:val="005B793C"/>
    <w:rsid w:val="005C0CA3"/>
    <w:rsid w:val="005C125B"/>
    <w:rsid w:val="005C73EB"/>
    <w:rsid w:val="005D0D7E"/>
    <w:rsid w:val="005D1E4C"/>
    <w:rsid w:val="005D7ECE"/>
    <w:rsid w:val="005E1251"/>
    <w:rsid w:val="005E1381"/>
    <w:rsid w:val="005E238F"/>
    <w:rsid w:val="005E7109"/>
    <w:rsid w:val="005F0166"/>
    <w:rsid w:val="005F1178"/>
    <w:rsid w:val="005F205A"/>
    <w:rsid w:val="005F2AF6"/>
    <w:rsid w:val="005F3681"/>
    <w:rsid w:val="005F74BB"/>
    <w:rsid w:val="006037EE"/>
    <w:rsid w:val="006059F3"/>
    <w:rsid w:val="00605CD1"/>
    <w:rsid w:val="00613EED"/>
    <w:rsid w:val="006163DB"/>
    <w:rsid w:val="006206FE"/>
    <w:rsid w:val="0062247B"/>
    <w:rsid w:val="006227FC"/>
    <w:rsid w:val="00631B9C"/>
    <w:rsid w:val="006341BA"/>
    <w:rsid w:val="00640789"/>
    <w:rsid w:val="00645890"/>
    <w:rsid w:val="00650607"/>
    <w:rsid w:val="00656FBE"/>
    <w:rsid w:val="00660913"/>
    <w:rsid w:val="006611B2"/>
    <w:rsid w:val="0066795F"/>
    <w:rsid w:val="00671440"/>
    <w:rsid w:val="006750BC"/>
    <w:rsid w:val="006779D0"/>
    <w:rsid w:val="00681050"/>
    <w:rsid w:val="006815C2"/>
    <w:rsid w:val="00682DBE"/>
    <w:rsid w:val="00684131"/>
    <w:rsid w:val="00692416"/>
    <w:rsid w:val="0069357A"/>
    <w:rsid w:val="00694408"/>
    <w:rsid w:val="00694F24"/>
    <w:rsid w:val="006973A3"/>
    <w:rsid w:val="006A0BA8"/>
    <w:rsid w:val="006A7729"/>
    <w:rsid w:val="006A783B"/>
    <w:rsid w:val="006A7848"/>
    <w:rsid w:val="006B6F63"/>
    <w:rsid w:val="006B7247"/>
    <w:rsid w:val="006C1298"/>
    <w:rsid w:val="006C3ED6"/>
    <w:rsid w:val="006D1E69"/>
    <w:rsid w:val="006D61BF"/>
    <w:rsid w:val="006D7098"/>
    <w:rsid w:val="006E05E7"/>
    <w:rsid w:val="006E168C"/>
    <w:rsid w:val="006E2A0A"/>
    <w:rsid w:val="006E34F1"/>
    <w:rsid w:val="006E51D7"/>
    <w:rsid w:val="006F3BF9"/>
    <w:rsid w:val="006F55DF"/>
    <w:rsid w:val="00700C9F"/>
    <w:rsid w:val="00704062"/>
    <w:rsid w:val="0070506B"/>
    <w:rsid w:val="00711682"/>
    <w:rsid w:val="007138BF"/>
    <w:rsid w:val="00726E24"/>
    <w:rsid w:val="00727D5D"/>
    <w:rsid w:val="007334BD"/>
    <w:rsid w:val="00737DBF"/>
    <w:rsid w:val="00741046"/>
    <w:rsid w:val="007430B5"/>
    <w:rsid w:val="007439B2"/>
    <w:rsid w:val="00756F1E"/>
    <w:rsid w:val="00757413"/>
    <w:rsid w:val="007630A5"/>
    <w:rsid w:val="00767DA3"/>
    <w:rsid w:val="00773835"/>
    <w:rsid w:val="00783AAE"/>
    <w:rsid w:val="00783F14"/>
    <w:rsid w:val="00785BAA"/>
    <w:rsid w:val="00787C4A"/>
    <w:rsid w:val="00792059"/>
    <w:rsid w:val="007959D5"/>
    <w:rsid w:val="00796A56"/>
    <w:rsid w:val="007975DB"/>
    <w:rsid w:val="007A2DEB"/>
    <w:rsid w:val="007A44CD"/>
    <w:rsid w:val="007A53BC"/>
    <w:rsid w:val="007B0FAF"/>
    <w:rsid w:val="007B3BB2"/>
    <w:rsid w:val="007B5A1D"/>
    <w:rsid w:val="007C4358"/>
    <w:rsid w:val="007C660E"/>
    <w:rsid w:val="007D014D"/>
    <w:rsid w:val="007D0DE6"/>
    <w:rsid w:val="007D6902"/>
    <w:rsid w:val="007D7684"/>
    <w:rsid w:val="007D77DE"/>
    <w:rsid w:val="007E1966"/>
    <w:rsid w:val="007E453E"/>
    <w:rsid w:val="007E6595"/>
    <w:rsid w:val="007E7539"/>
    <w:rsid w:val="007E77FB"/>
    <w:rsid w:val="007F082E"/>
    <w:rsid w:val="007F31A9"/>
    <w:rsid w:val="008033CB"/>
    <w:rsid w:val="00805CA2"/>
    <w:rsid w:val="008078A8"/>
    <w:rsid w:val="008101FF"/>
    <w:rsid w:val="00813A80"/>
    <w:rsid w:val="008143A9"/>
    <w:rsid w:val="00814DDE"/>
    <w:rsid w:val="00817EF0"/>
    <w:rsid w:val="00821769"/>
    <w:rsid w:val="00824E32"/>
    <w:rsid w:val="008303BD"/>
    <w:rsid w:val="00830DF6"/>
    <w:rsid w:val="00830E3B"/>
    <w:rsid w:val="00833193"/>
    <w:rsid w:val="008333CC"/>
    <w:rsid w:val="00833E1B"/>
    <w:rsid w:val="00835083"/>
    <w:rsid w:val="00837A2B"/>
    <w:rsid w:val="0084099D"/>
    <w:rsid w:val="0084246D"/>
    <w:rsid w:val="008447E8"/>
    <w:rsid w:val="00845BB3"/>
    <w:rsid w:val="0084791C"/>
    <w:rsid w:val="008545F9"/>
    <w:rsid w:val="00854991"/>
    <w:rsid w:val="00861AA6"/>
    <w:rsid w:val="00866761"/>
    <w:rsid w:val="00867513"/>
    <w:rsid w:val="00870E50"/>
    <w:rsid w:val="00873DFE"/>
    <w:rsid w:val="008760A3"/>
    <w:rsid w:val="008819E9"/>
    <w:rsid w:val="00883B84"/>
    <w:rsid w:val="0088693C"/>
    <w:rsid w:val="00892029"/>
    <w:rsid w:val="00896925"/>
    <w:rsid w:val="00896C1D"/>
    <w:rsid w:val="00896CF9"/>
    <w:rsid w:val="008A2198"/>
    <w:rsid w:val="008A256E"/>
    <w:rsid w:val="008A58E8"/>
    <w:rsid w:val="008A7A78"/>
    <w:rsid w:val="008A7F2F"/>
    <w:rsid w:val="008B3DBA"/>
    <w:rsid w:val="008B59EF"/>
    <w:rsid w:val="008B72A4"/>
    <w:rsid w:val="008B76DB"/>
    <w:rsid w:val="008B7B2C"/>
    <w:rsid w:val="008C12B6"/>
    <w:rsid w:val="008C5A6A"/>
    <w:rsid w:val="008D145B"/>
    <w:rsid w:val="008D3466"/>
    <w:rsid w:val="008D7A3D"/>
    <w:rsid w:val="008E34C9"/>
    <w:rsid w:val="008E425F"/>
    <w:rsid w:val="008E4D46"/>
    <w:rsid w:val="008E559F"/>
    <w:rsid w:val="008F433E"/>
    <w:rsid w:val="008F443B"/>
    <w:rsid w:val="008F4FE7"/>
    <w:rsid w:val="008F56D4"/>
    <w:rsid w:val="008F65AA"/>
    <w:rsid w:val="008F7803"/>
    <w:rsid w:val="00901C19"/>
    <w:rsid w:val="0090315B"/>
    <w:rsid w:val="0090535D"/>
    <w:rsid w:val="009163E3"/>
    <w:rsid w:val="00916757"/>
    <w:rsid w:val="00916895"/>
    <w:rsid w:val="00921EAC"/>
    <w:rsid w:val="00922140"/>
    <w:rsid w:val="00922A23"/>
    <w:rsid w:val="00925259"/>
    <w:rsid w:val="00926266"/>
    <w:rsid w:val="00926DFB"/>
    <w:rsid w:val="0093276F"/>
    <w:rsid w:val="00933658"/>
    <w:rsid w:val="00934572"/>
    <w:rsid w:val="00937D76"/>
    <w:rsid w:val="0094008D"/>
    <w:rsid w:val="00942D9F"/>
    <w:rsid w:val="0094447A"/>
    <w:rsid w:val="00944F00"/>
    <w:rsid w:val="009464BB"/>
    <w:rsid w:val="00950918"/>
    <w:rsid w:val="0095287E"/>
    <w:rsid w:val="009538C8"/>
    <w:rsid w:val="00953FC2"/>
    <w:rsid w:val="009574CF"/>
    <w:rsid w:val="00957754"/>
    <w:rsid w:val="00957EEC"/>
    <w:rsid w:val="00962F13"/>
    <w:rsid w:val="00964854"/>
    <w:rsid w:val="00965CE2"/>
    <w:rsid w:val="00975080"/>
    <w:rsid w:val="00983A44"/>
    <w:rsid w:val="00984299"/>
    <w:rsid w:val="00997F1D"/>
    <w:rsid w:val="009A1266"/>
    <w:rsid w:val="009A3A99"/>
    <w:rsid w:val="009A495C"/>
    <w:rsid w:val="009A567E"/>
    <w:rsid w:val="009A68EE"/>
    <w:rsid w:val="009A730B"/>
    <w:rsid w:val="009B03DC"/>
    <w:rsid w:val="009B1277"/>
    <w:rsid w:val="009B1D70"/>
    <w:rsid w:val="009B38E4"/>
    <w:rsid w:val="009B6333"/>
    <w:rsid w:val="009B77C2"/>
    <w:rsid w:val="009B7B96"/>
    <w:rsid w:val="009B7F2E"/>
    <w:rsid w:val="009B7FF3"/>
    <w:rsid w:val="009D1F46"/>
    <w:rsid w:val="009D3BF6"/>
    <w:rsid w:val="009D5646"/>
    <w:rsid w:val="009E3183"/>
    <w:rsid w:val="009E452C"/>
    <w:rsid w:val="009E4579"/>
    <w:rsid w:val="009E5B8B"/>
    <w:rsid w:val="009E6BDD"/>
    <w:rsid w:val="009E6E5A"/>
    <w:rsid w:val="009F2519"/>
    <w:rsid w:val="009F28B9"/>
    <w:rsid w:val="00A00C7B"/>
    <w:rsid w:val="00A00EAD"/>
    <w:rsid w:val="00A1267F"/>
    <w:rsid w:val="00A1423B"/>
    <w:rsid w:val="00A1452F"/>
    <w:rsid w:val="00A17E55"/>
    <w:rsid w:val="00A20872"/>
    <w:rsid w:val="00A2134D"/>
    <w:rsid w:val="00A27223"/>
    <w:rsid w:val="00A319D1"/>
    <w:rsid w:val="00A32DF6"/>
    <w:rsid w:val="00A33655"/>
    <w:rsid w:val="00A33F16"/>
    <w:rsid w:val="00A3493A"/>
    <w:rsid w:val="00A36E3C"/>
    <w:rsid w:val="00A40EC8"/>
    <w:rsid w:val="00A41111"/>
    <w:rsid w:val="00A440C3"/>
    <w:rsid w:val="00A448AF"/>
    <w:rsid w:val="00A4681F"/>
    <w:rsid w:val="00A46E74"/>
    <w:rsid w:val="00A50913"/>
    <w:rsid w:val="00A50D8C"/>
    <w:rsid w:val="00A50E6C"/>
    <w:rsid w:val="00A510C0"/>
    <w:rsid w:val="00A52D2A"/>
    <w:rsid w:val="00A53B47"/>
    <w:rsid w:val="00A54522"/>
    <w:rsid w:val="00A54DD3"/>
    <w:rsid w:val="00A638D0"/>
    <w:rsid w:val="00A7040D"/>
    <w:rsid w:val="00A70435"/>
    <w:rsid w:val="00A71507"/>
    <w:rsid w:val="00A829D1"/>
    <w:rsid w:val="00A830E8"/>
    <w:rsid w:val="00A83464"/>
    <w:rsid w:val="00A84A7C"/>
    <w:rsid w:val="00A85A7C"/>
    <w:rsid w:val="00A8619E"/>
    <w:rsid w:val="00A86258"/>
    <w:rsid w:val="00A95601"/>
    <w:rsid w:val="00A9712C"/>
    <w:rsid w:val="00AA232B"/>
    <w:rsid w:val="00AA6A7C"/>
    <w:rsid w:val="00AB48CA"/>
    <w:rsid w:val="00AB5D6E"/>
    <w:rsid w:val="00AC0B3E"/>
    <w:rsid w:val="00AC0E6A"/>
    <w:rsid w:val="00AC206F"/>
    <w:rsid w:val="00AC2AC6"/>
    <w:rsid w:val="00AC69F0"/>
    <w:rsid w:val="00AD2A2C"/>
    <w:rsid w:val="00AD3B64"/>
    <w:rsid w:val="00AD4229"/>
    <w:rsid w:val="00AD49E3"/>
    <w:rsid w:val="00AD553C"/>
    <w:rsid w:val="00AE1AD9"/>
    <w:rsid w:val="00AE5177"/>
    <w:rsid w:val="00AE6091"/>
    <w:rsid w:val="00AF1A65"/>
    <w:rsid w:val="00AF2ADB"/>
    <w:rsid w:val="00AF2CB9"/>
    <w:rsid w:val="00AF2F73"/>
    <w:rsid w:val="00AF4BFA"/>
    <w:rsid w:val="00AF50A2"/>
    <w:rsid w:val="00AF71DB"/>
    <w:rsid w:val="00B0026B"/>
    <w:rsid w:val="00B03068"/>
    <w:rsid w:val="00B06F7A"/>
    <w:rsid w:val="00B1035D"/>
    <w:rsid w:val="00B10D86"/>
    <w:rsid w:val="00B168D4"/>
    <w:rsid w:val="00B20B53"/>
    <w:rsid w:val="00B20F99"/>
    <w:rsid w:val="00B21B40"/>
    <w:rsid w:val="00B26411"/>
    <w:rsid w:val="00B32A44"/>
    <w:rsid w:val="00B35A28"/>
    <w:rsid w:val="00B4032C"/>
    <w:rsid w:val="00B411A8"/>
    <w:rsid w:val="00B5100E"/>
    <w:rsid w:val="00B607A0"/>
    <w:rsid w:val="00B60F24"/>
    <w:rsid w:val="00B62CCB"/>
    <w:rsid w:val="00B65126"/>
    <w:rsid w:val="00B65686"/>
    <w:rsid w:val="00B65E8C"/>
    <w:rsid w:val="00B677DC"/>
    <w:rsid w:val="00B73E77"/>
    <w:rsid w:val="00B77AFE"/>
    <w:rsid w:val="00B8145A"/>
    <w:rsid w:val="00B82516"/>
    <w:rsid w:val="00B83F4E"/>
    <w:rsid w:val="00B83F5C"/>
    <w:rsid w:val="00B872ED"/>
    <w:rsid w:val="00B9170D"/>
    <w:rsid w:val="00B969CC"/>
    <w:rsid w:val="00BA0C4A"/>
    <w:rsid w:val="00BA3A30"/>
    <w:rsid w:val="00BB38CC"/>
    <w:rsid w:val="00BB51C0"/>
    <w:rsid w:val="00BC057D"/>
    <w:rsid w:val="00BC7DB7"/>
    <w:rsid w:val="00BD2DFF"/>
    <w:rsid w:val="00BD67D8"/>
    <w:rsid w:val="00BE0A29"/>
    <w:rsid w:val="00BE2993"/>
    <w:rsid w:val="00BE3B0C"/>
    <w:rsid w:val="00BE5723"/>
    <w:rsid w:val="00BE6358"/>
    <w:rsid w:val="00BE72D2"/>
    <w:rsid w:val="00BF1053"/>
    <w:rsid w:val="00C014CC"/>
    <w:rsid w:val="00C02F02"/>
    <w:rsid w:val="00C0465A"/>
    <w:rsid w:val="00C04A01"/>
    <w:rsid w:val="00C06CD4"/>
    <w:rsid w:val="00C07E7B"/>
    <w:rsid w:val="00C10BA9"/>
    <w:rsid w:val="00C148A3"/>
    <w:rsid w:val="00C164A7"/>
    <w:rsid w:val="00C16FCF"/>
    <w:rsid w:val="00C20294"/>
    <w:rsid w:val="00C212F0"/>
    <w:rsid w:val="00C23364"/>
    <w:rsid w:val="00C23382"/>
    <w:rsid w:val="00C23A81"/>
    <w:rsid w:val="00C25C02"/>
    <w:rsid w:val="00C27B46"/>
    <w:rsid w:val="00C30309"/>
    <w:rsid w:val="00C3418E"/>
    <w:rsid w:val="00C34ADF"/>
    <w:rsid w:val="00C35990"/>
    <w:rsid w:val="00C3670F"/>
    <w:rsid w:val="00C36F17"/>
    <w:rsid w:val="00C41F13"/>
    <w:rsid w:val="00C45649"/>
    <w:rsid w:val="00C51639"/>
    <w:rsid w:val="00C5221B"/>
    <w:rsid w:val="00C56093"/>
    <w:rsid w:val="00C623B5"/>
    <w:rsid w:val="00C66094"/>
    <w:rsid w:val="00C662B9"/>
    <w:rsid w:val="00C668FE"/>
    <w:rsid w:val="00C66F64"/>
    <w:rsid w:val="00C72BC6"/>
    <w:rsid w:val="00C8048A"/>
    <w:rsid w:val="00C8098F"/>
    <w:rsid w:val="00C96A18"/>
    <w:rsid w:val="00C971CC"/>
    <w:rsid w:val="00CA6CEA"/>
    <w:rsid w:val="00CC3B8F"/>
    <w:rsid w:val="00CC6E63"/>
    <w:rsid w:val="00CC7624"/>
    <w:rsid w:val="00CD0315"/>
    <w:rsid w:val="00CD096F"/>
    <w:rsid w:val="00CD51E8"/>
    <w:rsid w:val="00CE1BA2"/>
    <w:rsid w:val="00CE6F61"/>
    <w:rsid w:val="00CF0088"/>
    <w:rsid w:val="00CF3118"/>
    <w:rsid w:val="00D025E2"/>
    <w:rsid w:val="00D134B0"/>
    <w:rsid w:val="00D210D9"/>
    <w:rsid w:val="00D22232"/>
    <w:rsid w:val="00D24906"/>
    <w:rsid w:val="00D33F3E"/>
    <w:rsid w:val="00D35EC4"/>
    <w:rsid w:val="00D379B5"/>
    <w:rsid w:val="00D53DF5"/>
    <w:rsid w:val="00D53EA2"/>
    <w:rsid w:val="00D60ABE"/>
    <w:rsid w:val="00D63E45"/>
    <w:rsid w:val="00D65753"/>
    <w:rsid w:val="00D6766C"/>
    <w:rsid w:val="00D7279B"/>
    <w:rsid w:val="00D72C23"/>
    <w:rsid w:val="00D737CA"/>
    <w:rsid w:val="00D741FC"/>
    <w:rsid w:val="00D760C7"/>
    <w:rsid w:val="00D761A3"/>
    <w:rsid w:val="00D77C45"/>
    <w:rsid w:val="00D83A0C"/>
    <w:rsid w:val="00D85447"/>
    <w:rsid w:val="00D87D81"/>
    <w:rsid w:val="00D96FA2"/>
    <w:rsid w:val="00D97A7A"/>
    <w:rsid w:val="00DA2ADA"/>
    <w:rsid w:val="00DB28D5"/>
    <w:rsid w:val="00DB2D35"/>
    <w:rsid w:val="00DB4ECF"/>
    <w:rsid w:val="00DC2A2B"/>
    <w:rsid w:val="00DC4261"/>
    <w:rsid w:val="00DE127A"/>
    <w:rsid w:val="00DE13D3"/>
    <w:rsid w:val="00DE1C4E"/>
    <w:rsid w:val="00DE4541"/>
    <w:rsid w:val="00DE4C6E"/>
    <w:rsid w:val="00DF0677"/>
    <w:rsid w:val="00DF0725"/>
    <w:rsid w:val="00DF0DEF"/>
    <w:rsid w:val="00DF23F2"/>
    <w:rsid w:val="00E04A12"/>
    <w:rsid w:val="00E04DBF"/>
    <w:rsid w:val="00E13020"/>
    <w:rsid w:val="00E14C14"/>
    <w:rsid w:val="00E22BD6"/>
    <w:rsid w:val="00E2340C"/>
    <w:rsid w:val="00E26B10"/>
    <w:rsid w:val="00E27A3C"/>
    <w:rsid w:val="00E27DA4"/>
    <w:rsid w:val="00E30A41"/>
    <w:rsid w:val="00E33680"/>
    <w:rsid w:val="00E33B74"/>
    <w:rsid w:val="00E41FA7"/>
    <w:rsid w:val="00E42B3A"/>
    <w:rsid w:val="00E42CCE"/>
    <w:rsid w:val="00E43B68"/>
    <w:rsid w:val="00E441FD"/>
    <w:rsid w:val="00E60FC3"/>
    <w:rsid w:val="00E61968"/>
    <w:rsid w:val="00E62794"/>
    <w:rsid w:val="00E705C4"/>
    <w:rsid w:val="00E70901"/>
    <w:rsid w:val="00E70C5D"/>
    <w:rsid w:val="00E70DDE"/>
    <w:rsid w:val="00E72EEA"/>
    <w:rsid w:val="00E7448C"/>
    <w:rsid w:val="00E87318"/>
    <w:rsid w:val="00E9081B"/>
    <w:rsid w:val="00E93C37"/>
    <w:rsid w:val="00E961D0"/>
    <w:rsid w:val="00E9623B"/>
    <w:rsid w:val="00E96585"/>
    <w:rsid w:val="00E979D8"/>
    <w:rsid w:val="00E97DDA"/>
    <w:rsid w:val="00EA05F4"/>
    <w:rsid w:val="00EA17C9"/>
    <w:rsid w:val="00EA1BA8"/>
    <w:rsid w:val="00EA2C6A"/>
    <w:rsid w:val="00EA2E45"/>
    <w:rsid w:val="00EA54F8"/>
    <w:rsid w:val="00EA74E3"/>
    <w:rsid w:val="00EB19C2"/>
    <w:rsid w:val="00EC08F8"/>
    <w:rsid w:val="00EC09CD"/>
    <w:rsid w:val="00EC51E6"/>
    <w:rsid w:val="00ED0B6E"/>
    <w:rsid w:val="00ED10B9"/>
    <w:rsid w:val="00ED1C1C"/>
    <w:rsid w:val="00ED1DE1"/>
    <w:rsid w:val="00ED1F94"/>
    <w:rsid w:val="00ED37D0"/>
    <w:rsid w:val="00EE0B4F"/>
    <w:rsid w:val="00EE175E"/>
    <w:rsid w:val="00EE1826"/>
    <w:rsid w:val="00EE2297"/>
    <w:rsid w:val="00EE2536"/>
    <w:rsid w:val="00EE78D5"/>
    <w:rsid w:val="00EE7FF3"/>
    <w:rsid w:val="00EF320F"/>
    <w:rsid w:val="00EF3878"/>
    <w:rsid w:val="00EF5398"/>
    <w:rsid w:val="00EF5824"/>
    <w:rsid w:val="00F00A26"/>
    <w:rsid w:val="00F00EFC"/>
    <w:rsid w:val="00F021FD"/>
    <w:rsid w:val="00F10DED"/>
    <w:rsid w:val="00F13F2B"/>
    <w:rsid w:val="00F159B2"/>
    <w:rsid w:val="00F27694"/>
    <w:rsid w:val="00F27A8F"/>
    <w:rsid w:val="00F37B25"/>
    <w:rsid w:val="00F40ECD"/>
    <w:rsid w:val="00F42477"/>
    <w:rsid w:val="00F4520C"/>
    <w:rsid w:val="00F53C36"/>
    <w:rsid w:val="00F5606B"/>
    <w:rsid w:val="00F5760D"/>
    <w:rsid w:val="00F615AB"/>
    <w:rsid w:val="00F7112E"/>
    <w:rsid w:val="00F7333C"/>
    <w:rsid w:val="00F738A8"/>
    <w:rsid w:val="00F74BA3"/>
    <w:rsid w:val="00F75892"/>
    <w:rsid w:val="00F80B19"/>
    <w:rsid w:val="00F80DEC"/>
    <w:rsid w:val="00F81B31"/>
    <w:rsid w:val="00F820D2"/>
    <w:rsid w:val="00F84A76"/>
    <w:rsid w:val="00F8593B"/>
    <w:rsid w:val="00F870DF"/>
    <w:rsid w:val="00F92454"/>
    <w:rsid w:val="00F945AB"/>
    <w:rsid w:val="00F96FE6"/>
    <w:rsid w:val="00F9747A"/>
    <w:rsid w:val="00F97D7E"/>
    <w:rsid w:val="00FA0221"/>
    <w:rsid w:val="00FA11D6"/>
    <w:rsid w:val="00FA1573"/>
    <w:rsid w:val="00FA3632"/>
    <w:rsid w:val="00FA5889"/>
    <w:rsid w:val="00FA6ED2"/>
    <w:rsid w:val="00FB12AC"/>
    <w:rsid w:val="00FB5FBD"/>
    <w:rsid w:val="00FC2396"/>
    <w:rsid w:val="00FC7D7E"/>
    <w:rsid w:val="00FD1039"/>
    <w:rsid w:val="00FD2667"/>
    <w:rsid w:val="00FD3DBA"/>
    <w:rsid w:val="00FD535A"/>
    <w:rsid w:val="00FE0190"/>
    <w:rsid w:val="00FE1445"/>
    <w:rsid w:val="00FE19A6"/>
    <w:rsid w:val="00FF163F"/>
    <w:rsid w:val="00FF174B"/>
    <w:rsid w:val="00FF368D"/>
    <w:rsid w:val="00FF48FB"/>
    <w:rsid w:val="00FF50AE"/>
    <w:rsid w:val="00FF5181"/>
    <w:rsid w:val="00FF54C3"/>
    <w:rsid w:val="00FF57D9"/>
    <w:rsid w:val="016F748A"/>
    <w:rsid w:val="02486F75"/>
    <w:rsid w:val="03760094"/>
    <w:rsid w:val="04434F0E"/>
    <w:rsid w:val="050C39F4"/>
    <w:rsid w:val="0547418C"/>
    <w:rsid w:val="057F2D02"/>
    <w:rsid w:val="058B7F53"/>
    <w:rsid w:val="05A341A3"/>
    <w:rsid w:val="05DC694B"/>
    <w:rsid w:val="06520EEC"/>
    <w:rsid w:val="06A72D73"/>
    <w:rsid w:val="07423580"/>
    <w:rsid w:val="074F383B"/>
    <w:rsid w:val="07686EF2"/>
    <w:rsid w:val="07885215"/>
    <w:rsid w:val="079927C8"/>
    <w:rsid w:val="07DF59AF"/>
    <w:rsid w:val="082F462B"/>
    <w:rsid w:val="08677BFD"/>
    <w:rsid w:val="08E415CE"/>
    <w:rsid w:val="09F42E8B"/>
    <w:rsid w:val="09FD3E53"/>
    <w:rsid w:val="0A276417"/>
    <w:rsid w:val="0B163EB7"/>
    <w:rsid w:val="0B584D6E"/>
    <w:rsid w:val="0B7F3E15"/>
    <w:rsid w:val="0B93681D"/>
    <w:rsid w:val="0C8442CD"/>
    <w:rsid w:val="0CA31DFA"/>
    <w:rsid w:val="0D521421"/>
    <w:rsid w:val="0DB34959"/>
    <w:rsid w:val="0E6A77C8"/>
    <w:rsid w:val="0FA368AB"/>
    <w:rsid w:val="0FE20729"/>
    <w:rsid w:val="101F2AD6"/>
    <w:rsid w:val="108D3DD3"/>
    <w:rsid w:val="10D576D3"/>
    <w:rsid w:val="110678AA"/>
    <w:rsid w:val="11192632"/>
    <w:rsid w:val="11A71EC2"/>
    <w:rsid w:val="12080AB2"/>
    <w:rsid w:val="12197B1E"/>
    <w:rsid w:val="12402AAD"/>
    <w:rsid w:val="135271D6"/>
    <w:rsid w:val="13570711"/>
    <w:rsid w:val="13952B51"/>
    <w:rsid w:val="1410477D"/>
    <w:rsid w:val="14337CB2"/>
    <w:rsid w:val="14410E60"/>
    <w:rsid w:val="146A58C6"/>
    <w:rsid w:val="14786C60"/>
    <w:rsid w:val="147F41D6"/>
    <w:rsid w:val="14F25BB6"/>
    <w:rsid w:val="15105C53"/>
    <w:rsid w:val="1520690E"/>
    <w:rsid w:val="155869E6"/>
    <w:rsid w:val="15DE2272"/>
    <w:rsid w:val="15E5337C"/>
    <w:rsid w:val="15FC27A3"/>
    <w:rsid w:val="1629125E"/>
    <w:rsid w:val="176873EA"/>
    <w:rsid w:val="179B4A83"/>
    <w:rsid w:val="17A840A7"/>
    <w:rsid w:val="18071588"/>
    <w:rsid w:val="189943AE"/>
    <w:rsid w:val="19691A87"/>
    <w:rsid w:val="19731698"/>
    <w:rsid w:val="19A4606A"/>
    <w:rsid w:val="1A3E7B16"/>
    <w:rsid w:val="1A476C92"/>
    <w:rsid w:val="1AD23E65"/>
    <w:rsid w:val="1B2676AE"/>
    <w:rsid w:val="1B412BD0"/>
    <w:rsid w:val="1B5946A2"/>
    <w:rsid w:val="1B8A26DC"/>
    <w:rsid w:val="1C2D1FD0"/>
    <w:rsid w:val="1C5D1660"/>
    <w:rsid w:val="1C925D91"/>
    <w:rsid w:val="1CB10147"/>
    <w:rsid w:val="1CF16B36"/>
    <w:rsid w:val="1D0E3084"/>
    <w:rsid w:val="1D183FE4"/>
    <w:rsid w:val="1D394F59"/>
    <w:rsid w:val="1D9F486E"/>
    <w:rsid w:val="1DBE58AC"/>
    <w:rsid w:val="1E0048A8"/>
    <w:rsid w:val="1E08565F"/>
    <w:rsid w:val="1E3A201E"/>
    <w:rsid w:val="1E4F197F"/>
    <w:rsid w:val="1E5C54B4"/>
    <w:rsid w:val="1E737D1F"/>
    <w:rsid w:val="1F06636E"/>
    <w:rsid w:val="1F393E54"/>
    <w:rsid w:val="1F3F1B2E"/>
    <w:rsid w:val="1F6240CB"/>
    <w:rsid w:val="1F8B34B5"/>
    <w:rsid w:val="20C52E9C"/>
    <w:rsid w:val="21393086"/>
    <w:rsid w:val="21402F7D"/>
    <w:rsid w:val="21734B90"/>
    <w:rsid w:val="217A7E3C"/>
    <w:rsid w:val="21890ED3"/>
    <w:rsid w:val="21DD7AB4"/>
    <w:rsid w:val="21E22854"/>
    <w:rsid w:val="22130EEF"/>
    <w:rsid w:val="221F6D05"/>
    <w:rsid w:val="23210A87"/>
    <w:rsid w:val="23405CB5"/>
    <w:rsid w:val="24023865"/>
    <w:rsid w:val="240C39AB"/>
    <w:rsid w:val="24BF5615"/>
    <w:rsid w:val="2505775A"/>
    <w:rsid w:val="252D3498"/>
    <w:rsid w:val="25467128"/>
    <w:rsid w:val="262E24D7"/>
    <w:rsid w:val="262E360D"/>
    <w:rsid w:val="26333315"/>
    <w:rsid w:val="269453B0"/>
    <w:rsid w:val="26AE3856"/>
    <w:rsid w:val="26B90350"/>
    <w:rsid w:val="27234DA6"/>
    <w:rsid w:val="2745258C"/>
    <w:rsid w:val="28AF4DFE"/>
    <w:rsid w:val="28EF6FD7"/>
    <w:rsid w:val="2A1430A5"/>
    <w:rsid w:val="2A2218D2"/>
    <w:rsid w:val="2A8E3DAA"/>
    <w:rsid w:val="2B434338"/>
    <w:rsid w:val="2B563444"/>
    <w:rsid w:val="2BCB616C"/>
    <w:rsid w:val="2C157774"/>
    <w:rsid w:val="2C48103C"/>
    <w:rsid w:val="2C52146C"/>
    <w:rsid w:val="2C861080"/>
    <w:rsid w:val="2F051C34"/>
    <w:rsid w:val="2F3F5289"/>
    <w:rsid w:val="2F585A56"/>
    <w:rsid w:val="2F814214"/>
    <w:rsid w:val="2FC441B2"/>
    <w:rsid w:val="30102C7D"/>
    <w:rsid w:val="30510455"/>
    <w:rsid w:val="30B71989"/>
    <w:rsid w:val="311A4872"/>
    <w:rsid w:val="311B2354"/>
    <w:rsid w:val="315E2302"/>
    <w:rsid w:val="319A3573"/>
    <w:rsid w:val="31D97C26"/>
    <w:rsid w:val="32263FC6"/>
    <w:rsid w:val="32285192"/>
    <w:rsid w:val="323D11D3"/>
    <w:rsid w:val="325E6BDD"/>
    <w:rsid w:val="327959C9"/>
    <w:rsid w:val="33656A38"/>
    <w:rsid w:val="338F26F6"/>
    <w:rsid w:val="33E840D7"/>
    <w:rsid w:val="34206064"/>
    <w:rsid w:val="34450CA3"/>
    <w:rsid w:val="34AB3BD2"/>
    <w:rsid w:val="35AB311F"/>
    <w:rsid w:val="35AF1269"/>
    <w:rsid w:val="35D30EBA"/>
    <w:rsid w:val="363119BE"/>
    <w:rsid w:val="363A2044"/>
    <w:rsid w:val="367147E4"/>
    <w:rsid w:val="37431840"/>
    <w:rsid w:val="375A3D4B"/>
    <w:rsid w:val="37C82A62"/>
    <w:rsid w:val="38231B42"/>
    <w:rsid w:val="384F4FDF"/>
    <w:rsid w:val="385767FB"/>
    <w:rsid w:val="3860038E"/>
    <w:rsid w:val="387168B4"/>
    <w:rsid w:val="387D584E"/>
    <w:rsid w:val="389541B6"/>
    <w:rsid w:val="38B410F5"/>
    <w:rsid w:val="38DA15B6"/>
    <w:rsid w:val="391347E6"/>
    <w:rsid w:val="396721E0"/>
    <w:rsid w:val="3A6A6153"/>
    <w:rsid w:val="3A914982"/>
    <w:rsid w:val="3B331D92"/>
    <w:rsid w:val="3CE64B92"/>
    <w:rsid w:val="3CF775BD"/>
    <w:rsid w:val="3E300CBE"/>
    <w:rsid w:val="3E5B2E7A"/>
    <w:rsid w:val="3E6507BC"/>
    <w:rsid w:val="3E827999"/>
    <w:rsid w:val="3EC40084"/>
    <w:rsid w:val="3F102DA1"/>
    <w:rsid w:val="3FEB6DCC"/>
    <w:rsid w:val="401B23A5"/>
    <w:rsid w:val="404A00A2"/>
    <w:rsid w:val="40E6526D"/>
    <w:rsid w:val="40F8461B"/>
    <w:rsid w:val="41306BE0"/>
    <w:rsid w:val="417E3A2D"/>
    <w:rsid w:val="41D408C5"/>
    <w:rsid w:val="426F2048"/>
    <w:rsid w:val="4364317D"/>
    <w:rsid w:val="43D21F2C"/>
    <w:rsid w:val="442B2FE3"/>
    <w:rsid w:val="44357FFD"/>
    <w:rsid w:val="449B731C"/>
    <w:rsid w:val="45200C5E"/>
    <w:rsid w:val="46404426"/>
    <w:rsid w:val="46970CCA"/>
    <w:rsid w:val="46CC0C91"/>
    <w:rsid w:val="471C30AC"/>
    <w:rsid w:val="47233966"/>
    <w:rsid w:val="48342D51"/>
    <w:rsid w:val="48FD5ACD"/>
    <w:rsid w:val="492D16C2"/>
    <w:rsid w:val="4970108F"/>
    <w:rsid w:val="49FA441E"/>
    <w:rsid w:val="4ADF1D17"/>
    <w:rsid w:val="4AF1071A"/>
    <w:rsid w:val="4AF57CD3"/>
    <w:rsid w:val="4B1220AC"/>
    <w:rsid w:val="4B3C509D"/>
    <w:rsid w:val="4B7A2AE6"/>
    <w:rsid w:val="4BB24A46"/>
    <w:rsid w:val="4C2175FB"/>
    <w:rsid w:val="4C911877"/>
    <w:rsid w:val="4CBF4D3E"/>
    <w:rsid w:val="4CF11D76"/>
    <w:rsid w:val="4D5145E5"/>
    <w:rsid w:val="4D9C371B"/>
    <w:rsid w:val="4DA5251B"/>
    <w:rsid w:val="4DCF719A"/>
    <w:rsid w:val="4E5B1A37"/>
    <w:rsid w:val="4EF67413"/>
    <w:rsid w:val="4F637C62"/>
    <w:rsid w:val="4F956954"/>
    <w:rsid w:val="4F9B7E20"/>
    <w:rsid w:val="4FC62EC1"/>
    <w:rsid w:val="50375058"/>
    <w:rsid w:val="504318EC"/>
    <w:rsid w:val="50963812"/>
    <w:rsid w:val="51AB7964"/>
    <w:rsid w:val="51E754ED"/>
    <w:rsid w:val="52267D81"/>
    <w:rsid w:val="522B549D"/>
    <w:rsid w:val="524D072E"/>
    <w:rsid w:val="52EF5D7B"/>
    <w:rsid w:val="5367482B"/>
    <w:rsid w:val="53783988"/>
    <w:rsid w:val="53997F2A"/>
    <w:rsid w:val="54006467"/>
    <w:rsid w:val="544E36C5"/>
    <w:rsid w:val="54685A7E"/>
    <w:rsid w:val="54C91AF0"/>
    <w:rsid w:val="5543222D"/>
    <w:rsid w:val="55656E45"/>
    <w:rsid w:val="559B4151"/>
    <w:rsid w:val="56383CD5"/>
    <w:rsid w:val="56CC4925"/>
    <w:rsid w:val="56D47135"/>
    <w:rsid w:val="56DD4902"/>
    <w:rsid w:val="56E66524"/>
    <w:rsid w:val="570F158A"/>
    <w:rsid w:val="57C12E40"/>
    <w:rsid w:val="582D1A5F"/>
    <w:rsid w:val="58DF3EA4"/>
    <w:rsid w:val="59560E38"/>
    <w:rsid w:val="59C63A69"/>
    <w:rsid w:val="59E67ED3"/>
    <w:rsid w:val="5A9D0238"/>
    <w:rsid w:val="5B020825"/>
    <w:rsid w:val="5B277358"/>
    <w:rsid w:val="5B944F45"/>
    <w:rsid w:val="5CAF560C"/>
    <w:rsid w:val="5D357C77"/>
    <w:rsid w:val="5D3A49E9"/>
    <w:rsid w:val="5D732E3E"/>
    <w:rsid w:val="5D7966A6"/>
    <w:rsid w:val="5DCA2D6F"/>
    <w:rsid w:val="5E49002F"/>
    <w:rsid w:val="5EA21AC0"/>
    <w:rsid w:val="5F684F40"/>
    <w:rsid w:val="5F7D7AC7"/>
    <w:rsid w:val="5FB12CA3"/>
    <w:rsid w:val="5FB14BB9"/>
    <w:rsid w:val="5FD86655"/>
    <w:rsid w:val="60235966"/>
    <w:rsid w:val="604F1E20"/>
    <w:rsid w:val="60755B1B"/>
    <w:rsid w:val="611F463A"/>
    <w:rsid w:val="617B7770"/>
    <w:rsid w:val="61E74AB7"/>
    <w:rsid w:val="62282793"/>
    <w:rsid w:val="622D0FC7"/>
    <w:rsid w:val="626B3D87"/>
    <w:rsid w:val="626C7FDB"/>
    <w:rsid w:val="62C22118"/>
    <w:rsid w:val="63FB78B1"/>
    <w:rsid w:val="640F7F21"/>
    <w:rsid w:val="6465044C"/>
    <w:rsid w:val="65A80F21"/>
    <w:rsid w:val="65A879DC"/>
    <w:rsid w:val="667F5E2E"/>
    <w:rsid w:val="66A04190"/>
    <w:rsid w:val="68627B9A"/>
    <w:rsid w:val="68D318C2"/>
    <w:rsid w:val="68DA7ABE"/>
    <w:rsid w:val="68FC2888"/>
    <w:rsid w:val="694201FF"/>
    <w:rsid w:val="69EB3AA4"/>
    <w:rsid w:val="69FB2524"/>
    <w:rsid w:val="6A6C52CF"/>
    <w:rsid w:val="6A81158D"/>
    <w:rsid w:val="6B547120"/>
    <w:rsid w:val="6C475BCD"/>
    <w:rsid w:val="6CE63211"/>
    <w:rsid w:val="6CFB3661"/>
    <w:rsid w:val="6D9462C7"/>
    <w:rsid w:val="6E611F9C"/>
    <w:rsid w:val="6E785E6F"/>
    <w:rsid w:val="6E8C70A1"/>
    <w:rsid w:val="6ED92EA6"/>
    <w:rsid w:val="6F941FE9"/>
    <w:rsid w:val="6FC11413"/>
    <w:rsid w:val="6FC30E40"/>
    <w:rsid w:val="6FF13A71"/>
    <w:rsid w:val="70252839"/>
    <w:rsid w:val="70592062"/>
    <w:rsid w:val="707E0923"/>
    <w:rsid w:val="708C7D3F"/>
    <w:rsid w:val="70FC6637"/>
    <w:rsid w:val="7117168B"/>
    <w:rsid w:val="71C82B89"/>
    <w:rsid w:val="72063819"/>
    <w:rsid w:val="722926E8"/>
    <w:rsid w:val="724E5A05"/>
    <w:rsid w:val="72603900"/>
    <w:rsid w:val="72B702C9"/>
    <w:rsid w:val="72D23883"/>
    <w:rsid w:val="73404AA7"/>
    <w:rsid w:val="737E2A6C"/>
    <w:rsid w:val="73A10A25"/>
    <w:rsid w:val="73D92C13"/>
    <w:rsid w:val="74385690"/>
    <w:rsid w:val="745E6F6F"/>
    <w:rsid w:val="750868E8"/>
    <w:rsid w:val="75251D81"/>
    <w:rsid w:val="753E0FE4"/>
    <w:rsid w:val="75492609"/>
    <w:rsid w:val="75843559"/>
    <w:rsid w:val="75851E65"/>
    <w:rsid w:val="7615335B"/>
    <w:rsid w:val="77204516"/>
    <w:rsid w:val="772B58B2"/>
    <w:rsid w:val="773C1DDC"/>
    <w:rsid w:val="77496453"/>
    <w:rsid w:val="78372035"/>
    <w:rsid w:val="78495007"/>
    <w:rsid w:val="789B5EDA"/>
    <w:rsid w:val="789D3AD5"/>
    <w:rsid w:val="7AF04DBF"/>
    <w:rsid w:val="7AF342C2"/>
    <w:rsid w:val="7B0F3A69"/>
    <w:rsid w:val="7B387927"/>
    <w:rsid w:val="7B6A55BF"/>
    <w:rsid w:val="7BD55B4D"/>
    <w:rsid w:val="7C8C2F67"/>
    <w:rsid w:val="7D306C82"/>
    <w:rsid w:val="7D475E65"/>
    <w:rsid w:val="7D5E34FD"/>
    <w:rsid w:val="7E1D0279"/>
    <w:rsid w:val="7E316EB1"/>
    <w:rsid w:val="7E605C53"/>
    <w:rsid w:val="7E670296"/>
    <w:rsid w:val="7E71427F"/>
    <w:rsid w:val="7E7E48D3"/>
    <w:rsid w:val="7E875C83"/>
    <w:rsid w:val="7ECB0887"/>
    <w:rsid w:val="7ED65E3F"/>
    <w:rsid w:val="7F194892"/>
    <w:rsid w:val="7FFD1828"/>
    <w:rsid w:val="E7F59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1" w:semiHidden="0" w:name="heading 5" w:locked="1"/>
    <w:lsdException w:qFormat="1" w:uiPriority="1" w:semiHidden="0" w:name="heading 6" w:locked="1"/>
    <w:lsdException w:qFormat="1" w:uiPriority="1" w:semiHidden="0" w:name="heading 7" w:locked="1"/>
    <w:lsdException w:qFormat="1" w:uiPriority="0" w:semiHidden="0" w:name="heading 8" w:locked="1"/>
    <w:lsdException w:qFormat="1"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51"/>
    <w:qFormat/>
    <w:uiPriority w:val="1"/>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52"/>
    <w:qFormat/>
    <w:uiPriority w:val="0"/>
    <w:pPr>
      <w:keepNext/>
      <w:keepLines/>
      <w:tabs>
        <w:tab w:val="left" w:pos="1260"/>
        <w:tab w:val="left" w:pos="1380"/>
      </w:tabs>
      <w:suppressAutoHyphens/>
      <w:spacing w:before="260" w:after="260" w:line="413" w:lineRule="auto"/>
      <w:jc w:val="left"/>
      <w:textAlignment w:val="baseline"/>
      <w:outlineLvl w:val="1"/>
    </w:pPr>
    <w:rPr>
      <w:rFonts w:ascii="宋体" w:hAnsi="宋体" w:cs="Tahoma"/>
      <w:b/>
      <w:bCs/>
      <w:sz w:val="30"/>
      <w:szCs w:val="32"/>
    </w:rPr>
  </w:style>
  <w:style w:type="paragraph" w:styleId="5">
    <w:name w:val="heading 3"/>
    <w:basedOn w:val="1"/>
    <w:next w:val="6"/>
    <w:link w:val="53"/>
    <w:qFormat/>
    <w:uiPriority w:val="1"/>
    <w:pPr>
      <w:adjustRightInd w:val="0"/>
      <w:snapToGrid w:val="0"/>
      <w:spacing w:after="156" w:afterLines="50" w:line="600" w:lineRule="exact"/>
      <w:outlineLvl w:val="2"/>
    </w:pPr>
    <w:rPr>
      <w:rFonts w:ascii="宋体" w:hAnsi="宋体"/>
      <w:b/>
      <w:bCs/>
      <w:szCs w:val="22"/>
    </w:rPr>
  </w:style>
  <w:style w:type="paragraph" w:styleId="2">
    <w:name w:val="heading 4"/>
    <w:basedOn w:val="1"/>
    <w:next w:val="1"/>
    <w:link w:val="54"/>
    <w:qFormat/>
    <w:uiPriority w:val="1"/>
    <w:pPr>
      <w:keepNext/>
      <w:numPr>
        <w:ilvl w:val="3"/>
        <w:numId w:val="1"/>
      </w:numPr>
      <w:outlineLvl w:val="3"/>
    </w:pPr>
    <w:rPr>
      <w:sz w:val="28"/>
    </w:rPr>
  </w:style>
  <w:style w:type="paragraph" w:styleId="7">
    <w:name w:val="heading 5"/>
    <w:basedOn w:val="1"/>
    <w:next w:val="1"/>
    <w:unhideWhenUsed/>
    <w:qFormat/>
    <w:locked/>
    <w:uiPriority w:val="1"/>
    <w:pPr>
      <w:keepNext/>
      <w:keepLines/>
      <w:numPr>
        <w:ilvl w:val="4"/>
        <w:numId w:val="1"/>
      </w:numPr>
      <w:spacing w:line="372" w:lineRule="auto"/>
      <w:outlineLvl w:val="4"/>
    </w:pPr>
    <w:rPr>
      <w:b/>
      <w:sz w:val="28"/>
    </w:rPr>
  </w:style>
  <w:style w:type="paragraph" w:styleId="8">
    <w:name w:val="heading 6"/>
    <w:basedOn w:val="1"/>
    <w:next w:val="1"/>
    <w:unhideWhenUsed/>
    <w:qFormat/>
    <w:locked/>
    <w:uiPriority w:val="1"/>
    <w:pPr>
      <w:keepNext/>
      <w:keepLines/>
      <w:numPr>
        <w:ilvl w:val="5"/>
        <w:numId w:val="1"/>
      </w:numPr>
      <w:spacing w:line="317" w:lineRule="auto"/>
      <w:outlineLvl w:val="5"/>
    </w:pPr>
    <w:rPr>
      <w:rFonts w:ascii="Arial" w:hAnsi="Arial" w:eastAsia="黑体"/>
      <w:b/>
    </w:rPr>
  </w:style>
  <w:style w:type="paragraph" w:styleId="9">
    <w:name w:val="heading 7"/>
    <w:basedOn w:val="1"/>
    <w:next w:val="1"/>
    <w:unhideWhenUsed/>
    <w:qFormat/>
    <w:locked/>
    <w:uiPriority w:val="1"/>
    <w:pPr>
      <w:keepNext/>
      <w:keepLines/>
      <w:numPr>
        <w:ilvl w:val="6"/>
        <w:numId w:val="1"/>
      </w:numPr>
      <w:spacing w:line="317" w:lineRule="auto"/>
      <w:outlineLvl w:val="6"/>
    </w:pPr>
    <w:rPr>
      <w:b/>
    </w:rPr>
  </w:style>
  <w:style w:type="paragraph" w:styleId="10">
    <w:name w:val="heading 8"/>
    <w:basedOn w:val="1"/>
    <w:next w:val="1"/>
    <w:unhideWhenUsed/>
    <w:qFormat/>
    <w:locked/>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unhideWhenUsed/>
    <w:qFormat/>
    <w:locked/>
    <w:uiPriority w:val="0"/>
    <w:pPr>
      <w:keepNext/>
      <w:keepLines/>
      <w:numPr>
        <w:ilvl w:val="8"/>
        <w:numId w:val="1"/>
      </w:numPr>
      <w:spacing w:line="317" w:lineRule="auto"/>
      <w:outlineLvl w:val="8"/>
    </w:pPr>
    <w:rPr>
      <w:rFonts w:ascii="Arial" w:hAnsi="Arial" w:eastAsia="黑体"/>
      <w:sz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6">
    <w:name w:val="段落正文"/>
    <w:basedOn w:val="1"/>
    <w:qFormat/>
    <w:uiPriority w:val="0"/>
    <w:pPr>
      <w:ind w:firstLine="200" w:firstLineChars="200"/>
    </w:pPr>
  </w:style>
  <w:style w:type="paragraph" w:styleId="12">
    <w:name w:val="toc 7"/>
    <w:basedOn w:val="1"/>
    <w:next w:val="1"/>
    <w:qFormat/>
    <w:uiPriority w:val="99"/>
    <w:pPr>
      <w:ind w:left="1200" w:leftChars="1200"/>
    </w:pPr>
    <w:rPr>
      <w:szCs w:val="24"/>
    </w:rPr>
  </w:style>
  <w:style w:type="paragraph" w:styleId="13">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14">
    <w:name w:val="Document Map"/>
    <w:basedOn w:val="1"/>
    <w:link w:val="57"/>
    <w:qFormat/>
    <w:uiPriority w:val="99"/>
    <w:pPr>
      <w:shd w:val="clear" w:color="auto" w:fill="000080"/>
    </w:pPr>
    <w:rPr>
      <w:szCs w:val="24"/>
    </w:rPr>
  </w:style>
  <w:style w:type="paragraph" w:styleId="15">
    <w:name w:val="toa heading"/>
    <w:basedOn w:val="1"/>
    <w:next w:val="1"/>
    <w:qFormat/>
    <w:locked/>
    <w:uiPriority w:val="0"/>
    <w:pPr>
      <w:spacing w:before="120"/>
      <w:jc w:val="center"/>
    </w:pPr>
    <w:rPr>
      <w:rFonts w:ascii="Cambria" w:hAnsi="Cambria" w:eastAsia="仿宋"/>
      <w:sz w:val="28"/>
    </w:rPr>
  </w:style>
  <w:style w:type="paragraph" w:styleId="16">
    <w:name w:val="annotation text"/>
    <w:basedOn w:val="1"/>
    <w:link w:val="55"/>
    <w:qFormat/>
    <w:uiPriority w:val="0"/>
    <w:pPr>
      <w:jc w:val="left"/>
    </w:pPr>
    <w:rPr>
      <w:szCs w:val="24"/>
    </w:rPr>
  </w:style>
  <w:style w:type="paragraph" w:styleId="17">
    <w:name w:val="Body Text"/>
    <w:basedOn w:val="1"/>
    <w:link w:val="58"/>
    <w:qFormat/>
    <w:uiPriority w:val="1"/>
    <w:pPr>
      <w:spacing w:after="120"/>
    </w:pPr>
    <w:rPr>
      <w:szCs w:val="24"/>
    </w:rPr>
  </w:style>
  <w:style w:type="paragraph" w:styleId="18">
    <w:name w:val="Body Text Indent"/>
    <w:basedOn w:val="1"/>
    <w:link w:val="59"/>
    <w:qFormat/>
    <w:uiPriority w:val="0"/>
    <w:pPr>
      <w:spacing w:line="600" w:lineRule="exact"/>
      <w:ind w:firstLine="720"/>
    </w:pPr>
    <w:rPr>
      <w:rFonts w:ascii="仿宋_GB2312" w:eastAsia="仿宋_GB2312"/>
      <w:sz w:val="32"/>
    </w:rPr>
  </w:style>
  <w:style w:type="paragraph" w:styleId="19">
    <w:name w:val="toc 5"/>
    <w:basedOn w:val="1"/>
    <w:next w:val="1"/>
    <w:qFormat/>
    <w:uiPriority w:val="99"/>
    <w:pPr>
      <w:ind w:left="800" w:leftChars="800"/>
    </w:pPr>
    <w:rPr>
      <w:szCs w:val="24"/>
    </w:rPr>
  </w:style>
  <w:style w:type="paragraph" w:styleId="20">
    <w:name w:val="toc 3"/>
    <w:basedOn w:val="1"/>
    <w:next w:val="1"/>
    <w:qFormat/>
    <w:uiPriority w:val="99"/>
    <w:pPr>
      <w:ind w:left="400" w:leftChars="400"/>
    </w:pPr>
    <w:rPr>
      <w:szCs w:val="24"/>
    </w:rPr>
  </w:style>
  <w:style w:type="paragraph" w:styleId="21">
    <w:name w:val="Plain Text"/>
    <w:basedOn w:val="1"/>
    <w:link w:val="60"/>
    <w:qFormat/>
    <w:uiPriority w:val="0"/>
    <w:rPr>
      <w:rFonts w:ascii="宋体"/>
    </w:rPr>
  </w:style>
  <w:style w:type="paragraph" w:styleId="22">
    <w:name w:val="toc 8"/>
    <w:basedOn w:val="1"/>
    <w:next w:val="1"/>
    <w:qFormat/>
    <w:uiPriority w:val="99"/>
    <w:pPr>
      <w:ind w:left="1400" w:leftChars="1400"/>
    </w:pPr>
    <w:rPr>
      <w:szCs w:val="24"/>
    </w:rPr>
  </w:style>
  <w:style w:type="paragraph" w:styleId="23">
    <w:name w:val="Date"/>
    <w:basedOn w:val="1"/>
    <w:next w:val="1"/>
    <w:link w:val="61"/>
    <w:qFormat/>
    <w:uiPriority w:val="0"/>
    <w:pPr>
      <w:ind w:left="2500" w:leftChars="2500"/>
    </w:pPr>
    <w:rPr>
      <w:rFonts w:ascii="楷体_GB2312" w:hAnsi="楷体_GB2312"/>
      <w:sz w:val="36"/>
      <w:szCs w:val="24"/>
    </w:rPr>
  </w:style>
  <w:style w:type="paragraph" w:styleId="24">
    <w:name w:val="Body Text Indent 2"/>
    <w:basedOn w:val="1"/>
    <w:link w:val="62"/>
    <w:qFormat/>
    <w:uiPriority w:val="0"/>
    <w:pPr>
      <w:spacing w:line="400" w:lineRule="exact"/>
      <w:ind w:firstLine="400" w:firstLineChars="400"/>
    </w:pPr>
    <w:rPr>
      <w:rFonts w:ascii="宋体"/>
      <w:szCs w:val="24"/>
    </w:rPr>
  </w:style>
  <w:style w:type="paragraph" w:styleId="25">
    <w:name w:val="Balloon Text"/>
    <w:basedOn w:val="1"/>
    <w:link w:val="63"/>
    <w:qFormat/>
    <w:uiPriority w:val="0"/>
    <w:rPr>
      <w:sz w:val="18"/>
      <w:szCs w:val="18"/>
    </w:rPr>
  </w:style>
  <w:style w:type="paragraph" w:styleId="26">
    <w:name w:val="footer"/>
    <w:basedOn w:val="1"/>
    <w:link w:val="64"/>
    <w:qFormat/>
    <w:uiPriority w:val="99"/>
    <w:pPr>
      <w:tabs>
        <w:tab w:val="center" w:pos="4153"/>
        <w:tab w:val="right" w:pos="8306"/>
      </w:tabs>
      <w:snapToGrid w:val="0"/>
      <w:jc w:val="left"/>
    </w:pPr>
    <w:rPr>
      <w:sz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99"/>
    <w:pPr>
      <w:ind w:left="600" w:leftChars="600"/>
    </w:pPr>
    <w:rPr>
      <w:szCs w:val="24"/>
    </w:rPr>
  </w:style>
  <w:style w:type="paragraph" w:styleId="30">
    <w:name w:val="Subtitle"/>
    <w:basedOn w:val="1"/>
    <w:next w:val="1"/>
    <w:link w:val="66"/>
    <w:qFormat/>
    <w:uiPriority w:val="99"/>
    <w:pPr>
      <w:spacing w:before="240" w:after="60" w:line="312" w:lineRule="auto"/>
      <w:jc w:val="center"/>
      <w:outlineLvl w:val="1"/>
    </w:pPr>
    <w:rPr>
      <w:rFonts w:ascii="Calibri Light" w:hAnsi="Calibri Light"/>
      <w:b/>
      <w:bCs/>
      <w:kern w:val="28"/>
      <w:sz w:val="32"/>
      <w:szCs w:val="32"/>
    </w:rPr>
  </w:style>
  <w:style w:type="paragraph" w:styleId="31">
    <w:name w:val="footnote text"/>
    <w:basedOn w:val="1"/>
    <w:semiHidden/>
    <w:unhideWhenUsed/>
    <w:qFormat/>
    <w:locked/>
    <w:uiPriority w:val="99"/>
    <w:pPr>
      <w:snapToGrid w:val="0"/>
      <w:jc w:val="left"/>
    </w:pPr>
    <w:rPr>
      <w:sz w:val="18"/>
      <w:szCs w:val="18"/>
    </w:rPr>
  </w:style>
  <w:style w:type="paragraph" w:styleId="32">
    <w:name w:val="toc 6"/>
    <w:basedOn w:val="1"/>
    <w:next w:val="1"/>
    <w:qFormat/>
    <w:uiPriority w:val="99"/>
    <w:pPr>
      <w:ind w:left="1000" w:leftChars="1000"/>
    </w:pPr>
    <w:rPr>
      <w:szCs w:val="24"/>
    </w:rPr>
  </w:style>
  <w:style w:type="paragraph" w:styleId="33">
    <w:name w:val="Body Text Indent 3"/>
    <w:basedOn w:val="1"/>
    <w:link w:val="67"/>
    <w:qFormat/>
    <w:uiPriority w:val="0"/>
    <w:pPr>
      <w:spacing w:line="400" w:lineRule="exact"/>
      <w:ind w:left="1" w:leftChars="1"/>
    </w:pPr>
    <w:rPr>
      <w:rFonts w:ascii="宋体"/>
    </w:rPr>
  </w:style>
  <w:style w:type="paragraph" w:styleId="34">
    <w:name w:val="toc 2"/>
    <w:basedOn w:val="1"/>
    <w:next w:val="1"/>
    <w:qFormat/>
    <w:uiPriority w:val="39"/>
    <w:pPr>
      <w:tabs>
        <w:tab w:val="right" w:leader="dot" w:pos="9060"/>
      </w:tabs>
      <w:ind w:left="200" w:leftChars="200"/>
    </w:pPr>
    <w:rPr>
      <w:rFonts w:ascii="宋体"/>
      <w:kern w:val="32"/>
      <w:szCs w:val="24"/>
    </w:rPr>
  </w:style>
  <w:style w:type="paragraph" w:styleId="35">
    <w:name w:val="toc 9"/>
    <w:basedOn w:val="1"/>
    <w:next w:val="1"/>
    <w:qFormat/>
    <w:uiPriority w:val="99"/>
    <w:pPr>
      <w:ind w:left="1600" w:leftChars="1600"/>
    </w:pPr>
    <w:rPr>
      <w:szCs w:val="24"/>
    </w:rPr>
  </w:style>
  <w:style w:type="paragraph" w:styleId="36">
    <w:name w:val="Body Text 2"/>
    <w:basedOn w:val="1"/>
    <w:link w:val="68"/>
    <w:qFormat/>
    <w:uiPriority w:val="0"/>
    <w:rPr>
      <w:rFonts w:ascii="宋体"/>
      <w:sz w:val="30"/>
    </w:rPr>
  </w:style>
  <w:style w:type="paragraph" w:styleId="37">
    <w:name w:val="Normal (Web)"/>
    <w:basedOn w:val="1"/>
    <w:link w:val="109"/>
    <w:qFormat/>
    <w:uiPriority w:val="0"/>
    <w:pPr>
      <w:widowControl/>
      <w:jc w:val="left"/>
    </w:pPr>
    <w:rPr>
      <w:rFonts w:ascii="宋体" w:hAnsi="宋体" w:cs="宋体"/>
      <w:kern w:val="0"/>
      <w:szCs w:val="24"/>
    </w:rPr>
  </w:style>
  <w:style w:type="paragraph" w:styleId="38">
    <w:name w:val="Title"/>
    <w:basedOn w:val="1"/>
    <w:next w:val="1"/>
    <w:link w:val="69"/>
    <w:qFormat/>
    <w:uiPriority w:val="99"/>
    <w:pPr>
      <w:spacing w:before="60" w:after="60"/>
      <w:jc w:val="center"/>
      <w:outlineLvl w:val="0"/>
    </w:pPr>
    <w:rPr>
      <w:rFonts w:ascii="Cambria" w:hAnsi="Cambria"/>
      <w:b/>
      <w:bCs/>
      <w:kern w:val="0"/>
      <w:sz w:val="20"/>
      <w:szCs w:val="32"/>
    </w:rPr>
  </w:style>
  <w:style w:type="paragraph" w:styleId="39">
    <w:name w:val="annotation subject"/>
    <w:basedOn w:val="16"/>
    <w:next w:val="16"/>
    <w:link w:val="56"/>
    <w:qFormat/>
    <w:uiPriority w:val="0"/>
    <w:rPr>
      <w:b/>
      <w:bCs/>
    </w:rPr>
  </w:style>
  <w:style w:type="paragraph" w:styleId="40">
    <w:name w:val="Body Text First Indent"/>
    <w:basedOn w:val="17"/>
    <w:qFormat/>
    <w:locked/>
    <w:uiPriority w:val="0"/>
    <w:pPr>
      <w:ind w:firstLine="420"/>
    </w:pPr>
  </w:style>
  <w:style w:type="paragraph" w:styleId="41">
    <w:name w:val="Body Text First Indent 2"/>
    <w:basedOn w:val="18"/>
    <w:next w:val="17"/>
    <w:link w:val="98"/>
    <w:qFormat/>
    <w:locked/>
    <w:uiPriority w:val="0"/>
    <w:pPr>
      <w:autoSpaceDE w:val="0"/>
      <w:autoSpaceDN w:val="0"/>
      <w:spacing w:after="120" w:line="240" w:lineRule="auto"/>
      <w:ind w:left="420" w:leftChars="200" w:firstLine="420" w:firstLineChars="200"/>
      <w:jc w:val="left"/>
    </w:pPr>
    <w:rPr>
      <w:rFonts w:ascii="楷体" w:hAnsi="楷体" w:eastAsia="楷体" w:cs="楷体"/>
      <w:kern w:val="0"/>
      <w:sz w:val="20"/>
      <w:szCs w:val="24"/>
      <w:lang w:val="zh-CN" w:bidi="zh-CN"/>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locked/>
    <w:uiPriority w:val="22"/>
    <w:rPr>
      <w:b/>
      <w:bCs/>
    </w:rPr>
  </w:style>
  <w:style w:type="character" w:styleId="46">
    <w:name w:val="page number"/>
    <w:basedOn w:val="44"/>
    <w:qFormat/>
    <w:uiPriority w:val="0"/>
    <w:rPr>
      <w:rFonts w:cs="Times New Roman"/>
    </w:rPr>
  </w:style>
  <w:style w:type="character" w:styleId="47">
    <w:name w:val="FollowedHyperlink"/>
    <w:qFormat/>
    <w:uiPriority w:val="99"/>
    <w:rPr>
      <w:rFonts w:cs="Times New Roman"/>
      <w:color w:val="000000"/>
      <w:u w:val="none"/>
    </w:rPr>
  </w:style>
  <w:style w:type="character" w:styleId="48">
    <w:name w:val="Hyperlink"/>
    <w:basedOn w:val="44"/>
    <w:qFormat/>
    <w:uiPriority w:val="99"/>
    <w:rPr>
      <w:rFonts w:cs="Times New Roman"/>
      <w:color w:val="000000"/>
      <w:u w:val="none"/>
    </w:rPr>
  </w:style>
  <w:style w:type="character" w:styleId="49">
    <w:name w:val="annotation reference"/>
    <w:qFormat/>
    <w:uiPriority w:val="0"/>
    <w:rPr>
      <w:rFonts w:cs="Times New Roman"/>
      <w:sz w:val="21"/>
      <w:szCs w:val="21"/>
    </w:rPr>
  </w:style>
  <w:style w:type="character" w:styleId="50">
    <w:name w:val="footnote reference"/>
    <w:basedOn w:val="44"/>
    <w:semiHidden/>
    <w:unhideWhenUsed/>
    <w:qFormat/>
    <w:locked/>
    <w:uiPriority w:val="99"/>
    <w:rPr>
      <w:vertAlign w:val="superscript"/>
    </w:rPr>
  </w:style>
  <w:style w:type="character" w:customStyle="1" w:styleId="51">
    <w:name w:val="标题 1 字符"/>
    <w:link w:val="3"/>
    <w:qFormat/>
    <w:locked/>
    <w:uiPriority w:val="0"/>
    <w:rPr>
      <w:b/>
      <w:bCs/>
      <w:kern w:val="44"/>
      <w:sz w:val="32"/>
      <w:szCs w:val="44"/>
    </w:rPr>
  </w:style>
  <w:style w:type="character" w:customStyle="1" w:styleId="52">
    <w:name w:val="标题 2 字符"/>
    <w:link w:val="4"/>
    <w:qFormat/>
    <w:locked/>
    <w:uiPriority w:val="0"/>
    <w:rPr>
      <w:rFonts w:ascii="宋体" w:hAnsi="宋体" w:cs="Tahoma"/>
      <w:b/>
      <w:bCs/>
      <w:kern w:val="2"/>
      <w:sz w:val="30"/>
      <w:szCs w:val="32"/>
    </w:rPr>
  </w:style>
  <w:style w:type="character" w:customStyle="1" w:styleId="53">
    <w:name w:val="标题 3 字符"/>
    <w:link w:val="5"/>
    <w:qFormat/>
    <w:locked/>
    <w:uiPriority w:val="1"/>
    <w:rPr>
      <w:rFonts w:ascii="宋体" w:hAnsi="宋体"/>
      <w:b/>
      <w:bCs/>
      <w:kern w:val="2"/>
      <w:sz w:val="24"/>
      <w:szCs w:val="22"/>
    </w:rPr>
  </w:style>
  <w:style w:type="character" w:customStyle="1" w:styleId="54">
    <w:name w:val="标题 4 字符"/>
    <w:link w:val="2"/>
    <w:qFormat/>
    <w:locked/>
    <w:uiPriority w:val="1"/>
    <w:rPr>
      <w:rFonts w:ascii="Cambria" w:hAnsi="Cambria" w:eastAsia="宋体" w:cs="Times New Roman"/>
      <w:b/>
      <w:bCs/>
      <w:sz w:val="28"/>
      <w:szCs w:val="28"/>
    </w:rPr>
  </w:style>
  <w:style w:type="character" w:customStyle="1" w:styleId="55">
    <w:name w:val="批注文字 字符"/>
    <w:link w:val="16"/>
    <w:qFormat/>
    <w:locked/>
    <w:uiPriority w:val="0"/>
    <w:rPr>
      <w:rFonts w:ascii="Times New Roman" w:hAnsi="Times New Roman" w:eastAsia="宋体" w:cs="Times New Roman"/>
      <w:sz w:val="24"/>
      <w:szCs w:val="24"/>
    </w:rPr>
  </w:style>
  <w:style w:type="character" w:customStyle="1" w:styleId="56">
    <w:name w:val="批注主题 字符"/>
    <w:link w:val="39"/>
    <w:qFormat/>
    <w:locked/>
    <w:uiPriority w:val="0"/>
    <w:rPr>
      <w:rFonts w:ascii="Times New Roman" w:hAnsi="Times New Roman" w:eastAsia="宋体" w:cs="Times New Roman"/>
      <w:b/>
      <w:bCs/>
      <w:sz w:val="24"/>
      <w:szCs w:val="24"/>
    </w:rPr>
  </w:style>
  <w:style w:type="character" w:customStyle="1" w:styleId="57">
    <w:name w:val="文档结构图 字符"/>
    <w:link w:val="14"/>
    <w:qFormat/>
    <w:locked/>
    <w:uiPriority w:val="99"/>
    <w:rPr>
      <w:rFonts w:ascii="Times New Roman" w:hAnsi="Times New Roman" w:eastAsia="宋体" w:cs="Times New Roman"/>
      <w:sz w:val="24"/>
      <w:szCs w:val="24"/>
      <w:shd w:val="clear" w:color="auto" w:fill="000080"/>
    </w:rPr>
  </w:style>
  <w:style w:type="character" w:customStyle="1" w:styleId="58">
    <w:name w:val="正文文本 字符"/>
    <w:link w:val="17"/>
    <w:qFormat/>
    <w:locked/>
    <w:uiPriority w:val="99"/>
    <w:rPr>
      <w:rFonts w:ascii="Times New Roman" w:hAnsi="Times New Roman" w:eastAsia="宋体" w:cs="Times New Roman"/>
      <w:sz w:val="24"/>
      <w:szCs w:val="24"/>
    </w:rPr>
  </w:style>
  <w:style w:type="character" w:customStyle="1" w:styleId="59">
    <w:name w:val="正文文本缩进 字符"/>
    <w:link w:val="18"/>
    <w:qFormat/>
    <w:locked/>
    <w:uiPriority w:val="99"/>
    <w:rPr>
      <w:rFonts w:ascii="仿宋_GB2312" w:hAnsi="Times New Roman" w:eastAsia="仿宋_GB2312" w:cs="Times New Roman"/>
      <w:sz w:val="20"/>
      <w:szCs w:val="20"/>
    </w:rPr>
  </w:style>
  <w:style w:type="character" w:customStyle="1" w:styleId="60">
    <w:name w:val="纯文本 字符"/>
    <w:link w:val="21"/>
    <w:qFormat/>
    <w:locked/>
    <w:uiPriority w:val="0"/>
    <w:rPr>
      <w:rFonts w:ascii="宋体" w:hAnsi="Times New Roman" w:eastAsia="宋体" w:cs="Times New Roman"/>
      <w:sz w:val="20"/>
      <w:szCs w:val="20"/>
    </w:rPr>
  </w:style>
  <w:style w:type="character" w:customStyle="1" w:styleId="61">
    <w:name w:val="日期 字符"/>
    <w:link w:val="23"/>
    <w:qFormat/>
    <w:locked/>
    <w:uiPriority w:val="99"/>
    <w:rPr>
      <w:rFonts w:ascii="楷体_GB2312" w:hAnsi="楷体_GB2312" w:eastAsia="宋体" w:cs="Times New Roman"/>
      <w:sz w:val="24"/>
      <w:szCs w:val="24"/>
    </w:rPr>
  </w:style>
  <w:style w:type="character" w:customStyle="1" w:styleId="62">
    <w:name w:val="正文文本缩进 2 字符"/>
    <w:link w:val="24"/>
    <w:qFormat/>
    <w:locked/>
    <w:uiPriority w:val="99"/>
    <w:rPr>
      <w:rFonts w:ascii="宋体" w:hAnsi="Times New Roman" w:eastAsia="宋体" w:cs="Times New Roman"/>
      <w:sz w:val="24"/>
      <w:szCs w:val="24"/>
    </w:rPr>
  </w:style>
  <w:style w:type="character" w:customStyle="1" w:styleId="63">
    <w:name w:val="批注框文本 字符"/>
    <w:link w:val="25"/>
    <w:qFormat/>
    <w:locked/>
    <w:uiPriority w:val="0"/>
    <w:rPr>
      <w:rFonts w:ascii="Times New Roman" w:hAnsi="Times New Roman" w:eastAsia="宋体" w:cs="Times New Roman"/>
      <w:sz w:val="18"/>
      <w:szCs w:val="18"/>
    </w:rPr>
  </w:style>
  <w:style w:type="character" w:customStyle="1" w:styleId="64">
    <w:name w:val="页脚 字符"/>
    <w:link w:val="26"/>
    <w:qFormat/>
    <w:locked/>
    <w:uiPriority w:val="99"/>
    <w:rPr>
      <w:rFonts w:ascii="Times New Roman" w:hAnsi="Times New Roman" w:eastAsia="宋体" w:cs="Times New Roman"/>
      <w:sz w:val="20"/>
      <w:szCs w:val="20"/>
    </w:rPr>
  </w:style>
  <w:style w:type="character" w:customStyle="1" w:styleId="65">
    <w:name w:val="页眉 字符"/>
    <w:link w:val="27"/>
    <w:qFormat/>
    <w:locked/>
    <w:uiPriority w:val="99"/>
    <w:rPr>
      <w:rFonts w:ascii="Times New Roman" w:hAnsi="Times New Roman" w:eastAsia="宋体" w:cs="Times New Roman"/>
      <w:sz w:val="20"/>
      <w:szCs w:val="20"/>
    </w:rPr>
  </w:style>
  <w:style w:type="character" w:customStyle="1" w:styleId="66">
    <w:name w:val="副标题 字符"/>
    <w:link w:val="30"/>
    <w:qFormat/>
    <w:locked/>
    <w:uiPriority w:val="99"/>
    <w:rPr>
      <w:rFonts w:ascii="Calibri Light" w:hAnsi="Calibri Light" w:cs="Times New Roman"/>
      <w:b/>
      <w:kern w:val="28"/>
      <w:sz w:val="32"/>
    </w:rPr>
  </w:style>
  <w:style w:type="character" w:customStyle="1" w:styleId="67">
    <w:name w:val="正文文本缩进 3 字符"/>
    <w:link w:val="33"/>
    <w:qFormat/>
    <w:locked/>
    <w:uiPriority w:val="99"/>
    <w:rPr>
      <w:rFonts w:ascii="宋体" w:hAnsi="Times New Roman" w:eastAsia="宋体" w:cs="Times New Roman"/>
      <w:sz w:val="20"/>
      <w:szCs w:val="20"/>
    </w:rPr>
  </w:style>
  <w:style w:type="character" w:customStyle="1" w:styleId="68">
    <w:name w:val="正文文本 2 字符"/>
    <w:link w:val="36"/>
    <w:qFormat/>
    <w:locked/>
    <w:uiPriority w:val="99"/>
    <w:rPr>
      <w:rFonts w:ascii="宋体" w:hAnsi="Times New Roman" w:eastAsia="宋体" w:cs="Times New Roman"/>
      <w:sz w:val="20"/>
      <w:szCs w:val="20"/>
    </w:rPr>
  </w:style>
  <w:style w:type="character" w:customStyle="1" w:styleId="69">
    <w:name w:val="标题 字符"/>
    <w:link w:val="38"/>
    <w:qFormat/>
    <w:locked/>
    <w:uiPriority w:val="99"/>
    <w:rPr>
      <w:rFonts w:ascii="Cambria" w:hAnsi="Cambria" w:cs="Times New Roman"/>
      <w:b/>
      <w:sz w:val="32"/>
    </w:rPr>
  </w:style>
  <w:style w:type="paragraph" w:customStyle="1" w:styleId="70">
    <w:name w:val="表格标题"/>
    <w:basedOn w:val="1"/>
    <w:qFormat/>
    <w:uiPriority w:val="99"/>
    <w:pPr>
      <w:suppressLineNumbers/>
      <w:suppressAutoHyphens/>
    </w:pPr>
    <w:rPr>
      <w:szCs w:val="24"/>
    </w:rPr>
  </w:style>
  <w:style w:type="paragraph" w:customStyle="1" w:styleId="71">
    <w:name w:val="Definition Term"/>
    <w:basedOn w:val="1"/>
    <w:next w:val="1"/>
    <w:qFormat/>
    <w:uiPriority w:val="99"/>
    <w:pPr>
      <w:numPr>
        <w:ilvl w:val="0"/>
        <w:numId w:val="2"/>
      </w:numPr>
      <w:spacing w:line="288" w:lineRule="auto"/>
    </w:pPr>
  </w:style>
  <w:style w:type="paragraph" w:customStyle="1" w:styleId="72">
    <w:name w:val="WW-表格标题"/>
    <w:basedOn w:val="73"/>
    <w:qFormat/>
    <w:uiPriority w:val="99"/>
  </w:style>
  <w:style w:type="paragraph" w:customStyle="1" w:styleId="73">
    <w:name w:val="WW-表格内容"/>
    <w:basedOn w:val="1"/>
    <w:qFormat/>
    <w:uiPriority w:val="99"/>
    <w:pPr>
      <w:suppressLineNumbers/>
      <w:suppressAutoHyphens/>
    </w:pPr>
    <w:rPr>
      <w:szCs w:val="24"/>
    </w:rPr>
  </w:style>
  <w:style w:type="paragraph" w:customStyle="1" w:styleId="74">
    <w:name w:val="Char Char Char Char"/>
    <w:basedOn w:val="1"/>
    <w:qFormat/>
    <w:uiPriority w:val="99"/>
    <w:rPr>
      <w:szCs w:val="24"/>
    </w:rPr>
  </w:style>
  <w:style w:type="paragraph" w:customStyle="1" w:styleId="75">
    <w:name w:val="Char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76">
    <w:name w:val="标题2+"/>
    <w:basedOn w:val="4"/>
    <w:qFormat/>
    <w:uiPriority w:val="99"/>
    <w:pPr>
      <w:tabs>
        <w:tab w:val="left" w:pos="1080"/>
        <w:tab w:val="clear" w:pos="1260"/>
        <w:tab w:val="clear" w:pos="1380"/>
      </w:tabs>
      <w:snapToGrid w:val="0"/>
      <w:spacing w:beforeLines="50" w:afterLines="50" w:line="360" w:lineRule="auto"/>
      <w:jc w:val="both"/>
      <w:textAlignment w:val="auto"/>
    </w:pPr>
    <w:rPr>
      <w:rFonts w:cs="Arial"/>
      <w:b w:val="0"/>
      <w:bCs w:val="0"/>
      <w:sz w:val="24"/>
      <w:szCs w:val="24"/>
    </w:rPr>
  </w:style>
  <w:style w:type="paragraph" w:customStyle="1" w:styleId="77">
    <w:name w:val="列出段落1"/>
    <w:basedOn w:val="1"/>
    <w:qFormat/>
    <w:uiPriority w:val="99"/>
    <w:pPr>
      <w:ind w:firstLine="200" w:firstLineChars="200"/>
    </w:pPr>
    <w:rPr>
      <w:rFonts w:cs="Calibri"/>
      <w:szCs w:val="21"/>
    </w:rPr>
  </w:style>
  <w:style w:type="paragraph" w:customStyle="1" w:styleId="78">
    <w:name w:val="文档正文"/>
    <w:basedOn w:val="1"/>
    <w:qFormat/>
    <w:uiPriority w:val="99"/>
    <w:pPr>
      <w:suppressAutoHyphens/>
      <w:spacing w:line="312" w:lineRule="atLeast"/>
      <w:ind w:firstLine="567"/>
      <w:jc w:val="left"/>
      <w:textAlignment w:val="baseline"/>
    </w:pPr>
    <w:rPr>
      <w:rFonts w:ascii="长城仿宋" w:eastAsia="长城仿宋" w:cs="Tahoma"/>
      <w:b/>
      <w:w w:val="80"/>
      <w:sz w:val="28"/>
    </w:rPr>
  </w:style>
  <w:style w:type="paragraph" w:customStyle="1" w:styleId="79">
    <w:name w:val="Default Text"/>
    <w:link w:val="8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0">
    <w:name w:val="节"/>
    <w:basedOn w:val="4"/>
    <w:qFormat/>
    <w:uiPriority w:val="99"/>
    <w:pPr>
      <w:numPr>
        <w:ilvl w:val="0"/>
        <w:numId w:val="3"/>
      </w:numPr>
      <w:tabs>
        <w:tab w:val="left" w:pos="576"/>
        <w:tab w:val="clear" w:pos="1260"/>
        <w:tab w:val="clear" w:pos="1380"/>
      </w:tabs>
      <w:spacing w:line="240" w:lineRule="auto"/>
    </w:pPr>
    <w:rPr>
      <w:rFonts w:ascii="黑体"/>
      <w:b w:val="0"/>
      <w:sz w:val="28"/>
      <w:szCs w:val="28"/>
    </w:rPr>
  </w:style>
  <w:style w:type="paragraph" w:customStyle="1" w:styleId="81">
    <w:name w:val="zhang"/>
    <w:basedOn w:val="1"/>
    <w:qFormat/>
    <w:uiPriority w:val="99"/>
    <w:pPr>
      <w:spacing w:before="100" w:beforeAutospacing="1" w:after="100" w:afterAutospacing="1"/>
    </w:pPr>
    <w:rPr>
      <w:b/>
      <w:bCs/>
      <w:smallCaps/>
      <w:color w:val="000000"/>
      <w:sz w:val="20"/>
    </w:rPr>
  </w:style>
  <w:style w:type="paragraph" w:customStyle="1" w:styleId="82">
    <w:name w:val="_Style 4"/>
    <w:basedOn w:val="3"/>
    <w:next w:val="1"/>
    <w:qFormat/>
    <w:uiPriority w:val="99"/>
    <w:pPr>
      <w:spacing w:line="576" w:lineRule="auto"/>
      <w:outlineLvl w:val="9"/>
    </w:pPr>
    <w:rPr>
      <w:rFonts w:ascii="Calibri" w:hAnsi="Calibri"/>
    </w:rPr>
  </w:style>
  <w:style w:type="paragraph" w:customStyle="1" w:styleId="83">
    <w:name w:val="p0"/>
    <w:basedOn w:val="1"/>
    <w:qFormat/>
    <w:uiPriority w:val="99"/>
    <w:rPr>
      <w:szCs w:val="21"/>
    </w:rPr>
  </w:style>
  <w:style w:type="character" w:customStyle="1" w:styleId="84">
    <w:name w:val="15"/>
    <w:qFormat/>
    <w:uiPriority w:val="99"/>
    <w:rPr>
      <w:rFonts w:ascii="Times New Roman" w:hAnsi="Times New Roman"/>
      <w:color w:val="464445"/>
      <w:u w:val="none"/>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6">
    <w:name w:val="È±Ê¡ÎÄ±¾"/>
    <w:basedOn w:val="1"/>
    <w:qFormat/>
    <w:uiPriority w:val="0"/>
    <w:pPr>
      <w:widowControl/>
      <w:overflowPunct w:val="0"/>
      <w:autoSpaceDE w:val="0"/>
      <w:autoSpaceDN w:val="0"/>
      <w:adjustRightInd w:val="0"/>
      <w:jc w:val="left"/>
      <w:textAlignment w:val="baseline"/>
    </w:pPr>
    <w:rPr>
      <w:kern w:val="0"/>
    </w:rPr>
  </w:style>
  <w:style w:type="character" w:customStyle="1" w:styleId="87">
    <w:name w:val="Default Text Char"/>
    <w:link w:val="79"/>
    <w:qFormat/>
    <w:uiPriority w:val="0"/>
    <w:rPr>
      <w:rFonts w:ascii="Times New Roman" w:hAnsi="Times New Roman" w:eastAsia="宋体" w:cs="Times New Roman"/>
      <w:color w:val="000000"/>
      <w:sz w:val="24"/>
      <w:szCs w:val="24"/>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font41"/>
    <w:basedOn w:val="44"/>
    <w:qFormat/>
    <w:uiPriority w:val="0"/>
    <w:rPr>
      <w:rFonts w:hint="eastAsia" w:ascii="仿宋" w:hAnsi="仿宋" w:eastAsia="仿宋" w:cs="仿宋"/>
      <w:color w:val="000000"/>
      <w:sz w:val="24"/>
      <w:szCs w:val="24"/>
      <w:u w:val="none"/>
    </w:rPr>
  </w:style>
  <w:style w:type="paragraph" w:customStyle="1" w:styleId="90">
    <w:name w:val="列出段落2"/>
    <w:basedOn w:val="1"/>
    <w:unhideWhenUsed/>
    <w:qFormat/>
    <w:uiPriority w:val="34"/>
    <w:pPr>
      <w:ind w:firstLine="420" w:firstLineChars="200"/>
    </w:pPr>
  </w:style>
  <w:style w:type="paragraph" w:customStyle="1" w:styleId="91">
    <w:name w:val="_Style 18"/>
    <w:basedOn w:val="1"/>
    <w:qFormat/>
    <w:uiPriority w:val="0"/>
    <w:pPr>
      <w:spacing w:line="240" w:lineRule="auto"/>
    </w:pPr>
    <w:rPr>
      <w:sz w:val="21"/>
    </w:rPr>
  </w:style>
  <w:style w:type="paragraph" w:customStyle="1" w:styleId="92">
    <w:name w:val="WPS Plain"/>
    <w:qFormat/>
    <w:uiPriority w:val="0"/>
    <w:rPr>
      <w:rFonts w:ascii="Times New Roman" w:hAnsi="Times New Roman" w:eastAsia="宋体" w:cs="Times New Roman"/>
      <w:lang w:val="en-US" w:eastAsia="zh-CN" w:bidi="ar-SA"/>
    </w:rPr>
  </w:style>
  <w:style w:type="paragraph" w:customStyle="1" w:styleId="93">
    <w:name w:val="样式 标题 3 + (中文) 黑体 小四 非加粗 段前: 7.8 磅 段后: 0 磅 行距: 固定值 20 磅"/>
    <w:basedOn w:val="5"/>
    <w:qFormat/>
    <w:uiPriority w:val="0"/>
    <w:pPr>
      <w:spacing w:after="0" w:line="400" w:lineRule="exact"/>
    </w:pPr>
    <w:rPr>
      <w:rFonts w:eastAsia="黑体"/>
      <w:b w:val="0"/>
      <w:bCs w:val="0"/>
      <w:szCs w:val="20"/>
    </w:rPr>
  </w:style>
  <w:style w:type="paragraph" w:customStyle="1" w:styleId="94">
    <w:name w:val="样式 标题 2 + Times New Roman 四号 非加粗 段前: 5 磅 段后: 0 磅 行距: 固定值 20..."/>
    <w:basedOn w:val="4"/>
    <w:qFormat/>
    <w:uiPriority w:val="0"/>
    <w:pPr>
      <w:tabs>
        <w:tab w:val="clear" w:pos="1260"/>
        <w:tab w:val="clear" w:pos="1380"/>
      </w:tabs>
      <w:suppressAutoHyphens w:val="0"/>
      <w:spacing w:before="100" w:after="0" w:line="400" w:lineRule="exact"/>
      <w:jc w:val="both"/>
      <w:textAlignment w:val="auto"/>
    </w:pPr>
    <w:rPr>
      <w:rFonts w:ascii="Times New Roman" w:hAnsi="Times New Roman" w:cs="宋体"/>
      <w:b w:val="0"/>
      <w:bCs w:val="0"/>
      <w:sz w:val="28"/>
      <w:szCs w:val="20"/>
    </w:rPr>
  </w:style>
  <w:style w:type="paragraph" w:customStyle="1" w:styleId="95">
    <w:name w:val="Table Paragraph"/>
    <w:basedOn w:val="1"/>
    <w:qFormat/>
    <w:uiPriority w:val="1"/>
    <w:pPr>
      <w:widowControl/>
      <w:spacing w:line="240" w:lineRule="auto"/>
      <w:jc w:val="left"/>
    </w:pPr>
    <w:rPr>
      <w:rFonts w:ascii="宋体" w:hAnsi="宋体" w:cs="宋体"/>
      <w:kern w:val="0"/>
      <w:szCs w:val="24"/>
    </w:rPr>
  </w:style>
  <w:style w:type="paragraph" w:customStyle="1" w:styleId="96">
    <w:name w:val="标题 3_1_0"/>
    <w:basedOn w:val="1"/>
    <w:next w:val="1"/>
    <w:qFormat/>
    <w:uiPriority w:val="0"/>
    <w:pPr>
      <w:keepNext/>
      <w:keepLines/>
      <w:numPr>
        <w:ilvl w:val="2"/>
        <w:numId w:val="4"/>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97">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character" w:customStyle="1" w:styleId="98">
    <w:name w:val="正文文本首行缩进 2 字符"/>
    <w:basedOn w:val="59"/>
    <w:link w:val="41"/>
    <w:qFormat/>
    <w:uiPriority w:val="0"/>
    <w:rPr>
      <w:rFonts w:ascii="楷体" w:hAnsi="楷体" w:eastAsia="楷体" w:cs="楷体"/>
      <w:sz w:val="20"/>
      <w:szCs w:val="24"/>
      <w:lang w:val="zh-CN" w:bidi="zh-CN"/>
    </w:rPr>
  </w:style>
  <w:style w:type="paragraph" w:customStyle="1" w:styleId="99">
    <w:name w:val="表格文字2"/>
    <w:basedOn w:val="100"/>
    <w:qFormat/>
    <w:uiPriority w:val="99"/>
    <w:pPr>
      <w:spacing w:before="25" w:after="25"/>
      <w:jc w:val="left"/>
    </w:pPr>
    <w:rPr>
      <w:bCs/>
      <w:spacing w:val="10"/>
      <w:kern w:val="0"/>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正文_1_0_0"/>
    <w:next w:val="1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页脚_1_0"/>
    <w:basedOn w:val="101"/>
    <w:qFormat/>
    <w:uiPriority w:val="0"/>
    <w:pPr>
      <w:tabs>
        <w:tab w:val="center" w:pos="4153"/>
        <w:tab w:val="right" w:pos="8306"/>
      </w:tabs>
      <w:snapToGrid w:val="0"/>
      <w:jc w:val="left"/>
    </w:pPr>
    <w:rPr>
      <w:sz w:val="18"/>
      <w:szCs w:val="18"/>
    </w:rPr>
  </w:style>
  <w:style w:type="paragraph" w:customStyle="1" w:styleId="103">
    <w:name w:val="WPSOffice手动目录 1"/>
    <w:qFormat/>
    <w:uiPriority w:val="0"/>
    <w:rPr>
      <w:rFonts w:ascii="Times New Roman" w:hAnsi="Times New Roman" w:eastAsia="宋体" w:cs="Times New Roman"/>
      <w:lang w:val="en-US" w:eastAsia="zh-CN" w:bidi="ar-SA"/>
    </w:rPr>
  </w:style>
  <w:style w:type="paragraph" w:customStyle="1" w:styleId="104">
    <w:name w:val="列表段落1"/>
    <w:basedOn w:val="1"/>
    <w:qFormat/>
    <w:uiPriority w:val="0"/>
    <w:pPr>
      <w:spacing w:line="240" w:lineRule="auto"/>
      <w:ind w:firstLine="420" w:firstLineChars="200"/>
    </w:pPr>
    <w:rPr>
      <w:sz w:val="21"/>
    </w:rPr>
  </w:style>
  <w:style w:type="paragraph" w:customStyle="1" w:styleId="10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0"/>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Text1I2"/>
    <w:basedOn w:val="108"/>
    <w:qFormat/>
    <w:uiPriority w:val="0"/>
    <w:pPr>
      <w:spacing w:after="0"/>
      <w:ind w:left="0" w:leftChars="0" w:firstLine="200" w:firstLineChars="200"/>
    </w:pPr>
    <w:rPr>
      <w:sz w:val="28"/>
    </w:rPr>
  </w:style>
  <w:style w:type="paragraph" w:customStyle="1" w:styleId="108">
    <w:name w:val="BodyTextIndent"/>
    <w:basedOn w:val="106"/>
    <w:qFormat/>
    <w:uiPriority w:val="0"/>
    <w:pPr>
      <w:spacing w:after="120"/>
      <w:ind w:left="420" w:leftChars="200"/>
      <w:textAlignment w:val="baseline"/>
    </w:pPr>
  </w:style>
  <w:style w:type="character" w:customStyle="1" w:styleId="109">
    <w:name w:val="普通(网站) 字符1"/>
    <w:link w:val="37"/>
    <w:qFormat/>
    <w:uiPriority w:val="0"/>
    <w:rPr>
      <w:rFonts w:ascii="宋体" w:hAnsi="宋体" w:cs="宋体"/>
      <w:sz w:val="24"/>
      <w:szCs w:val="24"/>
    </w:rPr>
  </w:style>
  <w:style w:type="character" w:customStyle="1" w:styleId="110">
    <w:name w:val="普通(网站) 字符"/>
    <w:qFormat/>
    <w:locked/>
    <w:uiPriority w:val="0"/>
    <w:rPr>
      <w:rFonts w:ascii="宋体" w:hAnsi="宋体"/>
      <w:sz w:val="24"/>
    </w:rPr>
  </w:style>
  <w:style w:type="paragraph" w:customStyle="1" w:styleId="111">
    <w:name w:val="5）标书正文 首行缩进2字符"/>
    <w:basedOn w:val="1"/>
    <w:qFormat/>
    <w:uiPriority w:val="0"/>
    <w:pPr>
      <w:spacing w:line="480" w:lineRule="exact"/>
      <w:ind w:firstLine="200" w:firstLineChars="200"/>
    </w:pPr>
    <w:rPr>
      <w:rFonts w:ascii="仿宋_GB2312" w:hAnsi="Calibri" w:eastAsia="仿宋_GB2312"/>
      <w:sz w:val="28"/>
    </w:rPr>
  </w:style>
  <w:style w:type="paragraph" w:customStyle="1" w:styleId="112">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文本_0"/>
    <w:basedOn w:val="113"/>
    <w:qFormat/>
    <w:uiPriority w:val="0"/>
    <w:pPr>
      <w:spacing w:after="120"/>
    </w:pPr>
    <w:rPr>
      <w:rFonts w:ascii="Calibri" w:hAnsi="Calibri"/>
      <w:kern w:val="0"/>
      <w:sz w:val="20"/>
    </w:rPr>
  </w:style>
  <w:style w:type="paragraph" w:customStyle="1" w:styleId="115">
    <w:name w:val="标题 5（有编号）（绿盟科技）"/>
    <w:basedOn w:val="1"/>
    <w:next w:val="116"/>
    <w:qFormat/>
    <w:uiPriority w:val="0"/>
    <w:pPr>
      <w:keepNext/>
      <w:keepLines/>
      <w:numPr>
        <w:ilvl w:val="4"/>
        <w:numId w:val="5"/>
      </w:numPr>
      <w:spacing w:before="280" w:after="156" w:line="377" w:lineRule="auto"/>
      <w:outlineLvl w:val="4"/>
    </w:pPr>
    <w:rPr>
      <w:rFonts w:eastAsia="黑体"/>
      <w:b/>
      <w:szCs w:val="28"/>
    </w:rPr>
  </w:style>
  <w:style w:type="paragraph" w:customStyle="1" w:styleId="116">
    <w:name w:val="正文（绿盟科技）"/>
    <w:qFormat/>
    <w:uiPriority w:val="0"/>
    <w:pPr>
      <w:spacing w:line="300" w:lineRule="auto"/>
      <w:jc w:val="center"/>
    </w:pPr>
    <w:rPr>
      <w:rFonts w:ascii="宋体" w:hAnsi="宋体" w:eastAsia="宋体" w:cs="黑体"/>
      <w:b/>
      <w:bCs/>
      <w:sz w:val="52"/>
      <w:szCs w:val="52"/>
      <w:lang w:val="en-US" w:eastAsia="zh-CN" w:bidi="ar-SA"/>
    </w:rPr>
  </w:style>
  <w:style w:type="paragraph" w:customStyle="1" w:styleId="117">
    <w:name w:val="正文2"/>
    <w:qFormat/>
    <w:uiPriority w:val="0"/>
    <w:pPr>
      <w:widowControl w:val="0"/>
      <w:adjustRightInd w:val="0"/>
      <w:spacing w:line="312" w:lineRule="atLeast"/>
      <w:jc w:val="center"/>
      <w:textAlignment w:val="baseline"/>
    </w:pPr>
    <w:rPr>
      <w:rFonts w:ascii="宋体" w:hAnsi="Times New Roman" w:eastAsia="宋体" w:cs="Times New Roman"/>
      <w:b/>
      <w:bCs/>
      <w:sz w:val="96"/>
      <w:szCs w:val="44"/>
      <w:lang w:val="en-US" w:eastAsia="zh-CN" w:bidi="ar-SA"/>
    </w:rPr>
  </w:style>
  <w:style w:type="paragraph" w:customStyle="1" w:styleId="11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3"/>
    <w:qFormat/>
    <w:uiPriority w:val="0"/>
    <w:rPr>
      <w:rFonts w:ascii="Times New Roman" w:hAnsi="Times New Roman" w:eastAsia="Times New Roman" w:cs="Times New Roman"/>
      <w:sz w:val="24"/>
      <w:szCs w:val="24"/>
      <w:lang w:val="en-US" w:eastAsia="zh-CN" w:bidi="ar-SA"/>
    </w:rPr>
  </w:style>
  <w:style w:type="paragraph" w:customStyle="1" w:styleId="120">
    <w:name w:val="居中正文"/>
    <w:basedOn w:val="1"/>
    <w:qFormat/>
    <w:uiPriority w:val="0"/>
    <w:pPr>
      <w:jc w:val="center"/>
    </w:pPr>
    <w:rPr>
      <w:szCs w:val="24"/>
    </w:rPr>
  </w:style>
  <w:style w:type="table" w:customStyle="1" w:styleId="1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2">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44782-D992-4CD1-B797-A023A31E06F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53</Pages>
  <Words>17787</Words>
  <Characters>19063</Characters>
  <Lines>2771</Lines>
  <Paragraphs>2172</Paragraphs>
  <TotalTime>0</TotalTime>
  <ScaleCrop>false</ScaleCrop>
  <LinksUpToDate>false</LinksUpToDate>
  <CharactersWithSpaces>20667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2021-09-17T11:25:00Z</dcterms:created>
  <dc:creator>Administrator</dc:creator>
  <cp:lastModifiedBy>阿凯</cp:lastModifiedBy>
  <cp:lastPrinted>2023-04-14T11:37:00Z</cp:lastPrinted>
  <dcterms:modified xsi:type="dcterms:W3CDTF">2025-06-20T07:43:24Z</dcterms:modified>
  <dc:title>招标文件</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61DD1E9CC114420EABF45A62C2AACBF6_13</vt:lpwstr>
  </property>
  <property fmtid="{D5CDD505-2E9C-101B-9397-08002B2CF9AE}" pid="4" name="KSOTemplateDocerSaveRecord">
    <vt:lpwstr>eyJoZGlkIjoiYzk2NjRhMDFkMzQzZjM5ZWIxYzQ1YzRiYTNlZjM3NjMiLCJ1c2VySWQiOiI5ODQyMDU0NzYifQ==</vt:lpwstr>
  </property>
</Properties>
</file>