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6AF89">
      <w:pPr>
        <w:topLinePunct/>
        <w:adjustRightInd w:val="0"/>
        <w:snapToGrid w:val="0"/>
        <w:ind w:firstLine="0" w:firstLineChars="0"/>
        <w:jc w:val="center"/>
        <w:rPr>
          <w:rFonts w:hint="eastAsia" w:ascii="仿宋" w:hAnsi="仿宋" w:eastAsia="仿宋" w:cs="仿宋"/>
          <w:b/>
          <w:bCs/>
          <w:color w:val="auto"/>
          <w:sz w:val="44"/>
          <w:szCs w:val="44"/>
          <w:highlight w:val="none"/>
          <w:lang w:val="en-US" w:eastAsia="zh-CN" w:bidi="ar"/>
        </w:rPr>
      </w:pPr>
    </w:p>
    <w:p w14:paraId="7051A074">
      <w:pPr>
        <w:topLinePunct/>
        <w:adjustRightInd w:val="0"/>
        <w:snapToGrid w:val="0"/>
        <w:ind w:firstLine="0" w:firstLineChars="0"/>
        <w:jc w:val="center"/>
        <w:rPr>
          <w:rFonts w:hint="default" w:ascii="仿宋" w:hAnsi="仿宋" w:eastAsia="仿宋" w:cs="仿宋"/>
          <w:b/>
          <w:bCs/>
          <w:color w:val="auto"/>
          <w:sz w:val="40"/>
          <w:szCs w:val="40"/>
          <w:highlight w:val="none"/>
          <w:lang w:val="en-US" w:eastAsia="zh-CN" w:bidi="ar"/>
        </w:rPr>
      </w:pPr>
      <w:r>
        <w:rPr>
          <w:rFonts w:hint="eastAsia" w:ascii="仿宋" w:hAnsi="仿宋" w:eastAsia="仿宋" w:cs="仿宋"/>
          <w:b/>
          <w:bCs/>
          <w:color w:val="auto"/>
          <w:sz w:val="40"/>
          <w:szCs w:val="40"/>
          <w:highlight w:val="none"/>
          <w:lang w:val="en-US" w:eastAsia="zh-CN" w:bidi="ar"/>
        </w:rPr>
        <w:t>昌吉市自然资源局购买服务项目第二标段-昌吉市国有农用地（耕地、园地）规范管理专项工作技术服务项目</w:t>
      </w:r>
    </w:p>
    <w:p w14:paraId="4E76C821">
      <w:pPr>
        <w:topLinePunct/>
        <w:adjustRightInd w:val="0"/>
        <w:snapToGrid w:val="0"/>
        <w:ind w:firstLine="0" w:firstLineChars="0"/>
        <w:jc w:val="center"/>
        <w:rPr>
          <w:rFonts w:hint="default" w:ascii="仿宋" w:hAnsi="仿宋" w:eastAsia="仿宋" w:cs="仿宋"/>
          <w:b/>
          <w:bCs/>
          <w:color w:val="auto"/>
          <w:sz w:val="40"/>
          <w:szCs w:val="40"/>
          <w:highlight w:val="none"/>
          <w:lang w:val="en-US" w:eastAsia="zh-CN" w:bidi="ar"/>
        </w:rPr>
      </w:pPr>
      <w:r>
        <w:rPr>
          <w:rFonts w:hint="eastAsia" w:ascii="仿宋" w:hAnsi="仿宋" w:eastAsia="仿宋" w:cs="仿宋"/>
          <w:b/>
          <w:bCs/>
          <w:color w:val="auto"/>
          <w:sz w:val="40"/>
          <w:szCs w:val="40"/>
          <w:highlight w:val="none"/>
          <w:lang w:val="en-US" w:eastAsia="zh-CN" w:bidi="ar"/>
        </w:rPr>
        <w:t>项目编号：W-XJXSZB2025-15-FW</w:t>
      </w:r>
    </w:p>
    <w:p w14:paraId="379A2446">
      <w:pPr>
        <w:pStyle w:val="36"/>
        <w:ind w:left="0" w:leftChars="0" w:firstLine="0" w:firstLineChars="0"/>
        <w:rPr>
          <w:rFonts w:hint="eastAsia" w:ascii="仿宋" w:hAnsi="仿宋" w:eastAsia="仿宋" w:cs="仿宋"/>
          <w:color w:val="auto"/>
        </w:rPr>
      </w:pPr>
    </w:p>
    <w:p w14:paraId="6AC45929">
      <w:pPr>
        <w:pStyle w:val="36"/>
        <w:ind w:left="0" w:leftChars="0" w:firstLine="0" w:firstLineChars="0"/>
        <w:rPr>
          <w:rFonts w:hint="eastAsia" w:ascii="仿宋" w:hAnsi="仿宋" w:eastAsia="仿宋" w:cs="仿宋"/>
          <w:color w:val="auto"/>
        </w:rPr>
      </w:pPr>
    </w:p>
    <w:p w14:paraId="5B6432CA">
      <w:pPr>
        <w:ind w:firstLine="0" w:firstLineChars="0"/>
        <w:jc w:val="center"/>
        <w:rPr>
          <w:rFonts w:hint="default" w:ascii="仿宋" w:hAnsi="仿宋" w:eastAsia="仿宋" w:cs="仿宋"/>
          <w:b/>
          <w:color w:val="auto"/>
          <w:kern w:val="2"/>
          <w:sz w:val="52"/>
          <w:szCs w:val="52"/>
          <w:lang w:val="en-US" w:eastAsia="zh-CN"/>
        </w:rPr>
      </w:pPr>
      <w:r>
        <w:rPr>
          <w:rFonts w:hint="eastAsia" w:ascii="仿宋" w:hAnsi="仿宋" w:eastAsia="仿宋" w:cs="仿宋"/>
          <w:b/>
          <w:color w:val="auto"/>
          <w:kern w:val="2"/>
          <w:sz w:val="52"/>
          <w:szCs w:val="52"/>
          <w:lang w:val="en-US" w:eastAsia="zh-CN"/>
        </w:rPr>
        <w:t>竞争性磋商文件</w:t>
      </w:r>
    </w:p>
    <w:p w14:paraId="49E263F4">
      <w:pPr>
        <w:spacing w:line="480" w:lineRule="exact"/>
        <w:ind w:firstLine="0" w:firstLineChars="0"/>
        <w:rPr>
          <w:rFonts w:hint="eastAsia" w:ascii="仿宋" w:hAnsi="仿宋" w:eastAsia="仿宋" w:cs="仿宋"/>
          <w:b/>
          <w:color w:val="auto"/>
          <w:kern w:val="2"/>
          <w:sz w:val="52"/>
          <w:szCs w:val="52"/>
        </w:rPr>
      </w:pPr>
    </w:p>
    <w:p w14:paraId="415EA59C">
      <w:pPr>
        <w:bidi w:val="0"/>
        <w:rPr>
          <w:rFonts w:hint="eastAsia" w:ascii="仿宋" w:hAnsi="仿宋" w:eastAsia="仿宋" w:cs="仿宋"/>
          <w:color w:val="auto"/>
        </w:rPr>
      </w:pPr>
    </w:p>
    <w:p w14:paraId="5951C3F2">
      <w:pPr>
        <w:bidi w:val="0"/>
        <w:ind w:left="0" w:leftChars="0" w:firstLine="0" w:firstLineChars="0"/>
        <w:rPr>
          <w:rFonts w:hint="eastAsia" w:ascii="仿宋" w:hAnsi="仿宋" w:eastAsia="仿宋" w:cs="仿宋"/>
          <w:color w:val="auto"/>
        </w:rPr>
      </w:pPr>
    </w:p>
    <w:p w14:paraId="31C7F6A3">
      <w:pPr>
        <w:bidi w:val="0"/>
        <w:ind w:left="0" w:leftChars="0" w:firstLine="0" w:firstLineChars="0"/>
        <w:rPr>
          <w:rFonts w:hint="eastAsia" w:ascii="仿宋" w:hAnsi="仿宋" w:eastAsia="仿宋" w:cs="仿宋"/>
          <w:color w:val="auto"/>
        </w:rPr>
      </w:pPr>
    </w:p>
    <w:p w14:paraId="6A6FA9E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themeColor="text1"/>
          <w:spacing w:val="0"/>
          <w:sz w:val="30"/>
          <w:szCs w:val="30"/>
          <w:lang w:eastAsia="zh-CN"/>
          <w14:textFill>
            <w14:solidFill>
              <w14:schemeClr w14:val="tx1"/>
            </w14:solidFill>
          </w14:textFill>
        </w:rPr>
      </w:pPr>
      <w:r>
        <w:rPr>
          <w:rFonts w:hint="eastAsia" w:ascii="仿宋" w:hAnsi="仿宋" w:eastAsia="仿宋" w:cs="仿宋"/>
          <w:b/>
          <w:bCs/>
          <w:color w:val="000000" w:themeColor="text1"/>
          <w:spacing w:val="0"/>
          <w:sz w:val="30"/>
          <w:szCs w:val="30"/>
          <w14:textFill>
            <w14:solidFill>
              <w14:schemeClr w14:val="tx1"/>
            </w14:solidFill>
          </w14:textFill>
        </w:rPr>
        <w:t>采购人：</w:t>
      </w:r>
      <w:r>
        <w:rPr>
          <w:rFonts w:hint="eastAsia" w:ascii="仿宋" w:hAnsi="仿宋" w:eastAsia="仿宋" w:cs="仿宋"/>
          <w:b/>
          <w:bCs/>
          <w:color w:val="000000" w:themeColor="text1"/>
          <w:spacing w:val="0"/>
          <w:sz w:val="30"/>
          <w:szCs w:val="30"/>
          <w:lang w:eastAsia="zh-CN"/>
          <w14:textFill>
            <w14:solidFill>
              <w14:schemeClr w14:val="tx1"/>
            </w14:solidFill>
          </w14:textFill>
        </w:rPr>
        <w:t>昌吉市自然资源局</w:t>
      </w:r>
    </w:p>
    <w:p w14:paraId="4057EFC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themeColor="text1"/>
          <w:spacing w:val="0"/>
          <w:sz w:val="30"/>
          <w:szCs w:val="30"/>
          <w:lang w:eastAsia="zh-CN"/>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联系人</w:t>
      </w:r>
      <w:r>
        <w:rPr>
          <w:rFonts w:hint="eastAsia" w:ascii="仿宋" w:hAnsi="仿宋" w:eastAsia="仿宋" w:cs="仿宋"/>
          <w:b/>
          <w:bCs/>
          <w:color w:val="000000" w:themeColor="text1"/>
          <w:spacing w:val="0"/>
          <w:sz w:val="30"/>
          <w:szCs w:val="30"/>
          <w14:textFill>
            <w14:solidFill>
              <w14:schemeClr w14:val="tx1"/>
            </w14:solidFill>
          </w14:textFill>
        </w:rPr>
        <w:t>：</w:t>
      </w:r>
      <w:r>
        <w:rPr>
          <w:rFonts w:hint="eastAsia" w:ascii="仿宋" w:hAnsi="仿宋" w:eastAsia="仿宋" w:cs="仿宋"/>
          <w:b/>
          <w:bCs/>
          <w:color w:val="000000" w:themeColor="text1"/>
          <w:spacing w:val="0"/>
          <w:sz w:val="30"/>
          <w:szCs w:val="30"/>
          <w:lang w:eastAsia="zh-CN"/>
          <w14:textFill>
            <w14:solidFill>
              <w14:schemeClr w14:val="tx1"/>
            </w14:solidFill>
          </w14:textFill>
        </w:rPr>
        <w:t>李先生</w:t>
      </w:r>
    </w:p>
    <w:p w14:paraId="5D04BE1E">
      <w:pPr>
        <w:pStyle w:val="36"/>
        <w:spacing w:line="480" w:lineRule="auto"/>
        <w:ind w:left="0" w:leftChars="0" w:firstLine="602" w:firstLineChars="200"/>
        <w:rPr>
          <w:rFonts w:hint="eastAsia" w:ascii="仿宋" w:hAnsi="仿宋" w:eastAsia="仿宋" w:cs="仿宋"/>
          <w:b/>
          <w:bCs/>
          <w:color w:val="000000" w:themeColor="text1"/>
          <w:spacing w:val="0"/>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0"/>
          <w:szCs w:val="30"/>
          <w:lang w:eastAsia="zh-CN"/>
          <w14:textFill>
            <w14:solidFill>
              <w14:schemeClr w14:val="tx1"/>
            </w14:solidFill>
          </w14:textFill>
        </w:rPr>
        <w:t>联系</w:t>
      </w:r>
      <w:r>
        <w:rPr>
          <w:rFonts w:hint="eastAsia" w:ascii="仿宋" w:hAnsi="仿宋" w:eastAsia="仿宋" w:cs="仿宋"/>
          <w:b/>
          <w:bCs/>
          <w:color w:val="000000" w:themeColor="text1"/>
          <w:kern w:val="0"/>
          <w:sz w:val="30"/>
          <w:szCs w:val="30"/>
          <w14:textFill>
            <w14:solidFill>
              <w14:schemeClr w14:val="tx1"/>
            </w14:solidFill>
          </w14:textFill>
        </w:rPr>
        <w:t>电话</w:t>
      </w:r>
      <w:r>
        <w:rPr>
          <w:rFonts w:hint="eastAsia" w:ascii="仿宋" w:hAnsi="仿宋" w:eastAsia="仿宋" w:cs="仿宋"/>
          <w:b/>
          <w:bCs/>
          <w:color w:val="000000" w:themeColor="text1"/>
          <w:spacing w:val="0"/>
          <w:sz w:val="30"/>
          <w:szCs w:val="30"/>
          <w14:textFill>
            <w14:solidFill>
              <w14:schemeClr w14:val="tx1"/>
            </w14:solidFill>
          </w14:textFill>
        </w:rPr>
        <w:t>：</w:t>
      </w:r>
      <w:r>
        <w:rPr>
          <w:rFonts w:hint="eastAsia" w:ascii="仿宋" w:hAnsi="仿宋" w:eastAsia="仿宋" w:cs="仿宋"/>
          <w:b/>
          <w:bCs/>
          <w:color w:val="000000" w:themeColor="text1"/>
          <w:spacing w:val="0"/>
          <w:sz w:val="30"/>
          <w:szCs w:val="30"/>
          <w:lang w:eastAsia="zh-CN"/>
          <w14:textFill>
            <w14:solidFill>
              <w14:schemeClr w14:val="tx1"/>
            </w14:solidFill>
          </w14:textFill>
        </w:rPr>
        <w:t>15299636622</w:t>
      </w:r>
    </w:p>
    <w:p w14:paraId="1ACDC42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b/>
          <w:bCs/>
          <w:color w:val="000000" w:themeColor="text1"/>
          <w:spacing w:val="0"/>
          <w:sz w:val="11"/>
          <w:szCs w:val="11"/>
          <w:lang w:val="en-US" w:eastAsia="zh-CN"/>
          <w14:textFill>
            <w14:solidFill>
              <w14:schemeClr w14:val="tx1"/>
            </w14:solidFill>
          </w14:textFill>
        </w:rPr>
      </w:pPr>
      <w:r>
        <w:rPr>
          <w:rFonts w:hint="eastAsia" w:ascii="仿宋" w:hAnsi="仿宋" w:eastAsia="仿宋" w:cs="仿宋"/>
          <w:b/>
          <w:bCs/>
          <w:color w:val="000000" w:themeColor="text1"/>
          <w:spacing w:val="0"/>
          <w:sz w:val="30"/>
          <w:szCs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63360;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4+Lz7AQAA9AMAAA4AAABkcnMvZTJvRG9jLnhtbK1TzY7TMBC+&#10;I/EOlu80abVa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OLBi68LtP339+&#10;/PLrx2da7759ZRdJpMFjRbE3dhOmHfpNSIwPbTDpT1zYIQt7PAkrD5EJOrws5y+uStJc3PuKP4k+&#10;YHwlnWHJqLlWNnGGCvavMVIxCr0PScfasoHmdvE84wFNYEs3T9DGEwu0XU5Gp1Vzq7ROKRi67Y0O&#10;bA9pCvKXOBHwX2GpyhqwH+PwiGsXxwHpJTQvbcPi0ZNAlt4FT00Y2XCmJT2jZBEiVBGUPieSamub&#10;EmQe0olpUnnUNVlb1xzpcnY+qK4nZea56eShYcjt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8WO4PTAAAABQEAAA8AAAAAAAAAAQAgAAAAIgAAAGRycy9kb3ducmV2LnhtbFBL&#10;AQIUABQAAAAIAIdO4kA+uPi8+wEAAPQDAAAOAAAAAAAAAAEAIAAAACIBAABkcnMvZTJvRG9jLnht&#10;bFBLBQYAAAAABgAGAFkBAACPBQAAAAA=&#10;">
                <v:fill on="f" focussize="0,0"/>
                <v:stroke weight="1pt" color="#000000" joinstyle="round" dashstyle="1 1"/>
                <v:imagedata o:title=""/>
                <o:lock v:ext="edit" aspectratio="f"/>
              </v:line>
            </w:pict>
          </mc:Fallback>
        </mc:AlternateContent>
      </w:r>
      <w:r>
        <w:rPr>
          <w:rFonts w:hint="eastAsia" w:ascii="仿宋" w:hAnsi="仿宋" w:eastAsia="仿宋" w:cs="仿宋"/>
          <w:b/>
          <w:bCs/>
          <w:color w:val="000000" w:themeColor="text1"/>
          <w:spacing w:val="0"/>
          <w:sz w:val="30"/>
          <w:szCs w:val="30"/>
          <w:lang w:val="en-US" w:eastAsia="zh-CN"/>
          <w14:textFill>
            <w14:solidFill>
              <w14:schemeClr w14:val="tx1"/>
            </w14:solidFill>
          </w14:textFill>
        </w:rPr>
        <w:t xml:space="preserve">    </w:t>
      </w:r>
    </w:p>
    <w:p w14:paraId="27C1171A">
      <w:pPr>
        <w:keepNext w:val="0"/>
        <w:keepLines w:val="0"/>
        <w:pageBreakBefore w:val="0"/>
        <w:widowControl w:val="0"/>
        <w:kinsoku/>
        <w:wordWrap/>
        <w:overflowPunct/>
        <w:topLinePunct w:val="0"/>
        <w:autoSpaceDE/>
        <w:autoSpaceDN/>
        <w:bidi w:val="0"/>
        <w:adjustRightInd/>
        <w:snapToGrid/>
        <w:spacing w:line="480" w:lineRule="auto"/>
        <w:ind w:left="0" w:leftChars="0" w:firstLine="602" w:firstLineChars="200"/>
        <w:textAlignment w:val="auto"/>
        <w:rPr>
          <w:rFonts w:hint="eastAsia" w:ascii="仿宋" w:hAnsi="仿宋" w:eastAsia="仿宋" w:cs="仿宋"/>
          <w:b/>
          <w:bCs/>
          <w:color w:val="000000" w:themeColor="text1"/>
          <w:kern w:val="0"/>
          <w:sz w:val="30"/>
          <w:szCs w:val="30"/>
          <w:lang w:eastAsia="zh-CN"/>
          <w14:textFill>
            <w14:solidFill>
              <w14:schemeClr w14:val="tx1"/>
            </w14:solidFill>
          </w14:textFill>
        </w:rPr>
      </w:pPr>
      <w:r>
        <w:rPr>
          <w:rFonts w:hint="eastAsia" w:ascii="仿宋" w:hAnsi="仿宋" w:eastAsia="仿宋" w:cs="仿宋"/>
          <w:b/>
          <w:bCs/>
          <w:color w:val="000000" w:themeColor="text1"/>
          <w:kern w:val="0"/>
          <w:sz w:val="30"/>
          <w:szCs w:val="30"/>
          <w:lang w:eastAsia="zh-CN"/>
          <w14:textFill>
            <w14:solidFill>
              <w14:schemeClr w14:val="tx1"/>
            </w14:solidFill>
          </w14:textFill>
        </w:rPr>
        <w:t>采购</w:t>
      </w:r>
      <w:r>
        <w:rPr>
          <w:rFonts w:hint="eastAsia" w:ascii="仿宋" w:hAnsi="仿宋" w:eastAsia="仿宋" w:cs="仿宋"/>
          <w:b/>
          <w:bCs/>
          <w:color w:val="000000" w:themeColor="text1"/>
          <w:kern w:val="0"/>
          <w:sz w:val="30"/>
          <w:szCs w:val="30"/>
          <w14:textFill>
            <w14:solidFill>
              <w14:schemeClr w14:val="tx1"/>
            </w14:solidFill>
          </w14:textFill>
        </w:rPr>
        <w:t>代理机构：</w:t>
      </w:r>
      <w:r>
        <w:rPr>
          <w:rFonts w:hint="eastAsia" w:ascii="仿宋" w:hAnsi="仿宋" w:eastAsia="仿宋" w:cs="仿宋"/>
          <w:b/>
          <w:bCs/>
          <w:color w:val="000000" w:themeColor="text1"/>
          <w:kern w:val="0"/>
          <w:sz w:val="30"/>
          <w:szCs w:val="30"/>
          <w:lang w:eastAsia="zh-CN"/>
          <w14:textFill>
            <w14:solidFill>
              <w14:schemeClr w14:val="tx1"/>
            </w14:solidFill>
          </w14:textFill>
        </w:rPr>
        <w:t>新疆信实工程招标咨询服务有限公司</w:t>
      </w:r>
    </w:p>
    <w:p w14:paraId="00A765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themeColor="text1"/>
          <w:kern w:val="0"/>
          <w:sz w:val="30"/>
          <w:szCs w:val="30"/>
          <w:lang w:eastAsia="zh-CN"/>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联系人：</w:t>
      </w:r>
      <w:r>
        <w:rPr>
          <w:rFonts w:hint="eastAsia" w:ascii="仿宋" w:hAnsi="仿宋" w:eastAsia="仿宋" w:cs="仿宋"/>
          <w:b/>
          <w:bCs/>
          <w:color w:val="000000" w:themeColor="text1"/>
          <w:kern w:val="0"/>
          <w:sz w:val="30"/>
          <w:szCs w:val="30"/>
          <w:lang w:eastAsia="zh-CN"/>
          <w14:textFill>
            <w14:solidFill>
              <w14:schemeClr w14:val="tx1"/>
            </w14:solidFill>
          </w14:textFill>
        </w:rPr>
        <w:t>许培培</w:t>
      </w:r>
    </w:p>
    <w:p w14:paraId="3B8DD68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000000" w:themeColor="text1"/>
          <w:kern w:val="0"/>
          <w:sz w:val="30"/>
          <w:szCs w:val="30"/>
          <w:lang w:eastAsia="zh-CN"/>
          <w14:textFill>
            <w14:solidFill>
              <w14:schemeClr w14:val="tx1"/>
            </w14:solidFill>
          </w14:textFill>
        </w:rPr>
        <w:t>联系</w:t>
      </w:r>
      <w:r>
        <w:rPr>
          <w:rFonts w:hint="eastAsia" w:ascii="仿宋" w:hAnsi="仿宋" w:eastAsia="仿宋" w:cs="仿宋"/>
          <w:b/>
          <w:bCs/>
          <w:color w:val="000000" w:themeColor="text1"/>
          <w:kern w:val="0"/>
          <w:sz w:val="30"/>
          <w:szCs w:val="30"/>
          <w14:textFill>
            <w14:solidFill>
              <w14:schemeClr w14:val="tx1"/>
            </w14:solidFill>
          </w14:textFill>
        </w:rPr>
        <w:t>电话：</w:t>
      </w:r>
      <w:r>
        <w:rPr>
          <w:rFonts w:hint="eastAsia" w:ascii="仿宋" w:hAnsi="仿宋" w:eastAsia="仿宋" w:cs="仿宋"/>
          <w:b/>
          <w:bCs/>
          <w:color w:val="000000" w:themeColor="text1"/>
          <w:kern w:val="0"/>
          <w:sz w:val="30"/>
          <w:szCs w:val="30"/>
          <w:lang w:val="en-US" w:eastAsia="zh-CN"/>
          <w14:textFill>
            <w14:solidFill>
              <w14:schemeClr w14:val="tx1"/>
            </w14:solidFill>
          </w14:textFill>
        </w:rPr>
        <w:t>17599753335</w:t>
      </w:r>
    </w:p>
    <w:p w14:paraId="68F0D59C">
      <w:pPr>
        <w:pStyle w:val="3"/>
        <w:rPr>
          <w:rFonts w:hint="eastAsia" w:ascii="仿宋" w:hAnsi="仿宋" w:eastAsia="仿宋" w:cs="仿宋"/>
          <w:lang w:val="en-US" w:eastAsia="zh-CN"/>
        </w:rPr>
      </w:pPr>
    </w:p>
    <w:p w14:paraId="0EB29E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30"/>
          <w:szCs w:val="30"/>
          <w:lang w:val="en-US" w:eastAsia="zh-CN"/>
        </w:rPr>
        <w:sectPr>
          <w:headerReference r:id="rId5" w:type="default"/>
          <w:footerReference r:id="rId6" w:type="default"/>
          <w:pgSz w:w="11911" w:h="16838"/>
          <w:pgMar w:top="1417" w:right="1417" w:bottom="1134" w:left="1417" w:header="0" w:footer="998" w:gutter="0"/>
          <w:pgNumType w:fmt="decimal" w:start="1"/>
          <w:cols w:space="0" w:num="1"/>
          <w:rtlGutter w:val="0"/>
          <w:docGrid w:linePitch="0" w:charSpace="0"/>
        </w:sectPr>
      </w:pPr>
    </w:p>
    <w:sdt>
      <w:sdtPr>
        <w:rPr>
          <w:rFonts w:hint="eastAsia" w:ascii="仿宋" w:hAnsi="仿宋" w:eastAsia="仿宋" w:cs="仿宋"/>
          <w:b/>
          <w:bCs/>
          <w:color w:val="auto"/>
          <w:kern w:val="0"/>
          <w:sz w:val="30"/>
          <w:szCs w:val="30"/>
          <w:lang w:val="en-US" w:eastAsia="zh-CN"/>
        </w:rPr>
        <w:id w:val="147474294"/>
        <w15:color w:val="DBDBDB"/>
        <w:docPartObj>
          <w:docPartGallery w:val="Table of Contents"/>
          <w:docPartUnique/>
        </w:docPartObj>
      </w:sdtPr>
      <w:sdtEndPr>
        <w:rPr>
          <w:rFonts w:hint="eastAsia" w:ascii="仿宋" w:hAnsi="仿宋" w:eastAsia="仿宋" w:cs="仿宋"/>
          <w:b/>
          <w:bCs/>
          <w:color w:val="auto"/>
          <w:kern w:val="0"/>
          <w:sz w:val="24"/>
          <w:szCs w:val="22"/>
          <w:lang w:val="en-US" w:eastAsia="zh-CN" w:bidi="ar-SA"/>
        </w:rPr>
      </w:sdtEndPr>
      <w:sdtContent>
        <w:p w14:paraId="22C44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6"/>
              <w:szCs w:val="24"/>
            </w:rPr>
          </w:pPr>
          <w:r>
            <w:rPr>
              <w:rFonts w:hint="eastAsia" w:ascii="仿宋" w:hAnsi="仿宋" w:eastAsia="仿宋" w:cs="仿宋"/>
              <w:b/>
              <w:bCs/>
              <w:color w:val="auto"/>
              <w:sz w:val="28"/>
              <w:szCs w:val="24"/>
            </w:rPr>
            <w:t>目录</w:t>
          </w:r>
        </w:p>
        <w:p w14:paraId="5B08AD07">
          <w:pPr>
            <w:pStyle w:val="18"/>
            <w:tabs>
              <w:tab w:val="right" w:leader="dot" w:pos="9077"/>
            </w:tabs>
            <w:spacing w:line="600" w:lineRule="auto"/>
            <w:rPr>
              <w:rFonts w:hint="eastAsia" w:ascii="仿宋" w:hAnsi="仿宋" w:eastAsia="仿宋" w:cs="仿宋"/>
              <w:sz w:val="28"/>
              <w:szCs w:val="28"/>
            </w:rPr>
          </w:pPr>
          <w:bookmarkStart w:id="0" w:name="_Toc12409"/>
          <w:bookmarkStart w:id="1" w:name="_Toc84017888"/>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_Toc23760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第一章 招标邀请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_Toc23760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B67FF8">
          <w:pPr>
            <w:pStyle w:val="18"/>
            <w:tabs>
              <w:tab w:val="right" w:leader="dot" w:pos="9077"/>
            </w:tabs>
            <w:spacing w:line="60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_Toc18919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第二章 </w:t>
          </w:r>
          <w:r>
            <w:rPr>
              <w:rFonts w:hint="eastAsia" w:ascii="仿宋" w:hAnsi="仿宋" w:eastAsia="仿宋" w:cs="仿宋"/>
              <w:sz w:val="28"/>
              <w:szCs w:val="28"/>
              <w:lang w:eastAsia="zh-CN"/>
            </w:rPr>
            <w:t>供应商</w:t>
          </w:r>
          <w:r>
            <w:rPr>
              <w:rFonts w:hint="eastAsia" w:ascii="仿宋" w:hAnsi="仿宋" w:eastAsia="仿宋" w:cs="仿宋"/>
              <w:sz w:val="28"/>
              <w:szCs w:val="28"/>
            </w:rPr>
            <w:t>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_Toc18919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6E38AB">
          <w:pPr>
            <w:pStyle w:val="18"/>
            <w:tabs>
              <w:tab w:val="right" w:leader="dot" w:pos="9077"/>
            </w:tabs>
            <w:spacing w:line="60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_Toc32046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第三章 评审办法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_Toc32046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7DA5D2">
          <w:pPr>
            <w:pStyle w:val="18"/>
            <w:tabs>
              <w:tab w:val="right" w:leader="dot" w:pos="9077"/>
            </w:tabs>
            <w:spacing w:line="60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_Toc27231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第四章 合同部分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_Toc27231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B13CDD">
          <w:pPr>
            <w:pStyle w:val="18"/>
            <w:tabs>
              <w:tab w:val="right" w:leader="dot" w:pos="9077"/>
            </w:tabs>
            <w:spacing w:line="60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_Toc27051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eastAsia="zh-CN"/>
            </w:rPr>
            <w:t>五</w:t>
          </w:r>
          <w:r>
            <w:rPr>
              <w:rFonts w:hint="eastAsia" w:ascii="仿宋" w:hAnsi="仿宋" w:eastAsia="仿宋" w:cs="仿宋"/>
              <w:sz w:val="28"/>
              <w:szCs w:val="28"/>
            </w:rPr>
            <w:t xml:space="preserve">章 </w:t>
          </w:r>
          <w:r>
            <w:rPr>
              <w:rFonts w:hint="eastAsia" w:ascii="仿宋" w:hAnsi="仿宋" w:eastAsia="仿宋" w:cs="仿宋"/>
              <w:sz w:val="28"/>
              <w:szCs w:val="28"/>
              <w:lang w:val="en-US" w:eastAsia="zh-CN"/>
            </w:rPr>
            <w:t>响应文件</w:t>
          </w:r>
          <w:r>
            <w:rPr>
              <w:rFonts w:hint="eastAsia" w:ascii="仿宋" w:hAnsi="仿宋" w:eastAsia="仿宋" w:cs="仿宋"/>
              <w:sz w:val="28"/>
              <w:szCs w:val="28"/>
            </w:rPr>
            <w:t>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_Toc27051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013C7E2">
          <w:pPr>
            <w:pStyle w:val="18"/>
            <w:tabs>
              <w:tab w:val="right" w:leader="dot" w:pos="9077"/>
            </w:tabs>
            <w:spacing w:line="600" w:lineRule="auto"/>
            <w:rPr>
              <w:rFonts w:hint="eastAsia"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_Toc17248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第六章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_Toc17248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177678">
          <w:pPr>
            <w:rPr>
              <w:rFonts w:hint="eastAsia" w:ascii="仿宋" w:hAnsi="仿宋" w:eastAsia="仿宋" w:cs="仿宋"/>
            </w:rPr>
          </w:pPr>
          <w:r>
            <w:rPr>
              <w:rFonts w:hint="eastAsia" w:ascii="仿宋" w:hAnsi="仿宋" w:eastAsia="仿宋" w:cs="仿宋"/>
            </w:rPr>
            <w:fldChar w:fldCharType="end"/>
          </w:r>
        </w:p>
        <w:p w14:paraId="3D184D18">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lang w:val="en-US" w:eastAsia="zh-CN"/>
            </w:rPr>
            <w:sectPr>
              <w:footerReference r:id="rId7" w:type="default"/>
              <w:pgSz w:w="11911" w:h="16838"/>
              <w:pgMar w:top="1417" w:right="1417" w:bottom="1134" w:left="1417" w:header="0" w:footer="998" w:gutter="0"/>
              <w:pgNumType w:fmt="decimal" w:start="1"/>
              <w:cols w:space="0" w:num="1"/>
              <w:rtlGutter w:val="0"/>
              <w:docGrid w:linePitch="0" w:charSpace="0"/>
            </w:sectPr>
          </w:pPr>
        </w:p>
      </w:sdtContent>
    </w:sdt>
    <w:p w14:paraId="6EB05596">
      <w:pPr>
        <w:pStyle w:val="4"/>
        <w:numPr>
          <w:ilvl w:val="0"/>
          <w:numId w:val="0"/>
        </w:numPr>
        <w:bidi w:val="0"/>
        <w:jc w:val="center"/>
        <w:rPr>
          <w:rFonts w:hint="eastAsia" w:ascii="仿宋" w:hAnsi="仿宋" w:eastAsia="仿宋" w:cs="仿宋"/>
          <w:color w:val="auto"/>
          <w:lang w:val="en-US" w:eastAsia="zh-CN"/>
        </w:rPr>
      </w:pPr>
      <w:bookmarkStart w:id="2" w:name="_Toc3407"/>
      <w:bookmarkStart w:id="3" w:name="_Toc23760"/>
      <w:r>
        <w:rPr>
          <w:rFonts w:hint="eastAsia" w:ascii="仿宋" w:hAnsi="仿宋" w:eastAsia="仿宋" w:cs="仿宋"/>
          <w:color w:val="auto"/>
          <w:lang w:val="en-US" w:eastAsia="zh-CN"/>
        </w:rPr>
        <w:t xml:space="preserve">第一章 </w:t>
      </w:r>
      <w:bookmarkEnd w:id="0"/>
      <w:bookmarkStart w:id="4" w:name="_Toc28854"/>
      <w:r>
        <w:rPr>
          <w:rFonts w:hint="eastAsia" w:ascii="仿宋" w:hAnsi="仿宋" w:eastAsia="仿宋" w:cs="仿宋"/>
          <w:color w:val="auto"/>
          <w:lang w:val="en-US" w:eastAsia="zh-CN"/>
        </w:rPr>
        <w:t>招标</w:t>
      </w:r>
      <w:bookmarkEnd w:id="2"/>
      <w:bookmarkEnd w:id="4"/>
      <w:r>
        <w:rPr>
          <w:rFonts w:hint="eastAsia" w:ascii="仿宋" w:hAnsi="仿宋" w:eastAsia="仿宋" w:cs="仿宋"/>
          <w:color w:val="auto"/>
          <w:lang w:val="en-US" w:eastAsia="zh-CN"/>
        </w:rPr>
        <w:t>邀请</w:t>
      </w:r>
      <w:bookmarkEnd w:id="3"/>
    </w:p>
    <w:p w14:paraId="19633D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28"/>
          <w:szCs w:val="21"/>
          <w:lang w:eastAsia="zh-CN"/>
        </w:rPr>
      </w:pPr>
      <w:bookmarkStart w:id="5" w:name="_Toc28359011"/>
      <w:bookmarkStart w:id="6" w:name="_Toc8511"/>
      <w:bookmarkStart w:id="7" w:name="_Toc35393797"/>
      <w:r>
        <w:rPr>
          <w:rFonts w:hint="eastAsia" w:ascii="仿宋" w:hAnsi="仿宋" w:eastAsia="仿宋" w:cs="仿宋"/>
          <w:b/>
          <w:bCs/>
          <w:color w:val="auto"/>
          <w:sz w:val="28"/>
          <w:szCs w:val="21"/>
          <w:lang w:val="en-US" w:eastAsia="zh-CN"/>
        </w:rPr>
        <w:t>新疆信实工程招标咨询服务有限公司关于</w:t>
      </w:r>
      <w:bookmarkEnd w:id="5"/>
      <w:bookmarkEnd w:id="6"/>
      <w:bookmarkEnd w:id="7"/>
      <w:r>
        <w:rPr>
          <w:rFonts w:hint="eastAsia" w:ascii="仿宋" w:hAnsi="仿宋" w:eastAsia="仿宋" w:cs="仿宋"/>
          <w:b/>
          <w:bCs/>
          <w:color w:val="auto"/>
          <w:sz w:val="28"/>
          <w:szCs w:val="21"/>
          <w:lang w:val="en-US" w:eastAsia="zh-CN"/>
        </w:rPr>
        <w:t>昌吉市自然资源局购买服务项目第二标段-昌吉市国有农用地（耕地、园地）规范管理专项工作技术服务项目竞争性磋商</w:t>
      </w:r>
      <w:r>
        <w:rPr>
          <w:rFonts w:hint="eastAsia" w:ascii="仿宋" w:hAnsi="仿宋" w:eastAsia="仿宋" w:cs="仿宋"/>
          <w:b/>
          <w:bCs/>
          <w:color w:val="auto"/>
          <w:sz w:val="28"/>
          <w:szCs w:val="21"/>
          <w:lang w:eastAsia="zh-CN"/>
        </w:rPr>
        <w:t>公告</w:t>
      </w:r>
    </w:p>
    <w:p w14:paraId="33178A5A">
      <w:pPr>
        <w:pBdr>
          <w:top w:val="single" w:color="auto" w:sz="4" w:space="1"/>
          <w:left w:val="single" w:color="auto" w:sz="4" w:space="4"/>
          <w:bottom w:val="single" w:color="auto" w:sz="4" w:space="1"/>
          <w:right w:val="single" w:color="auto" w:sz="4" w:space="4"/>
        </w:pBdr>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项目概况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昌吉市自然资源局购买服务项目第二标段-昌吉市国有农用地（耕地、园地）规范管理专项工作技术服务项目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rPr>
        <w:t>采购项目的潜在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应在</w:t>
      </w:r>
      <w:r>
        <w:rPr>
          <w:rFonts w:hint="eastAsia" w:ascii="仿宋" w:hAnsi="仿宋" w:eastAsia="仿宋" w:cs="仿宋"/>
          <w:color w:val="auto"/>
          <w:sz w:val="24"/>
          <w:szCs w:val="24"/>
          <w:u w:val="single"/>
        </w:rPr>
        <w:t>新疆政府采购网政采云平台（www.zcygov.cn）</w:t>
      </w:r>
      <w:r>
        <w:rPr>
          <w:rFonts w:hint="eastAsia" w:ascii="仿宋" w:hAnsi="仿宋" w:eastAsia="仿宋" w:cs="仿宋"/>
          <w:color w:val="auto"/>
          <w:sz w:val="24"/>
          <w:szCs w:val="24"/>
        </w:rPr>
        <w:t>获取采购文件，并于</w:t>
      </w:r>
      <w:r>
        <w:rPr>
          <w:rFonts w:hint="eastAsia" w:ascii="仿宋" w:hAnsi="仿宋" w:eastAsia="仿宋" w:cs="仿宋"/>
          <w:color w:val="auto"/>
          <w:sz w:val="24"/>
          <w:szCs w:val="24"/>
          <w:highlight w:val="none"/>
          <w:u w:val="single"/>
          <w:lang w:val="en-US" w:eastAsia="zh-CN"/>
        </w:rPr>
        <w:t>2025年06月18日12点00分</w:t>
      </w:r>
      <w:r>
        <w:rPr>
          <w:rFonts w:hint="eastAsia" w:ascii="仿宋" w:hAnsi="仿宋" w:eastAsia="仿宋" w:cs="仿宋"/>
          <w:bCs/>
          <w:color w:val="auto"/>
          <w:sz w:val="24"/>
          <w:szCs w:val="24"/>
        </w:rPr>
        <w:t>（北京时间）前</w:t>
      </w:r>
      <w:r>
        <w:rPr>
          <w:rFonts w:hint="eastAsia" w:ascii="仿宋" w:hAnsi="仿宋" w:eastAsia="仿宋" w:cs="仿宋"/>
          <w:bCs/>
          <w:color w:val="auto"/>
          <w:sz w:val="24"/>
          <w:szCs w:val="24"/>
          <w:lang w:eastAsia="zh-CN"/>
        </w:rPr>
        <w:t>递交响应文件</w:t>
      </w:r>
      <w:r>
        <w:rPr>
          <w:rFonts w:hint="eastAsia" w:ascii="仿宋" w:hAnsi="仿宋" w:eastAsia="仿宋" w:cs="仿宋"/>
          <w:color w:val="auto"/>
          <w:sz w:val="24"/>
          <w:szCs w:val="24"/>
        </w:rPr>
        <w:t>。</w:t>
      </w:r>
    </w:p>
    <w:p w14:paraId="2F8BD023">
      <w:pPr>
        <w:pStyle w:val="5"/>
        <w:spacing w:line="360" w:lineRule="auto"/>
        <w:rPr>
          <w:rFonts w:hint="eastAsia" w:ascii="仿宋" w:hAnsi="仿宋" w:eastAsia="仿宋" w:cs="仿宋"/>
          <w:b w:val="0"/>
          <w:color w:val="auto"/>
          <w:sz w:val="24"/>
          <w:szCs w:val="24"/>
        </w:rPr>
      </w:pPr>
      <w:bookmarkStart w:id="8" w:name="_Toc28359089"/>
      <w:bookmarkStart w:id="9" w:name="_Toc35393629"/>
      <w:bookmarkStart w:id="10" w:name="_Toc28359012"/>
      <w:bookmarkStart w:id="11" w:name="_Toc20466"/>
      <w:bookmarkStart w:id="12" w:name="_Toc35393798"/>
      <w:r>
        <w:rPr>
          <w:rFonts w:hint="eastAsia" w:ascii="仿宋" w:hAnsi="仿宋" w:eastAsia="仿宋" w:cs="仿宋"/>
          <w:b w:val="0"/>
          <w:color w:val="auto"/>
          <w:sz w:val="24"/>
          <w:szCs w:val="24"/>
        </w:rPr>
        <w:t>一、项目基本情况</w:t>
      </w:r>
      <w:bookmarkEnd w:id="8"/>
      <w:bookmarkEnd w:id="9"/>
      <w:bookmarkEnd w:id="10"/>
      <w:bookmarkEnd w:id="11"/>
      <w:bookmarkEnd w:id="12"/>
    </w:p>
    <w:p w14:paraId="10C5A45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W-XJXSZB2025-15-FW</w:t>
      </w:r>
    </w:p>
    <w:p w14:paraId="3530CC9C">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昌吉市自然资源局购买服务项目第二标段-昌吉市国有农用地（耕地、园地）规范管理专项工作技术服务项目</w:t>
      </w:r>
    </w:p>
    <w:p w14:paraId="325DD6F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color w:val="auto"/>
          <w:sz w:val="24"/>
          <w:szCs w:val="24"/>
          <w:lang w:val="en-US" w:eastAsia="zh-CN"/>
        </w:rPr>
        <w:t>竞争性磋商</w:t>
      </w:r>
      <w:r>
        <w:rPr>
          <w:rFonts w:hint="eastAsia" w:ascii="仿宋" w:hAnsi="仿宋" w:eastAsia="仿宋" w:cs="仿宋"/>
          <w:color w:val="auto"/>
          <w:sz w:val="24"/>
          <w:szCs w:val="24"/>
        </w:rPr>
        <w:t xml:space="preserve"> </w:t>
      </w:r>
    </w:p>
    <w:p w14:paraId="529E07CC">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750000.00</w:t>
      </w:r>
    </w:p>
    <w:p w14:paraId="0BD7BB55">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750000.00</w:t>
      </w:r>
    </w:p>
    <w:p w14:paraId="3EAC4288">
      <w:pPr>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采购需求：</w:t>
      </w:r>
    </w:p>
    <w:p w14:paraId="15DE8F70">
      <w:pPr>
        <w:pStyle w:val="3"/>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标项名称：昌吉市自然资源局购买服务项目第二标段-昌吉市国有农用地（耕地、园地）规范管理专项工作技术服务项目</w:t>
      </w:r>
    </w:p>
    <w:p w14:paraId="040CFAD6">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数量：1</w:t>
      </w:r>
    </w:p>
    <w:p w14:paraId="5A36F50B">
      <w:pPr>
        <w:pStyle w:val="3"/>
        <w:ind w:firstLine="720" w:firstLineChars="3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预算金额（元）：750000.00</w:t>
      </w:r>
    </w:p>
    <w:p w14:paraId="1EAB3AA7">
      <w:pPr>
        <w:pStyle w:val="3"/>
        <w:ind w:firstLine="720" w:firstLineChars="3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单位：批</w:t>
      </w:r>
    </w:p>
    <w:p w14:paraId="4746CB7D">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简要规格描述：开展昌吉市国有农用地（耕地、园地）规范管理专项工作技术服务（详见磋商文件采购需求）。</w:t>
      </w:r>
    </w:p>
    <w:p w14:paraId="1410CC9A">
      <w:pPr>
        <w:spacing w:line="360" w:lineRule="auto"/>
        <w:ind w:firstLine="480" w:firstLineChars="200"/>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合同履行期限：2025年6月30日前提交成果。</w:t>
      </w:r>
    </w:p>
    <w:p w14:paraId="7FAC0E6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i w:val="0"/>
          <w:iCs/>
          <w:color w:val="auto"/>
          <w:sz w:val="24"/>
          <w:szCs w:val="24"/>
          <w:lang w:eastAsia="zh-CN"/>
        </w:rPr>
        <w:t>不</w:t>
      </w:r>
      <w:r>
        <w:rPr>
          <w:rFonts w:hint="eastAsia" w:ascii="仿宋" w:hAnsi="仿宋" w:eastAsia="仿宋" w:cs="仿宋"/>
          <w:color w:val="auto"/>
          <w:sz w:val="24"/>
          <w:szCs w:val="24"/>
        </w:rPr>
        <w:t>）接受联合体。</w:t>
      </w:r>
    </w:p>
    <w:p w14:paraId="2B49F63E">
      <w:pPr>
        <w:pStyle w:val="5"/>
        <w:spacing w:line="360" w:lineRule="auto"/>
        <w:rPr>
          <w:rFonts w:hint="eastAsia" w:ascii="仿宋" w:hAnsi="仿宋" w:eastAsia="仿宋" w:cs="仿宋"/>
          <w:b w:val="0"/>
          <w:color w:val="auto"/>
          <w:sz w:val="24"/>
          <w:szCs w:val="24"/>
        </w:rPr>
      </w:pPr>
      <w:bookmarkStart w:id="13" w:name="_Toc28359013"/>
      <w:bookmarkStart w:id="14" w:name="_Toc35393630"/>
      <w:bookmarkStart w:id="15" w:name="_Toc28359090"/>
      <w:bookmarkStart w:id="16" w:name="_Toc16507"/>
      <w:bookmarkStart w:id="17" w:name="_Toc35393799"/>
      <w:r>
        <w:rPr>
          <w:rFonts w:hint="eastAsia" w:ascii="仿宋" w:hAnsi="仿宋" w:eastAsia="仿宋" w:cs="仿宋"/>
          <w:b w:val="0"/>
          <w:color w:val="auto"/>
          <w:sz w:val="24"/>
          <w:szCs w:val="24"/>
        </w:rPr>
        <w:t>二、申请人的资格要求：</w:t>
      </w:r>
      <w:bookmarkEnd w:id="13"/>
      <w:bookmarkEnd w:id="14"/>
      <w:bookmarkEnd w:id="15"/>
      <w:bookmarkEnd w:id="16"/>
      <w:bookmarkEnd w:id="17"/>
    </w:p>
    <w:p w14:paraId="64A3C0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146D5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bookmarkStart w:id="18" w:name="_Toc28359091"/>
      <w:bookmarkStart w:id="19" w:name="_Toc28359014"/>
      <w:r>
        <w:rPr>
          <w:rFonts w:hint="eastAsia" w:ascii="仿宋" w:hAnsi="仿宋" w:eastAsia="仿宋" w:cs="仿宋"/>
          <w:color w:val="auto"/>
          <w:sz w:val="24"/>
          <w:szCs w:val="24"/>
        </w:rPr>
        <w:t>2.落实政府采购政策需满足的资格要求：</w:t>
      </w:r>
      <w:r>
        <w:rPr>
          <w:rFonts w:hint="eastAsia" w:ascii="仿宋" w:hAnsi="仿宋" w:eastAsia="仿宋" w:cs="仿宋"/>
          <w:color w:val="auto"/>
          <w:sz w:val="24"/>
          <w:szCs w:val="24"/>
          <w:lang w:eastAsia="zh-CN"/>
        </w:rPr>
        <w:t>无</w:t>
      </w:r>
    </w:p>
    <w:p w14:paraId="6D804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31C08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3.1投标供应商须在中华人民共和国合法注册；</w:t>
      </w:r>
    </w:p>
    <w:p w14:paraId="034504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3.2投标人须具备有效的测绘乙级（含乙级）以上资质证书；</w:t>
      </w:r>
    </w:p>
    <w:p w14:paraId="060A47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3.3根据《财政部关于在政府采购活动中查询及使用信用记录有关问题的通知》（财库﹝2016﹞125号）的要求，凡拟参加本次招标项目的投标供应商，如在“信用中国”网（www.creditchina.gov.cn）、中国政府采购网（www.ccgp.gov.cn）列入失信被执行人、重大税收违法案件当事人名单、政府采购严重违法失信行为记录名单的（尚在处罚期内的），将拒绝其参加本次政府采购活动；</w:t>
      </w:r>
    </w:p>
    <w:p w14:paraId="50AD8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3.4单位负责人为同一人或者存在直接控股、管理关系的不同投标供应商，不得参加同一合同项下的政府采购活动。否则，皆取消投标资格。</w:t>
      </w:r>
    </w:p>
    <w:p w14:paraId="59ACE256">
      <w:pPr>
        <w:pStyle w:val="5"/>
        <w:spacing w:line="360" w:lineRule="auto"/>
        <w:rPr>
          <w:rFonts w:hint="eastAsia" w:ascii="仿宋" w:hAnsi="仿宋" w:eastAsia="仿宋" w:cs="仿宋"/>
          <w:b w:val="0"/>
          <w:color w:val="auto"/>
          <w:sz w:val="24"/>
          <w:szCs w:val="24"/>
        </w:rPr>
      </w:pPr>
      <w:bookmarkStart w:id="20" w:name="_Toc7869"/>
      <w:r>
        <w:rPr>
          <w:rFonts w:hint="eastAsia" w:ascii="仿宋" w:hAnsi="仿宋" w:eastAsia="仿宋" w:cs="仿宋"/>
          <w:b w:val="0"/>
          <w:color w:val="auto"/>
          <w:sz w:val="24"/>
          <w:szCs w:val="24"/>
        </w:rPr>
        <w:t>三、获取采购文件</w:t>
      </w:r>
      <w:bookmarkEnd w:id="20"/>
    </w:p>
    <w:p w14:paraId="33FE96D5">
      <w:pPr>
        <w:spacing w:line="360" w:lineRule="auto"/>
        <w:ind w:firstLine="540"/>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04</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lang w:val="en-US" w:eastAsia="zh-CN"/>
        </w:rPr>
        <w:t>16:00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20:00</w:t>
      </w:r>
      <w:r>
        <w:rPr>
          <w:rFonts w:hint="eastAsia" w:ascii="仿宋" w:hAnsi="仿宋" w:eastAsia="仿宋" w:cs="仿宋"/>
          <w:color w:val="auto"/>
          <w:sz w:val="24"/>
          <w:szCs w:val="24"/>
          <w:highlight w:val="none"/>
        </w:rPr>
        <w:t>（北京时间，法定节假日除外 ）</w:t>
      </w:r>
    </w:p>
    <w:p w14:paraId="24675BDB">
      <w:pPr>
        <w:spacing w:line="360" w:lineRule="auto"/>
        <w:ind w:firstLine="54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地点：政采云平台线上 </w:t>
      </w:r>
    </w:p>
    <w:p w14:paraId="68C27DA2">
      <w:pPr>
        <w:spacing w:line="360" w:lineRule="auto"/>
        <w:ind w:firstLine="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01CE461">
      <w:pPr>
        <w:spacing w:line="360" w:lineRule="auto"/>
        <w:ind w:firstLine="54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售价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w:t>
      </w:r>
    </w:p>
    <w:p w14:paraId="3F1E3A9F">
      <w:pPr>
        <w:pStyle w:val="5"/>
        <w:spacing w:line="360" w:lineRule="auto"/>
        <w:rPr>
          <w:rFonts w:hint="default" w:ascii="仿宋" w:hAnsi="仿宋" w:eastAsia="仿宋" w:cs="仿宋"/>
          <w:b w:val="0"/>
          <w:color w:val="auto"/>
          <w:sz w:val="24"/>
          <w:szCs w:val="24"/>
          <w:lang w:val="en-US" w:eastAsia="zh-CN"/>
        </w:rPr>
      </w:pPr>
      <w:bookmarkStart w:id="21" w:name="_Toc5651"/>
      <w:r>
        <w:rPr>
          <w:rFonts w:hint="eastAsia" w:ascii="仿宋" w:hAnsi="仿宋" w:eastAsia="仿宋" w:cs="仿宋"/>
          <w:b w:val="0"/>
          <w:color w:val="auto"/>
          <w:sz w:val="24"/>
          <w:szCs w:val="24"/>
          <w:lang w:eastAsia="zh-CN"/>
        </w:rPr>
        <w:t>四、</w:t>
      </w:r>
      <w:bookmarkEnd w:id="21"/>
      <w:r>
        <w:rPr>
          <w:rFonts w:hint="eastAsia" w:ascii="仿宋" w:hAnsi="仿宋" w:eastAsia="仿宋" w:cs="仿宋"/>
          <w:b w:val="0"/>
          <w:color w:val="auto"/>
          <w:sz w:val="24"/>
          <w:szCs w:val="24"/>
          <w:lang w:val="en-US" w:eastAsia="zh-CN"/>
        </w:rPr>
        <w:t>响应文件提交</w:t>
      </w:r>
    </w:p>
    <w:p w14:paraId="3ED3D248">
      <w:pPr>
        <w:numPr>
          <w:ilvl w:val="0"/>
          <w:numId w:val="0"/>
        </w:numPr>
        <w:ind w:left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2025年06月18日12点00分</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rPr>
        <w:t>北京时间）</w:t>
      </w:r>
    </w:p>
    <w:p w14:paraId="39CA3CB9">
      <w:pPr>
        <w:spacing w:line="360" w:lineRule="auto"/>
        <w:ind w:firstLine="540"/>
        <w:rPr>
          <w:rFonts w:hint="eastAsia" w:ascii="仿宋" w:hAnsi="仿宋" w:eastAsia="仿宋" w:cs="仿宋"/>
          <w:bCs/>
          <w:color w:val="auto"/>
          <w:sz w:val="24"/>
          <w:szCs w:val="24"/>
          <w:u w:val="single"/>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应将电子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上传到“政采云（https://www.zcygov.cn/）”平台</w:t>
      </w:r>
    </w:p>
    <w:p w14:paraId="0F0D92E4">
      <w:pPr>
        <w:pStyle w:val="5"/>
        <w:spacing w:line="360" w:lineRule="auto"/>
        <w:rPr>
          <w:rFonts w:hint="default" w:ascii="仿宋" w:hAnsi="仿宋" w:eastAsia="仿宋" w:cs="仿宋"/>
          <w:b w:val="0"/>
          <w:color w:val="auto"/>
          <w:sz w:val="24"/>
          <w:szCs w:val="24"/>
          <w:lang w:val="en-US" w:eastAsia="zh-CN"/>
        </w:rPr>
      </w:pPr>
      <w:bookmarkStart w:id="22" w:name="_Toc35393802"/>
      <w:bookmarkStart w:id="23" w:name="_Toc28359016"/>
      <w:bookmarkStart w:id="24" w:name="_Toc21683"/>
      <w:bookmarkStart w:id="25" w:name="_Toc28359093"/>
      <w:bookmarkStart w:id="26" w:name="_Toc35393633"/>
      <w:r>
        <w:rPr>
          <w:rFonts w:hint="eastAsia" w:ascii="仿宋" w:hAnsi="仿宋" w:eastAsia="仿宋" w:cs="仿宋"/>
          <w:b w:val="0"/>
          <w:color w:val="auto"/>
          <w:sz w:val="24"/>
          <w:szCs w:val="24"/>
        </w:rPr>
        <w:t>五、</w:t>
      </w:r>
      <w:bookmarkEnd w:id="22"/>
      <w:bookmarkEnd w:id="23"/>
      <w:bookmarkEnd w:id="24"/>
      <w:bookmarkEnd w:id="25"/>
      <w:bookmarkEnd w:id="26"/>
      <w:r>
        <w:rPr>
          <w:rFonts w:hint="eastAsia" w:ascii="仿宋" w:hAnsi="仿宋" w:eastAsia="仿宋" w:cs="仿宋"/>
          <w:b w:val="0"/>
          <w:color w:val="auto"/>
          <w:sz w:val="24"/>
          <w:szCs w:val="24"/>
          <w:lang w:val="en-US" w:eastAsia="zh-CN"/>
        </w:rPr>
        <w:t>响应文件开启</w:t>
      </w:r>
    </w:p>
    <w:p w14:paraId="591DA21F">
      <w:pPr>
        <w:ind w:firstLine="480" w:firstLineChars="200"/>
        <w:rPr>
          <w:rFonts w:hint="eastAsia" w:ascii="仿宋" w:hAnsi="仿宋" w:eastAsia="仿宋" w:cs="仿宋"/>
          <w:bCs/>
          <w:color w:val="auto"/>
          <w:sz w:val="24"/>
          <w:szCs w:val="24"/>
          <w:highlight w:val="yellow"/>
          <w:u w:val="single"/>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single"/>
          <w:lang w:val="en-US" w:eastAsia="zh-CN"/>
        </w:rPr>
        <w:t>2025年06月18日12点00分</w:t>
      </w:r>
      <w:r>
        <w:rPr>
          <w:rFonts w:hint="eastAsia" w:ascii="仿宋" w:hAnsi="仿宋" w:eastAsia="仿宋" w:cs="仿宋"/>
          <w:bCs/>
          <w:color w:val="auto"/>
          <w:sz w:val="24"/>
          <w:szCs w:val="24"/>
          <w:highlight w:val="none"/>
        </w:rPr>
        <w:t>（北京时间）</w:t>
      </w:r>
    </w:p>
    <w:p w14:paraId="078688B6">
      <w:pPr>
        <w:spacing w:line="360" w:lineRule="auto"/>
        <w:ind w:firstLine="540"/>
        <w:rPr>
          <w:rFonts w:hint="eastAsia" w:ascii="仿宋" w:hAnsi="仿宋" w:eastAsia="仿宋" w:cs="仿宋"/>
          <w:bCs/>
          <w:color w:val="auto"/>
          <w:sz w:val="24"/>
          <w:szCs w:val="24"/>
          <w:u w:val="single"/>
        </w:rPr>
      </w:pPr>
      <w:r>
        <w:rPr>
          <w:rFonts w:hint="eastAsia" w:ascii="仿宋" w:hAnsi="仿宋" w:eastAsia="仿宋" w:cs="仿宋"/>
          <w:color w:val="auto"/>
          <w:sz w:val="24"/>
          <w:szCs w:val="24"/>
        </w:rPr>
        <w:t xml:space="preserve">地点：政采云平台https://www.zcygov.cn/不见面开标 </w:t>
      </w:r>
    </w:p>
    <w:p w14:paraId="4044EE1D">
      <w:pPr>
        <w:pStyle w:val="5"/>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color w:val="auto"/>
          <w:sz w:val="24"/>
          <w:szCs w:val="24"/>
        </w:rPr>
      </w:pPr>
      <w:bookmarkStart w:id="27" w:name="_Toc35393634"/>
      <w:bookmarkStart w:id="28" w:name="_Toc35393803"/>
      <w:bookmarkStart w:id="29" w:name="_Toc23067"/>
      <w:bookmarkStart w:id="30" w:name="_Toc28359094"/>
      <w:bookmarkStart w:id="31" w:name="_Toc28359017"/>
      <w:r>
        <w:rPr>
          <w:rFonts w:hint="eastAsia" w:ascii="仿宋" w:hAnsi="仿宋" w:eastAsia="仿宋" w:cs="仿宋"/>
          <w:b w:val="0"/>
          <w:color w:val="auto"/>
          <w:sz w:val="24"/>
          <w:szCs w:val="24"/>
        </w:rPr>
        <w:t>六、公告期限</w:t>
      </w:r>
      <w:bookmarkEnd w:id="27"/>
      <w:bookmarkEnd w:id="28"/>
      <w:bookmarkEnd w:id="29"/>
      <w:bookmarkEnd w:id="30"/>
      <w:bookmarkEnd w:id="31"/>
    </w:p>
    <w:p w14:paraId="0FB0F7FE">
      <w:pPr>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个工作日。</w:t>
      </w:r>
    </w:p>
    <w:p w14:paraId="7F6DA7AA">
      <w:pPr>
        <w:pStyle w:val="5"/>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color w:val="auto"/>
          <w:sz w:val="24"/>
          <w:szCs w:val="24"/>
        </w:rPr>
      </w:pPr>
      <w:bookmarkStart w:id="32" w:name="_Toc14454"/>
      <w:bookmarkStart w:id="33" w:name="_Toc35393635"/>
      <w:bookmarkStart w:id="34" w:name="_Toc35393804"/>
      <w:r>
        <w:rPr>
          <w:rFonts w:hint="eastAsia" w:ascii="仿宋" w:hAnsi="仿宋" w:eastAsia="仿宋" w:cs="仿宋"/>
          <w:b w:val="0"/>
          <w:color w:val="auto"/>
          <w:sz w:val="24"/>
          <w:szCs w:val="24"/>
        </w:rPr>
        <w:t>七、其他补充事宜</w:t>
      </w:r>
      <w:bookmarkEnd w:id="32"/>
      <w:bookmarkEnd w:id="33"/>
      <w:bookmarkEnd w:id="34"/>
    </w:p>
    <w:p w14:paraId="47A6D6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1.本项目采用全流程不见面电子开评标，投标投标人需要使用CA加密设备，投标人可通过新疆数字证书认证中心官网（https://www.xjca.com.cn/）或下载“新疆政务通”APP自行进行申领。</w:t>
      </w:r>
    </w:p>
    <w:p w14:paraId="22886E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2.本项目实行网上投标，采用加密电子响应文件(投标人须使用CA加密设备通过政采云电子投标客户端制作响应文件)。若投标人参与投标，自行承担投标一切费用。</w:t>
      </w:r>
    </w:p>
    <w:p w14:paraId="11D1F3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投标人在开标前应确保成为新疆维吾尔自治区政府采购网正式注册入库投标人，(已在政采云平台其他省份入驻的投标人无须重复注册），并完成CA数字证书申领。因未注册入库、未办理CA数字证书等原因造成无法投标或投标失败等后果由投标人自行承担。</w:t>
      </w:r>
    </w:p>
    <w:p w14:paraId="74B820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12E9BE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5.投标人在开标时须使用制作加密电子响应文件所使用的CA锁及电脑，电脑须提前配置好浏览器（建议使用谷歌浏览器），以便开标时解锁。</w:t>
      </w:r>
    </w:p>
    <w:p w14:paraId="044CEB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投标人钉钉群号：政采云新疆投标人服务二十群：35547618、二十一群：44303812，钉钉工具软件具有回放功能，直播培训结束后可在钉钉群中回放观看学习。</w:t>
      </w:r>
    </w:p>
    <w:p w14:paraId="2D16D88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7.本项目招标公告在新疆政府采购网发布。</w:t>
      </w:r>
    </w:p>
    <w:p w14:paraId="36A702A6">
      <w:pPr>
        <w:pStyle w:val="5"/>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color w:val="auto"/>
          <w:sz w:val="24"/>
          <w:szCs w:val="24"/>
        </w:rPr>
      </w:pPr>
      <w:bookmarkStart w:id="35" w:name="_Toc28359095"/>
      <w:bookmarkStart w:id="36" w:name="_Toc28359018"/>
      <w:bookmarkStart w:id="37" w:name="_Toc35393805"/>
      <w:bookmarkStart w:id="38" w:name="_Toc35393636"/>
      <w:bookmarkStart w:id="39" w:name="_Toc25517"/>
      <w:r>
        <w:rPr>
          <w:rFonts w:hint="eastAsia" w:ascii="仿宋" w:hAnsi="仿宋" w:eastAsia="仿宋" w:cs="仿宋"/>
          <w:b w:val="0"/>
          <w:color w:val="auto"/>
          <w:sz w:val="24"/>
          <w:szCs w:val="24"/>
        </w:rPr>
        <w:t>八、凡对本</w:t>
      </w:r>
      <w:r>
        <w:rPr>
          <w:rFonts w:hint="eastAsia" w:ascii="仿宋" w:hAnsi="仿宋" w:eastAsia="仿宋" w:cs="仿宋"/>
          <w:color w:val="auto"/>
          <w:sz w:val="24"/>
          <w:szCs w:val="24"/>
          <w:lang w:val="en-US" w:eastAsia="zh-CN" w:bidi="ar-SA"/>
        </w:rPr>
        <w:t>次采购提出询问，请按以下</w:t>
      </w:r>
      <w:r>
        <w:rPr>
          <w:rFonts w:hint="eastAsia" w:ascii="仿宋" w:hAnsi="仿宋" w:eastAsia="仿宋" w:cs="仿宋"/>
          <w:b w:val="0"/>
          <w:color w:val="auto"/>
          <w:sz w:val="24"/>
          <w:szCs w:val="24"/>
        </w:rPr>
        <w:t>方式联系。</w:t>
      </w:r>
      <w:bookmarkEnd w:id="35"/>
      <w:bookmarkEnd w:id="36"/>
      <w:bookmarkEnd w:id="37"/>
      <w:bookmarkEnd w:id="38"/>
      <w:bookmarkEnd w:id="39"/>
    </w:p>
    <w:p w14:paraId="383C764C">
      <w:pPr>
        <w:bidi w:val="0"/>
        <w:rPr>
          <w:rFonts w:hint="eastAsia" w:ascii="仿宋" w:hAnsi="仿宋" w:eastAsia="仿宋" w:cs="仿宋"/>
        </w:rPr>
      </w:pPr>
      <w:bookmarkStart w:id="40" w:name="_Toc35393637"/>
      <w:bookmarkStart w:id="41" w:name="_Toc2270"/>
      <w:bookmarkStart w:id="42" w:name="_Toc35393806"/>
      <w:bookmarkStart w:id="43" w:name="_Toc28359096"/>
      <w:bookmarkStart w:id="44" w:name="_Toc28359019"/>
      <w:r>
        <w:rPr>
          <w:rFonts w:hint="eastAsia" w:ascii="仿宋" w:hAnsi="仿宋" w:eastAsia="仿宋" w:cs="仿宋"/>
        </w:rPr>
        <w:t>1.采购人信息</w:t>
      </w:r>
      <w:bookmarkEnd w:id="40"/>
      <w:bookmarkEnd w:id="41"/>
      <w:bookmarkEnd w:id="42"/>
      <w:bookmarkEnd w:id="43"/>
      <w:bookmarkEnd w:id="44"/>
    </w:p>
    <w:p w14:paraId="66EA93D3">
      <w:pPr>
        <w:spacing w:line="360" w:lineRule="auto"/>
        <w:ind w:left="1190" w:leftChars="371" w:hanging="300" w:hangingChars="125"/>
        <w:jc w:val="left"/>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t>名    称：</w:t>
      </w:r>
      <w:r>
        <w:rPr>
          <w:rFonts w:hint="eastAsia" w:ascii="仿宋" w:hAnsi="仿宋" w:eastAsia="仿宋" w:cs="仿宋"/>
          <w:color w:val="000000" w:themeColor="text1"/>
          <w:kern w:val="2"/>
          <w:sz w:val="24"/>
          <w:szCs w:val="24"/>
          <w:u w:val="single"/>
          <w:lang w:val="en-US" w:eastAsia="zh-CN" w:bidi="ar-SA"/>
          <w14:textFill>
            <w14:solidFill>
              <w14:schemeClr w14:val="tx1"/>
            </w14:solidFill>
          </w14:textFill>
        </w:rPr>
        <w:t>昌吉市自然资源局　　</w:t>
      </w:r>
    </w:p>
    <w:p w14:paraId="45889051">
      <w:pPr>
        <w:spacing w:line="360" w:lineRule="auto"/>
        <w:ind w:left="1190" w:leftChars="371" w:hanging="300" w:hangingChars="125"/>
        <w:jc w:val="left"/>
        <w:rPr>
          <w:rFonts w:hint="eastAsia" w:ascii="仿宋" w:hAnsi="仿宋" w:eastAsia="仿宋" w:cs="仿宋"/>
          <w:color w:val="000000" w:themeColor="text1"/>
          <w:kern w:val="2"/>
          <w:sz w:val="24"/>
          <w:szCs w:val="24"/>
          <w:u w:val="single"/>
          <w:lang w:val="en-US" w:eastAsia="zh-CN" w:bidi="ar-SA"/>
          <w14:textFill>
            <w14:solidFill>
              <w14:schemeClr w14:val="tx1"/>
            </w14:solidFill>
          </w14:textFill>
        </w:rPr>
      </w:pPr>
      <w: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t>地    址：</w:t>
      </w:r>
      <w:r>
        <w:rPr>
          <w:rFonts w:hint="eastAsia" w:ascii="仿宋" w:hAnsi="仿宋" w:eastAsia="仿宋" w:cs="仿宋"/>
          <w:color w:val="000000" w:themeColor="text1"/>
          <w:kern w:val="2"/>
          <w:sz w:val="24"/>
          <w:szCs w:val="24"/>
          <w:u w:val="single"/>
          <w:lang w:val="en-US" w:eastAsia="zh-CN" w:bidi="ar-SA"/>
          <w14:textFill>
            <w14:solidFill>
              <w14:schemeClr w14:val="tx1"/>
            </w14:solidFill>
          </w14:textFill>
        </w:rPr>
        <w:t>昌吉市新区综合办公楼石河子西路104号</w:t>
      </w:r>
    </w:p>
    <w:p w14:paraId="7DB4C018">
      <w:pPr>
        <w:spacing w:line="360" w:lineRule="auto"/>
        <w:ind w:left="1190" w:leftChars="371" w:hanging="300" w:hangingChars="125"/>
        <w:jc w:val="left"/>
        <w:rPr>
          <w:rFonts w:hint="eastAsia" w:ascii="仿宋" w:hAnsi="仿宋" w:eastAsia="仿宋" w:cs="仿宋"/>
          <w:color w:val="000000" w:themeColor="text1"/>
          <w:kern w:val="2"/>
          <w:sz w:val="24"/>
          <w:szCs w:val="24"/>
          <w:u w:val="single"/>
          <w:lang w:val="en-US" w:eastAsia="zh-CN" w:bidi="ar-SA"/>
          <w14:textFill>
            <w14:solidFill>
              <w14:schemeClr w14:val="tx1"/>
            </w14:solidFill>
          </w14:textFill>
        </w:rPr>
      </w:pPr>
      <w: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t>联系方式：</w:t>
      </w:r>
      <w:r>
        <w:rPr>
          <w:rFonts w:hint="eastAsia" w:ascii="仿宋" w:hAnsi="仿宋" w:eastAsia="仿宋" w:cs="仿宋"/>
          <w:color w:val="000000" w:themeColor="text1"/>
          <w:kern w:val="2"/>
          <w:sz w:val="24"/>
          <w:szCs w:val="24"/>
          <w:u w:val="single"/>
          <w:lang w:val="en-US" w:eastAsia="zh-CN" w:bidi="ar-SA"/>
          <w14:textFill>
            <w14:solidFill>
              <w14:schemeClr w14:val="tx1"/>
            </w14:solidFill>
          </w14:textFill>
        </w:rPr>
        <w:t xml:space="preserve">　15299636622　　　　 　　　 </w:t>
      </w:r>
    </w:p>
    <w:p w14:paraId="07148591">
      <w:pPr>
        <w:bidi w:val="0"/>
        <w:rPr>
          <w:rFonts w:hint="eastAsia" w:ascii="仿宋" w:hAnsi="仿宋" w:eastAsia="仿宋" w:cs="仿宋"/>
        </w:rPr>
      </w:pPr>
      <w:bookmarkStart w:id="45" w:name="_Toc28359020"/>
      <w:bookmarkStart w:id="46" w:name="_Toc35393638"/>
      <w:bookmarkStart w:id="47" w:name="_Toc28359097"/>
      <w:bookmarkStart w:id="48" w:name="_Toc27487"/>
      <w:bookmarkStart w:id="49" w:name="_Toc35393807"/>
      <w:r>
        <w:rPr>
          <w:rFonts w:hint="eastAsia" w:ascii="仿宋" w:hAnsi="仿宋" w:eastAsia="仿宋" w:cs="仿宋"/>
        </w:rPr>
        <w:t>2.采购代理机构信息</w:t>
      </w:r>
      <w:bookmarkEnd w:id="45"/>
      <w:bookmarkEnd w:id="46"/>
      <w:bookmarkEnd w:id="47"/>
      <w:bookmarkEnd w:id="48"/>
      <w:bookmarkEnd w:id="49"/>
    </w:p>
    <w:p w14:paraId="550F64EF">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u w:val="single"/>
          <w:lang w:val="en-US" w:eastAsia="zh-CN"/>
        </w:rPr>
      </w:pPr>
      <w:bookmarkStart w:id="50" w:name="_Toc28359021"/>
      <w:bookmarkStart w:id="51" w:name="_Toc28359098"/>
      <w:bookmarkStart w:id="52" w:name="_Toc35393808"/>
      <w:bookmarkStart w:id="53" w:name="_Toc35393639"/>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新疆信实工程招标咨询服务有限公司</w:t>
      </w:r>
      <w:r>
        <w:rPr>
          <w:rFonts w:hint="eastAsia" w:ascii="仿宋" w:hAnsi="仿宋" w:eastAsia="仿宋" w:cs="仿宋"/>
          <w:color w:val="auto"/>
          <w:sz w:val="24"/>
          <w:szCs w:val="24"/>
          <w:u w:val="single"/>
          <w:lang w:val="en-US" w:eastAsia="zh-CN"/>
        </w:rPr>
        <w:t xml:space="preserve">    </w:t>
      </w:r>
    </w:p>
    <w:p w14:paraId="60D30846">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昌吉市建国西路和谐国际广场A座1406室</w:t>
      </w:r>
    </w:p>
    <w:p w14:paraId="432C644B">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lang w:eastAsia="zh-CN"/>
        </w:rPr>
        <w:t>17599753335</w:t>
      </w:r>
      <w:r>
        <w:rPr>
          <w:rFonts w:hint="eastAsia" w:ascii="仿宋" w:hAnsi="仿宋" w:eastAsia="仿宋" w:cs="仿宋"/>
          <w:color w:val="auto"/>
          <w:sz w:val="24"/>
          <w:szCs w:val="24"/>
          <w:u w:val="single"/>
          <w:lang w:val="en-US" w:eastAsia="zh-CN"/>
        </w:rPr>
        <w:t xml:space="preserve">              </w:t>
      </w:r>
    </w:p>
    <w:p w14:paraId="7D1704B5">
      <w:pPr>
        <w:bidi w:val="0"/>
        <w:rPr>
          <w:rFonts w:hint="eastAsia" w:ascii="仿宋" w:hAnsi="仿宋" w:eastAsia="仿宋" w:cs="仿宋"/>
        </w:rPr>
      </w:pPr>
      <w:bookmarkStart w:id="54" w:name="_Toc11601"/>
      <w:r>
        <w:rPr>
          <w:rFonts w:hint="eastAsia" w:ascii="仿宋" w:hAnsi="仿宋" w:eastAsia="仿宋" w:cs="仿宋"/>
        </w:rPr>
        <w:t>3.项目联系方式</w:t>
      </w:r>
      <w:bookmarkEnd w:id="50"/>
      <w:bookmarkEnd w:id="51"/>
      <w:bookmarkEnd w:id="52"/>
      <w:bookmarkEnd w:id="53"/>
      <w:bookmarkEnd w:id="54"/>
    </w:p>
    <w:p w14:paraId="067BA993">
      <w:pPr>
        <w:pStyle w:val="14"/>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项目联系人：</w:t>
      </w:r>
      <w:r>
        <w:rPr>
          <w:rFonts w:hint="eastAsia" w:ascii="仿宋" w:hAnsi="仿宋" w:eastAsia="仿宋" w:cs="仿宋"/>
          <w:color w:val="auto"/>
          <w:kern w:val="2"/>
          <w:sz w:val="24"/>
          <w:szCs w:val="24"/>
          <w:u w:val="single"/>
          <w:lang w:val="en-US" w:eastAsia="zh-CN" w:bidi="ar-SA"/>
        </w:rPr>
        <w:t>许培培</w:t>
      </w:r>
      <w:r>
        <w:rPr>
          <w:rFonts w:hint="eastAsia" w:ascii="仿宋" w:hAnsi="仿宋" w:eastAsia="仿宋" w:cs="仿宋"/>
          <w:b w:val="0"/>
          <w:bCs w:val="0"/>
          <w:color w:val="auto"/>
          <w:kern w:val="2"/>
          <w:sz w:val="24"/>
          <w:szCs w:val="24"/>
          <w:u w:val="single"/>
          <w:lang w:val="en-US" w:eastAsia="zh-CN" w:bidi="ar-SA"/>
        </w:rPr>
        <w:t xml:space="preserve">    </w:t>
      </w:r>
    </w:p>
    <w:p w14:paraId="0BEF535A">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lang w:eastAsia="zh-CN"/>
        </w:rPr>
        <w:t>17599753335</w:t>
      </w:r>
      <w:r>
        <w:rPr>
          <w:rFonts w:hint="eastAsia" w:ascii="仿宋" w:hAnsi="仿宋" w:eastAsia="仿宋" w:cs="仿宋"/>
          <w:color w:val="auto"/>
          <w:sz w:val="24"/>
          <w:szCs w:val="24"/>
          <w:u w:val="single"/>
        </w:rPr>
        <w:t>　</w:t>
      </w:r>
    </w:p>
    <w:p w14:paraId="57EDEF42">
      <w:pPr>
        <w:pStyle w:val="6"/>
        <w:rPr>
          <w:rFonts w:hint="eastAsia" w:ascii="仿宋" w:hAnsi="仿宋" w:eastAsia="仿宋" w:cs="仿宋"/>
        </w:rPr>
        <w:sectPr>
          <w:footerReference r:id="rId8" w:type="default"/>
          <w:pgSz w:w="11900" w:h="16840"/>
          <w:pgMar w:top="1431" w:right="1394" w:bottom="1145" w:left="1640" w:header="0" w:footer="840" w:gutter="0"/>
          <w:pgNumType w:fmt="decimal"/>
          <w:cols w:space="720" w:num="1"/>
        </w:sectPr>
      </w:pPr>
    </w:p>
    <w:bookmarkEnd w:id="18"/>
    <w:bookmarkEnd w:id="19"/>
    <w:p w14:paraId="4CAE3A54">
      <w:pPr>
        <w:pStyle w:val="4"/>
        <w:bidi w:val="0"/>
        <w:rPr>
          <w:rFonts w:hint="eastAsia" w:ascii="仿宋" w:hAnsi="仿宋" w:eastAsia="仿宋" w:cs="仿宋"/>
        </w:rPr>
      </w:pPr>
      <w:bookmarkStart w:id="55" w:name="_Toc19472"/>
      <w:bookmarkStart w:id="56" w:name="_Toc18847"/>
      <w:bookmarkStart w:id="57" w:name="_Toc9127"/>
      <w:bookmarkStart w:id="58" w:name="_Toc18919"/>
      <w:bookmarkStart w:id="59" w:name="_Toc19319"/>
      <w:bookmarkStart w:id="60" w:name="_Toc7261"/>
      <w:bookmarkStart w:id="61" w:name="_Toc11243"/>
      <w:bookmarkStart w:id="62" w:name="_Toc25240"/>
      <w:bookmarkStart w:id="63" w:name="_Toc29018"/>
      <w:bookmarkStart w:id="64" w:name="_Toc7292"/>
      <w:bookmarkStart w:id="65" w:name="_Toc22979"/>
      <w:r>
        <w:rPr>
          <w:rFonts w:hint="eastAsia" w:ascii="仿宋" w:hAnsi="仿宋" w:eastAsia="仿宋" w:cs="仿宋"/>
        </w:rPr>
        <w:t xml:space="preserve">第二章 </w:t>
      </w:r>
      <w:bookmarkEnd w:id="1"/>
      <w:r>
        <w:rPr>
          <w:rFonts w:hint="eastAsia" w:ascii="仿宋" w:hAnsi="仿宋" w:eastAsia="仿宋" w:cs="仿宋"/>
          <w:lang w:eastAsia="zh-CN"/>
        </w:rPr>
        <w:t>供应商</w:t>
      </w:r>
      <w:r>
        <w:rPr>
          <w:rFonts w:hint="eastAsia" w:ascii="仿宋" w:hAnsi="仿宋" w:eastAsia="仿宋" w:cs="仿宋"/>
        </w:rPr>
        <w:t>须知</w:t>
      </w:r>
      <w:bookmarkEnd w:id="55"/>
      <w:bookmarkEnd w:id="56"/>
      <w:bookmarkEnd w:id="57"/>
      <w:bookmarkEnd w:id="58"/>
      <w:bookmarkEnd w:id="59"/>
      <w:bookmarkEnd w:id="60"/>
      <w:bookmarkEnd w:id="61"/>
      <w:bookmarkEnd w:id="62"/>
      <w:bookmarkEnd w:id="63"/>
      <w:bookmarkEnd w:id="64"/>
      <w:bookmarkEnd w:id="65"/>
    </w:p>
    <w:p w14:paraId="4D37530F">
      <w:pPr>
        <w:pStyle w:val="5"/>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color w:val="auto"/>
          <w:sz w:val="24"/>
          <w:szCs w:val="24"/>
        </w:rPr>
      </w:pPr>
      <w:bookmarkStart w:id="66" w:name="_Toc4694"/>
      <w:bookmarkStart w:id="67" w:name="_Toc26575"/>
      <w:bookmarkStart w:id="68" w:name="_Toc23834"/>
      <w:bookmarkStart w:id="69" w:name="_Toc213496268"/>
      <w:bookmarkStart w:id="70" w:name="_Toc6338"/>
      <w:bookmarkStart w:id="71" w:name="_Toc6148"/>
      <w:bookmarkStart w:id="72" w:name="_Toc19806"/>
      <w:bookmarkStart w:id="73" w:name="_Toc217446032"/>
      <w:bookmarkStart w:id="74" w:name="_Toc213396760"/>
      <w:bookmarkStart w:id="75" w:name="_Toc8002"/>
      <w:bookmarkStart w:id="76" w:name="_Toc189727030"/>
      <w:bookmarkStart w:id="77" w:name="_Toc12213"/>
      <w:bookmarkStart w:id="78" w:name="_Toc213396946"/>
      <w:bookmarkStart w:id="79" w:name="_Toc2273"/>
      <w:bookmarkStart w:id="80" w:name="_Toc213397010"/>
      <w:r>
        <w:rPr>
          <w:rFonts w:hint="eastAsia" w:ascii="仿宋" w:hAnsi="仿宋" w:eastAsia="仿宋" w:cs="仿宋"/>
          <w:b w:val="0"/>
          <w:color w:val="auto"/>
          <w:sz w:val="24"/>
          <w:szCs w:val="24"/>
        </w:rPr>
        <w:t>一、须知前附表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2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88"/>
        <w:gridCol w:w="7044"/>
      </w:tblGrid>
      <w:tr w14:paraId="2270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7C1A19F">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序号</w:t>
            </w:r>
          </w:p>
        </w:tc>
        <w:tc>
          <w:tcPr>
            <w:tcW w:w="1888" w:type="dxa"/>
            <w:vAlign w:val="center"/>
          </w:tcPr>
          <w:p w14:paraId="052EF5AC">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名 称</w:t>
            </w:r>
          </w:p>
        </w:tc>
        <w:tc>
          <w:tcPr>
            <w:tcW w:w="7044" w:type="dxa"/>
            <w:vAlign w:val="center"/>
          </w:tcPr>
          <w:p w14:paraId="7B727294">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内   容</w:t>
            </w:r>
          </w:p>
        </w:tc>
      </w:tr>
      <w:tr w14:paraId="4AA8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DFCF436">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1</w:t>
            </w:r>
          </w:p>
        </w:tc>
        <w:tc>
          <w:tcPr>
            <w:tcW w:w="1888" w:type="dxa"/>
            <w:vAlign w:val="center"/>
          </w:tcPr>
          <w:p w14:paraId="5B989028">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采购人</w:t>
            </w:r>
          </w:p>
        </w:tc>
        <w:tc>
          <w:tcPr>
            <w:tcW w:w="7044" w:type="dxa"/>
            <w:vAlign w:val="center"/>
          </w:tcPr>
          <w:p w14:paraId="6071408C">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单位名称：昌吉市自然资源局</w:t>
            </w:r>
          </w:p>
          <w:p w14:paraId="69682557">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联系人：李先生</w:t>
            </w:r>
          </w:p>
          <w:p w14:paraId="0AA68D52">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联系电话：15299636622</w:t>
            </w:r>
          </w:p>
        </w:tc>
      </w:tr>
      <w:tr w14:paraId="4834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22350A6">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2</w:t>
            </w:r>
          </w:p>
        </w:tc>
        <w:tc>
          <w:tcPr>
            <w:tcW w:w="1888" w:type="dxa"/>
            <w:vAlign w:val="center"/>
          </w:tcPr>
          <w:p w14:paraId="58AEEF43">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采购代理机构</w:t>
            </w:r>
          </w:p>
        </w:tc>
        <w:tc>
          <w:tcPr>
            <w:tcW w:w="7044" w:type="dxa"/>
            <w:vAlign w:val="center"/>
          </w:tcPr>
          <w:p w14:paraId="5E8368BA">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单位名称：新疆信实工程招标咨询服务有限公司</w:t>
            </w:r>
          </w:p>
          <w:p w14:paraId="7F4B49FF">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rPr>
              <w:t>联 系 人：</w:t>
            </w:r>
            <w:r>
              <w:rPr>
                <w:rFonts w:hint="eastAsia" w:ascii="仿宋" w:hAnsi="仿宋" w:eastAsia="仿宋" w:cs="仿宋"/>
                <w:color w:val="auto"/>
                <w:kern w:val="2"/>
                <w:sz w:val="22"/>
                <w:szCs w:val="22"/>
                <w:lang w:eastAsia="zh-CN"/>
              </w:rPr>
              <w:t>许培培</w:t>
            </w:r>
          </w:p>
          <w:p w14:paraId="26CBD52A">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rPr>
              <w:t>电    话：</w:t>
            </w:r>
            <w:r>
              <w:rPr>
                <w:rFonts w:hint="eastAsia" w:ascii="仿宋" w:hAnsi="仿宋" w:eastAsia="仿宋" w:cs="仿宋"/>
                <w:color w:val="auto"/>
                <w:kern w:val="2"/>
                <w:sz w:val="22"/>
                <w:szCs w:val="22"/>
                <w:lang w:eastAsia="zh-CN"/>
              </w:rPr>
              <w:t>17599753335</w:t>
            </w:r>
          </w:p>
          <w:p w14:paraId="464332B8">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地    址：新疆昌吉市建国西路和谐广场A座1406室</w:t>
            </w:r>
          </w:p>
        </w:tc>
      </w:tr>
      <w:tr w14:paraId="3490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5536C3B">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3</w:t>
            </w:r>
          </w:p>
        </w:tc>
        <w:tc>
          <w:tcPr>
            <w:tcW w:w="1888" w:type="dxa"/>
            <w:vAlign w:val="center"/>
          </w:tcPr>
          <w:p w14:paraId="4B4A61A5">
            <w:pPr>
              <w:adjustRightInd w:val="0"/>
              <w:snapToGrid w:val="0"/>
              <w:spacing w:line="400" w:lineRule="exact"/>
              <w:ind w:firstLine="0" w:firstLineChars="0"/>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rPr>
              <w:t>项目</w:t>
            </w:r>
            <w:r>
              <w:rPr>
                <w:rFonts w:hint="eastAsia" w:ascii="仿宋" w:hAnsi="仿宋" w:eastAsia="仿宋" w:cs="仿宋"/>
                <w:color w:val="auto"/>
                <w:kern w:val="2"/>
                <w:sz w:val="22"/>
                <w:szCs w:val="22"/>
                <w:lang w:eastAsia="zh-CN"/>
              </w:rPr>
              <w:t>名称</w:t>
            </w:r>
          </w:p>
        </w:tc>
        <w:tc>
          <w:tcPr>
            <w:tcW w:w="7044" w:type="dxa"/>
            <w:vAlign w:val="center"/>
          </w:tcPr>
          <w:p w14:paraId="31456136">
            <w:pPr>
              <w:adjustRightInd w:val="0"/>
              <w:snapToGrid w:val="0"/>
              <w:spacing w:line="400" w:lineRule="exact"/>
              <w:ind w:firstLine="0" w:firstLineChars="0"/>
              <w:jc w:val="left"/>
              <w:rPr>
                <w:rFonts w:hint="eastAsia" w:ascii="仿宋" w:hAnsi="仿宋" w:eastAsia="仿宋" w:cs="仿宋"/>
                <w:lang w:eastAsia="zh-CN"/>
              </w:rPr>
            </w:pPr>
            <w:r>
              <w:rPr>
                <w:rFonts w:hint="eastAsia" w:ascii="仿宋" w:hAnsi="仿宋" w:eastAsia="仿宋" w:cs="仿宋"/>
                <w:color w:val="auto"/>
                <w:kern w:val="2"/>
                <w:sz w:val="22"/>
                <w:szCs w:val="22"/>
                <w:lang w:eastAsia="zh-CN"/>
              </w:rPr>
              <w:t>昌吉市自然资源局购买服务项目第二标段-昌吉市国有农用地（耕地、园地）规范管理专项工作技术服务项目</w:t>
            </w:r>
          </w:p>
        </w:tc>
      </w:tr>
      <w:tr w14:paraId="1AAE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4C7CC5B">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4</w:t>
            </w:r>
          </w:p>
        </w:tc>
        <w:tc>
          <w:tcPr>
            <w:tcW w:w="1888" w:type="dxa"/>
            <w:vAlign w:val="center"/>
          </w:tcPr>
          <w:p w14:paraId="728F2C39">
            <w:pPr>
              <w:adjustRightInd w:val="0"/>
              <w:snapToGrid w:val="0"/>
              <w:spacing w:line="400" w:lineRule="exact"/>
              <w:ind w:firstLine="0" w:firstLineChars="0"/>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招标编号</w:t>
            </w:r>
          </w:p>
        </w:tc>
        <w:tc>
          <w:tcPr>
            <w:tcW w:w="7044" w:type="dxa"/>
            <w:vAlign w:val="center"/>
          </w:tcPr>
          <w:p w14:paraId="785588C4">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eastAsia="zh-CN"/>
              </w:rPr>
              <w:t>项目编号：W-XJXSZB2025-15-FW</w:t>
            </w:r>
          </w:p>
        </w:tc>
      </w:tr>
      <w:tr w14:paraId="5FF1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Merge w:val="restart"/>
            <w:vAlign w:val="center"/>
          </w:tcPr>
          <w:p w14:paraId="7282A56E">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5</w:t>
            </w:r>
          </w:p>
        </w:tc>
        <w:tc>
          <w:tcPr>
            <w:tcW w:w="1888" w:type="dxa"/>
            <w:vMerge w:val="restart"/>
            <w:vAlign w:val="center"/>
          </w:tcPr>
          <w:p w14:paraId="49639A9B">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资金来源、预算金额及采购最高限价</w:t>
            </w:r>
          </w:p>
        </w:tc>
        <w:tc>
          <w:tcPr>
            <w:tcW w:w="7044" w:type="dxa"/>
            <w:vAlign w:val="center"/>
          </w:tcPr>
          <w:p w14:paraId="67625000">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rPr>
              <w:t>本项目资金来源为：</w:t>
            </w:r>
            <w:r>
              <w:rPr>
                <w:rFonts w:hint="eastAsia" w:ascii="仿宋" w:hAnsi="仿宋" w:eastAsia="仿宋" w:cs="仿宋"/>
                <w:color w:val="auto"/>
                <w:kern w:val="2"/>
                <w:sz w:val="22"/>
                <w:szCs w:val="22"/>
                <w:lang w:eastAsia="zh-CN"/>
              </w:rPr>
              <w:t>财政资金</w:t>
            </w:r>
          </w:p>
        </w:tc>
      </w:tr>
      <w:tr w14:paraId="3C6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Merge w:val="continue"/>
            <w:vAlign w:val="center"/>
          </w:tcPr>
          <w:p w14:paraId="29247C85">
            <w:pPr>
              <w:adjustRightInd w:val="0"/>
              <w:snapToGrid w:val="0"/>
              <w:spacing w:line="400" w:lineRule="exact"/>
              <w:ind w:firstLine="0" w:firstLineChars="0"/>
              <w:jc w:val="center"/>
              <w:rPr>
                <w:rFonts w:hint="eastAsia" w:ascii="仿宋" w:hAnsi="仿宋" w:eastAsia="仿宋" w:cs="仿宋"/>
                <w:color w:val="auto"/>
                <w:kern w:val="2"/>
                <w:sz w:val="22"/>
                <w:szCs w:val="22"/>
              </w:rPr>
            </w:pPr>
          </w:p>
        </w:tc>
        <w:tc>
          <w:tcPr>
            <w:tcW w:w="1888" w:type="dxa"/>
            <w:vMerge w:val="continue"/>
            <w:vAlign w:val="center"/>
          </w:tcPr>
          <w:p w14:paraId="524671B6">
            <w:pPr>
              <w:adjustRightInd w:val="0"/>
              <w:snapToGrid w:val="0"/>
              <w:spacing w:line="400" w:lineRule="exact"/>
              <w:ind w:firstLine="0" w:firstLineChars="0"/>
              <w:jc w:val="center"/>
              <w:rPr>
                <w:rFonts w:hint="eastAsia" w:ascii="仿宋" w:hAnsi="仿宋" w:eastAsia="仿宋" w:cs="仿宋"/>
                <w:color w:val="auto"/>
                <w:kern w:val="2"/>
                <w:sz w:val="22"/>
                <w:szCs w:val="22"/>
              </w:rPr>
            </w:pPr>
          </w:p>
        </w:tc>
        <w:tc>
          <w:tcPr>
            <w:tcW w:w="7044" w:type="dxa"/>
            <w:vAlign w:val="center"/>
          </w:tcPr>
          <w:p w14:paraId="2DF7E32E">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预算金额：750000.00元；</w:t>
            </w:r>
          </w:p>
          <w:p w14:paraId="59D0E26E">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最高限价：750000.00元</w:t>
            </w:r>
          </w:p>
          <w:p w14:paraId="4B63C52E">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投标总报价不得高于此价格，否则响应文件做无效投标处理。</w:t>
            </w:r>
          </w:p>
        </w:tc>
      </w:tr>
      <w:tr w14:paraId="5DB0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846EE4C">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6</w:t>
            </w:r>
          </w:p>
        </w:tc>
        <w:tc>
          <w:tcPr>
            <w:tcW w:w="1888" w:type="dxa"/>
            <w:vAlign w:val="center"/>
          </w:tcPr>
          <w:p w14:paraId="37DFC509">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招标范围</w:t>
            </w:r>
          </w:p>
        </w:tc>
        <w:tc>
          <w:tcPr>
            <w:tcW w:w="7044" w:type="dxa"/>
            <w:vAlign w:val="center"/>
          </w:tcPr>
          <w:p w14:paraId="0B39F554">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磋商文件</w:t>
            </w:r>
            <w:r>
              <w:rPr>
                <w:rFonts w:hint="eastAsia" w:ascii="仿宋" w:hAnsi="仿宋" w:eastAsia="仿宋" w:cs="仿宋"/>
                <w:color w:val="auto"/>
                <w:kern w:val="2"/>
                <w:sz w:val="22"/>
                <w:szCs w:val="22"/>
              </w:rPr>
              <w:t>范围内的全部内容</w:t>
            </w:r>
          </w:p>
        </w:tc>
      </w:tr>
      <w:tr w14:paraId="1EA9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550476F">
            <w:pPr>
              <w:adjustRightInd w:val="0"/>
              <w:snapToGrid w:val="0"/>
              <w:spacing w:line="400" w:lineRule="exact"/>
              <w:ind w:left="0" w:leftChars="0" w:right="0" w:righ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7</w:t>
            </w:r>
          </w:p>
        </w:tc>
        <w:tc>
          <w:tcPr>
            <w:tcW w:w="1888" w:type="dxa"/>
            <w:vAlign w:val="center"/>
          </w:tcPr>
          <w:p w14:paraId="14FFC87A">
            <w:pPr>
              <w:adjustRightInd w:val="0"/>
              <w:snapToGrid w:val="0"/>
              <w:spacing w:line="400" w:lineRule="exact"/>
              <w:ind w:firstLine="0" w:firstLineChars="0"/>
              <w:jc w:val="center"/>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付款方式</w:t>
            </w:r>
          </w:p>
        </w:tc>
        <w:tc>
          <w:tcPr>
            <w:tcW w:w="7044" w:type="dxa"/>
            <w:vAlign w:val="center"/>
          </w:tcPr>
          <w:p w14:paraId="332C47F2">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签订合同时约定</w:t>
            </w:r>
          </w:p>
        </w:tc>
      </w:tr>
      <w:tr w14:paraId="4A3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0784847">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8</w:t>
            </w:r>
          </w:p>
        </w:tc>
        <w:tc>
          <w:tcPr>
            <w:tcW w:w="1888" w:type="dxa"/>
            <w:vAlign w:val="center"/>
          </w:tcPr>
          <w:p w14:paraId="62B665BE">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采购内容</w:t>
            </w:r>
          </w:p>
        </w:tc>
        <w:tc>
          <w:tcPr>
            <w:tcW w:w="7044" w:type="dxa"/>
            <w:vAlign w:val="center"/>
          </w:tcPr>
          <w:p w14:paraId="7D77F9A0">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详见本磋商文件第六章采购需求。</w:t>
            </w:r>
          </w:p>
        </w:tc>
      </w:tr>
      <w:tr w14:paraId="1744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A43648F">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9</w:t>
            </w:r>
          </w:p>
        </w:tc>
        <w:tc>
          <w:tcPr>
            <w:tcW w:w="1888" w:type="dxa"/>
            <w:vAlign w:val="center"/>
          </w:tcPr>
          <w:p w14:paraId="03B24FA7">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合同履约期限</w:t>
            </w:r>
          </w:p>
        </w:tc>
        <w:tc>
          <w:tcPr>
            <w:tcW w:w="7044" w:type="dxa"/>
            <w:vAlign w:val="center"/>
          </w:tcPr>
          <w:p w14:paraId="0F70796B">
            <w:pPr>
              <w:adjustRightInd w:val="0"/>
              <w:snapToGrid w:val="0"/>
              <w:spacing w:line="400" w:lineRule="exact"/>
              <w:ind w:firstLine="0" w:firstLineChars="0"/>
              <w:jc w:val="left"/>
              <w:rPr>
                <w:rFonts w:hint="default" w:ascii="仿宋" w:hAnsi="仿宋" w:eastAsia="仿宋" w:cs="仿宋"/>
                <w:color w:val="auto"/>
                <w:kern w:val="2"/>
                <w:sz w:val="22"/>
                <w:szCs w:val="22"/>
                <w:lang w:val="en-US" w:eastAsia="zh-CN"/>
              </w:rPr>
            </w:pPr>
            <w:r>
              <w:rPr>
                <w:rFonts w:hint="default" w:ascii="仿宋" w:hAnsi="仿宋" w:eastAsia="仿宋" w:cs="仿宋"/>
                <w:color w:val="auto"/>
                <w:kern w:val="2"/>
                <w:sz w:val="22"/>
                <w:szCs w:val="22"/>
                <w:lang w:val="en-US" w:eastAsia="zh-CN"/>
              </w:rPr>
              <w:t>2025年6月30日前提交成果。</w:t>
            </w:r>
          </w:p>
        </w:tc>
      </w:tr>
      <w:tr w14:paraId="4DDB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15AD655">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10</w:t>
            </w:r>
          </w:p>
        </w:tc>
        <w:tc>
          <w:tcPr>
            <w:tcW w:w="1888" w:type="dxa"/>
            <w:vAlign w:val="center"/>
          </w:tcPr>
          <w:p w14:paraId="29409183">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lang w:eastAsia="zh-CN"/>
              </w:rPr>
            </w:pPr>
            <w:r>
              <w:rPr>
                <w:rFonts w:hint="eastAsia" w:ascii="仿宋" w:hAnsi="仿宋" w:eastAsia="仿宋" w:cs="仿宋"/>
                <w:color w:val="auto"/>
                <w:kern w:val="2"/>
                <w:sz w:val="22"/>
                <w:szCs w:val="22"/>
                <w:highlight w:val="none"/>
                <w:lang w:eastAsia="zh-CN"/>
              </w:rPr>
              <w:t>服务标准</w:t>
            </w:r>
          </w:p>
        </w:tc>
        <w:tc>
          <w:tcPr>
            <w:tcW w:w="7044" w:type="dxa"/>
            <w:vAlign w:val="center"/>
          </w:tcPr>
          <w:p w14:paraId="40C9ED80">
            <w:pPr>
              <w:adjustRightInd w:val="0"/>
              <w:snapToGrid w:val="0"/>
              <w:spacing w:line="400" w:lineRule="exact"/>
              <w:ind w:firstLine="0" w:firstLineChars="0"/>
              <w:jc w:val="left"/>
              <w:rPr>
                <w:rFonts w:hint="eastAsia" w:ascii="仿宋" w:hAnsi="仿宋" w:eastAsia="仿宋" w:cs="仿宋"/>
                <w:color w:val="auto"/>
                <w:kern w:val="2"/>
                <w:sz w:val="22"/>
                <w:szCs w:val="22"/>
                <w:highlight w:val="none"/>
                <w:lang w:val="en-US" w:eastAsia="zh-CN"/>
              </w:rPr>
            </w:pPr>
            <w:r>
              <w:rPr>
                <w:rFonts w:hint="eastAsia" w:ascii="仿宋" w:hAnsi="仿宋" w:eastAsia="仿宋" w:cs="仿宋"/>
                <w:color w:val="auto"/>
                <w:kern w:val="2"/>
                <w:sz w:val="22"/>
                <w:szCs w:val="22"/>
                <w:highlight w:val="none"/>
                <w:lang w:val="en-US" w:eastAsia="zh-CN"/>
              </w:rPr>
              <w:t>达到现行国家质量验收规范合格标准，满足采购人要求</w:t>
            </w:r>
          </w:p>
        </w:tc>
      </w:tr>
      <w:tr w14:paraId="7157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99D68D6">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11</w:t>
            </w:r>
          </w:p>
        </w:tc>
        <w:tc>
          <w:tcPr>
            <w:tcW w:w="1888" w:type="dxa"/>
            <w:vAlign w:val="center"/>
          </w:tcPr>
          <w:p w14:paraId="100BCEEE">
            <w:pPr>
              <w:adjustRightInd w:val="0"/>
              <w:snapToGrid w:val="0"/>
              <w:spacing w:line="4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rPr>
              <w:t>政府采购政策</w:t>
            </w:r>
          </w:p>
        </w:tc>
        <w:tc>
          <w:tcPr>
            <w:tcW w:w="7044" w:type="dxa"/>
            <w:vAlign w:val="center"/>
          </w:tcPr>
          <w:p w14:paraId="141C924B">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1.根据《政府采购促进中小企业发展管理办法》（财库﹝2020﹞46 号）、“关于落实好政府采购支持中小企业发展的通知”（新财购（2022）22号）、“关于进一步加大政府采购支持中小企业力度的通知”（财库（2022）19号）规定，本项目非专门面向中小企业，故对小型和微型企业产品的价格给予10%的价格扣除，用扣除后的价格参与评审。</w:t>
            </w:r>
          </w:p>
          <w:p w14:paraId="5A46FE78">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根据财政部、工业和信息化部《关于印发《政府采购促进中小企业发展管理办法》的通知》（财库[2020]46号文）；财政部、民政部、中国残疾人联合会《关于促进残疾人就业政府采购政策的通知》（财库[2017]141号）；财政部司法部关于政府采购支持监狱企业发展有关问题的通知(财库〔2014〕68号)规定，残疾人福利性单位、监狱企业视同小型、微型企业，不重复享受政策。</w:t>
            </w:r>
          </w:p>
          <w:p w14:paraId="7AAC5E21">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注：中小企业划分标准依据《工业和信息化部、国家统计局、国家发展和改革委员会、财政部关于印发中小企业划型标准规定的通知》（工信部联企业〔2011〕300号）规定。</w:t>
            </w:r>
          </w:p>
        </w:tc>
      </w:tr>
      <w:tr w14:paraId="31AC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4833848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12</w:t>
            </w:r>
          </w:p>
        </w:tc>
        <w:tc>
          <w:tcPr>
            <w:tcW w:w="1888" w:type="dxa"/>
            <w:shd w:val="clear" w:color="auto" w:fill="auto"/>
            <w:vAlign w:val="center"/>
          </w:tcPr>
          <w:p w14:paraId="2DE56C94">
            <w:pPr>
              <w:adjustRightInd w:val="0"/>
              <w:snapToGrid w:val="0"/>
              <w:spacing w:line="400" w:lineRule="exact"/>
              <w:ind w:firstLine="0" w:firstLineChars="0"/>
              <w:jc w:val="center"/>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en-US" w:eastAsia="zh-CN"/>
              </w:rPr>
              <w:t>采购标的对应的中小企业划分标准所属行业</w:t>
            </w:r>
          </w:p>
        </w:tc>
        <w:tc>
          <w:tcPr>
            <w:tcW w:w="7044" w:type="dxa"/>
            <w:shd w:val="clear" w:color="auto" w:fill="auto"/>
            <w:vAlign w:val="center"/>
          </w:tcPr>
          <w:p w14:paraId="774DE213">
            <w:pPr>
              <w:adjustRightInd w:val="0"/>
              <w:snapToGrid w:val="0"/>
              <w:spacing w:line="400" w:lineRule="exact"/>
              <w:ind w:firstLine="0" w:firstLineChars="0"/>
              <w:jc w:val="left"/>
              <w:rPr>
                <w:rFonts w:hint="eastAsia" w:ascii="仿宋" w:hAnsi="仿宋" w:eastAsia="仿宋" w:cs="仿宋"/>
                <w:color w:val="auto"/>
                <w:sz w:val="22"/>
                <w:szCs w:val="22"/>
                <w:u w:val="none"/>
                <w:lang w:val="zh-CN" w:eastAsia="zh-CN"/>
              </w:rPr>
            </w:pPr>
            <w:r>
              <w:rPr>
                <w:rFonts w:hint="eastAsia" w:ascii="仿宋" w:hAnsi="仿宋" w:eastAsia="仿宋" w:cs="仿宋"/>
                <w:color w:val="auto"/>
                <w:sz w:val="22"/>
                <w:szCs w:val="22"/>
                <w:u w:val="none"/>
                <w:lang w:val="zh-CN" w:eastAsia="zh-CN"/>
              </w:rPr>
              <w:t>本项目采购标的对应的中小企业划分标准所属行业：其他未列明行业</w:t>
            </w:r>
          </w:p>
          <w:p w14:paraId="2943173E">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zh-CN" w:eastAsia="zh-CN"/>
              </w:rPr>
              <w:t>根据工信部联企业〔2011〕300 号中小企业划型标准规定：其他未列明行业。从业人员 300 人以下的为中小微型企业。其中，从业人员 100 人及以上的为中型企业；从业人员 10 人及以上的为小型企业；从业人员 10 人以下的为微型企业。</w:t>
            </w:r>
          </w:p>
        </w:tc>
      </w:tr>
      <w:tr w14:paraId="6F9A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0DC41D6D">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13</w:t>
            </w:r>
          </w:p>
        </w:tc>
        <w:tc>
          <w:tcPr>
            <w:tcW w:w="1888" w:type="dxa"/>
            <w:vAlign w:val="center"/>
          </w:tcPr>
          <w:p w14:paraId="09F7FF39">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供应商</w:t>
            </w:r>
            <w:r>
              <w:rPr>
                <w:rFonts w:hint="eastAsia" w:ascii="仿宋" w:hAnsi="仿宋" w:eastAsia="仿宋" w:cs="仿宋"/>
                <w:color w:val="auto"/>
                <w:kern w:val="2"/>
                <w:sz w:val="22"/>
                <w:szCs w:val="22"/>
              </w:rPr>
              <w:t>资格要求</w:t>
            </w:r>
          </w:p>
        </w:tc>
        <w:tc>
          <w:tcPr>
            <w:tcW w:w="7044" w:type="dxa"/>
            <w:vAlign w:val="center"/>
          </w:tcPr>
          <w:p w14:paraId="5F236286">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1.满足《中华人民共和国政府采购法》第二十二条规定；</w:t>
            </w:r>
          </w:p>
          <w:p w14:paraId="3DDD89BF">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2.落实政府采购政策需满足的资格要求：无</w:t>
            </w:r>
          </w:p>
          <w:p w14:paraId="13A47C24">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3.本项目的特定资格要求：</w:t>
            </w:r>
          </w:p>
          <w:p w14:paraId="5EA73B98">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3.1投标供应商须在中华人民共和国合法注册并具有独立法人资格；</w:t>
            </w:r>
          </w:p>
          <w:p w14:paraId="4098918C">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3.2投标人须具备有效的土地规划乙级（含乙级）以上资质；</w:t>
            </w:r>
          </w:p>
          <w:p w14:paraId="07C25E85">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3.3根据《财政部关于在政府采购活动中查询及使用信用记录有关问题的通知》（财库﹝2016﹞125号）的要求，凡拟参加本次招标项目的投标供应商，如在“信用中国”网（www.creditchina.gov.cn）、中国政府采购网（www.ccgp.gov.cn）列入失信被执行人、重大税收违法案件当事人名单、政府采购严重违法失信行为记录名单的（尚在处罚期内的），将拒绝其参加本次政府采购活动；</w:t>
            </w:r>
          </w:p>
          <w:p w14:paraId="55078ADD">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3.4单位负责人为同一人或者存在直接控股、管理关系的不同投标供应商，不得参加同一合同项下的政府采购活动。否则，皆取消投标资格。</w:t>
            </w:r>
          </w:p>
        </w:tc>
      </w:tr>
      <w:tr w14:paraId="44E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74AD3EDB">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14</w:t>
            </w:r>
          </w:p>
        </w:tc>
        <w:tc>
          <w:tcPr>
            <w:tcW w:w="1888" w:type="dxa"/>
            <w:vAlign w:val="center"/>
          </w:tcPr>
          <w:p w14:paraId="3885F52B">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磋商</w:t>
            </w:r>
            <w:r>
              <w:rPr>
                <w:rFonts w:hint="eastAsia" w:ascii="仿宋" w:hAnsi="仿宋" w:eastAsia="仿宋" w:cs="仿宋"/>
                <w:color w:val="auto"/>
                <w:kern w:val="2"/>
                <w:sz w:val="22"/>
                <w:szCs w:val="22"/>
                <w:lang w:eastAsia="zh-CN"/>
              </w:rPr>
              <w:t>保证金</w:t>
            </w:r>
          </w:p>
        </w:tc>
        <w:tc>
          <w:tcPr>
            <w:tcW w:w="7044" w:type="dxa"/>
            <w:vAlign w:val="center"/>
          </w:tcPr>
          <w:p w14:paraId="0664B612">
            <w:pPr>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default"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zh-CN"/>
              </w:rPr>
              <w:t>投标保证金数额：</w:t>
            </w:r>
            <w:r>
              <w:rPr>
                <w:rFonts w:hint="eastAsia" w:ascii="仿宋" w:hAnsi="仿宋" w:eastAsia="仿宋" w:cs="仿宋"/>
                <w:color w:val="auto"/>
                <w:sz w:val="22"/>
                <w:szCs w:val="22"/>
                <w:highlight w:val="none"/>
                <w:lang w:val="en-US" w:eastAsia="zh-CN"/>
              </w:rPr>
              <w:t>7500.00元（大写：柒仟伍佰元整）</w:t>
            </w:r>
          </w:p>
          <w:p w14:paraId="51319901">
            <w:pPr>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2"/>
                <w:szCs w:val="22"/>
                <w:lang w:val="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val="zh-CN"/>
              </w:rPr>
              <w:t>投标保证金递交截止时间：响应文件递交截止时间前。</w:t>
            </w:r>
          </w:p>
          <w:p w14:paraId="65738F24">
            <w:pPr>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投标保证金缴纳形式：以银行转账、</w:t>
            </w:r>
            <w:r>
              <w:rPr>
                <w:rFonts w:hint="eastAsia" w:ascii="仿宋" w:hAnsi="仿宋" w:eastAsia="仿宋" w:cs="仿宋"/>
                <w:color w:val="auto"/>
                <w:sz w:val="22"/>
                <w:szCs w:val="22"/>
                <w:lang w:eastAsia="zh-CN"/>
              </w:rPr>
              <w:t>保函、</w:t>
            </w:r>
            <w:r>
              <w:rPr>
                <w:rFonts w:hint="eastAsia" w:ascii="仿宋" w:hAnsi="仿宋" w:eastAsia="仿宋" w:cs="仿宋"/>
                <w:color w:val="auto"/>
                <w:sz w:val="22"/>
                <w:szCs w:val="22"/>
              </w:rPr>
              <w:t>电汇、支票、银行汇票等非现金形式</w:t>
            </w:r>
            <w:r>
              <w:rPr>
                <w:rFonts w:hint="eastAsia" w:ascii="仿宋" w:hAnsi="仿宋" w:eastAsia="仿宋" w:cs="仿宋"/>
                <w:color w:val="auto"/>
                <w:sz w:val="22"/>
                <w:szCs w:val="22"/>
                <w:lang w:eastAsia="zh-CN"/>
              </w:rPr>
              <w:t>递交</w:t>
            </w:r>
            <w:r>
              <w:rPr>
                <w:rFonts w:hint="eastAsia" w:ascii="仿宋" w:hAnsi="仿宋" w:eastAsia="仿宋" w:cs="仿宋"/>
                <w:color w:val="auto"/>
                <w:sz w:val="22"/>
                <w:szCs w:val="22"/>
              </w:rPr>
              <w:t>。</w:t>
            </w:r>
          </w:p>
          <w:p w14:paraId="332A7154">
            <w:pPr>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投标保证金递交的开户银行及账号如下：</w:t>
            </w:r>
          </w:p>
          <w:p w14:paraId="4BE64533">
            <w:pPr>
              <w:keepNext w:val="0"/>
              <w:keepLines w:val="0"/>
              <w:pageBreakBefore w:val="0"/>
              <w:kinsoku/>
              <w:wordWrap/>
              <w:overflowPunct/>
              <w:topLinePunct w:val="0"/>
              <w:autoSpaceDE/>
              <w:autoSpaceDN/>
              <w:bidi w:val="0"/>
              <w:adjustRightInd/>
              <w:snapToGrid/>
              <w:spacing w:line="288" w:lineRule="auto"/>
              <w:ind w:left="0" w:leftChars="0" w:firstLine="220" w:firstLineChars="1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账户：新疆信实工程招标咨询服务有限公司昌吉分公司</w:t>
            </w:r>
          </w:p>
          <w:p w14:paraId="49F6FA3E">
            <w:pPr>
              <w:keepNext w:val="0"/>
              <w:keepLines w:val="0"/>
              <w:pageBreakBefore w:val="0"/>
              <w:kinsoku/>
              <w:wordWrap/>
              <w:overflowPunct/>
              <w:topLinePunct w:val="0"/>
              <w:autoSpaceDE/>
              <w:autoSpaceDN/>
              <w:bidi w:val="0"/>
              <w:adjustRightInd/>
              <w:snapToGrid/>
              <w:spacing w:line="288" w:lineRule="auto"/>
              <w:ind w:left="0" w:leftChars="0" w:firstLine="220" w:firstLineChars="100"/>
              <w:textAlignment w:val="auto"/>
              <w:rPr>
                <w:rFonts w:hint="eastAsia" w:ascii="仿宋" w:hAnsi="仿宋" w:eastAsia="仿宋" w:cs="仿宋"/>
                <w:color w:val="auto"/>
                <w:sz w:val="22"/>
                <w:szCs w:val="22"/>
                <w:lang w:val="en-US"/>
              </w:rPr>
            </w:pPr>
            <w:r>
              <w:rPr>
                <w:rFonts w:hint="eastAsia" w:ascii="仿宋" w:hAnsi="仿宋" w:eastAsia="仿宋" w:cs="仿宋"/>
                <w:color w:val="auto"/>
                <w:sz w:val="22"/>
                <w:szCs w:val="22"/>
              </w:rPr>
              <w:t>开户账号：3004800909000023370</w:t>
            </w:r>
          </w:p>
          <w:p w14:paraId="2EBB782A">
            <w:pPr>
              <w:keepNext w:val="0"/>
              <w:keepLines w:val="0"/>
              <w:pageBreakBefore w:val="0"/>
              <w:kinsoku/>
              <w:wordWrap/>
              <w:overflowPunct/>
              <w:topLinePunct w:val="0"/>
              <w:autoSpaceDE/>
              <w:autoSpaceDN/>
              <w:bidi w:val="0"/>
              <w:adjustRightInd/>
              <w:snapToGrid/>
              <w:spacing w:line="288" w:lineRule="auto"/>
              <w:ind w:left="0" w:leftChars="0" w:firstLine="220" w:firstLineChars="1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开户行行号：102885080092</w:t>
            </w:r>
          </w:p>
          <w:p w14:paraId="7305C5EA">
            <w:pPr>
              <w:keepNext w:val="0"/>
              <w:keepLines w:val="0"/>
              <w:pageBreakBefore w:val="0"/>
              <w:kinsoku/>
              <w:wordWrap/>
              <w:overflowPunct/>
              <w:topLinePunct w:val="0"/>
              <w:autoSpaceDE/>
              <w:autoSpaceDN/>
              <w:bidi w:val="0"/>
              <w:adjustRightInd/>
              <w:snapToGrid/>
              <w:spacing w:line="288" w:lineRule="auto"/>
              <w:ind w:left="0" w:leftChars="0" w:firstLine="220" w:firstLineChars="1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开户行：工行昌吉建国路支行</w:t>
            </w:r>
          </w:p>
          <w:p w14:paraId="4D33EFFE">
            <w:pPr>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注：保证金须知</w:t>
            </w:r>
          </w:p>
          <w:p w14:paraId="477AA663">
            <w:pPr>
              <w:numPr>
                <w:ilvl w:val="0"/>
                <w:numId w:val="0"/>
              </w:numPr>
              <w:adjustRightInd w:val="0"/>
              <w:snapToGrid w:val="0"/>
              <w:spacing w:line="400" w:lineRule="exact"/>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（1）缴纳投标保证金时，需备注项目名称或标段名称或标段编号。</w:t>
            </w:r>
          </w:p>
          <w:p w14:paraId="780A92ED">
            <w:pPr>
              <w:numPr>
                <w:ilvl w:val="0"/>
                <w:numId w:val="0"/>
              </w:numPr>
              <w:adjustRightInd w:val="0"/>
              <w:snapToGrid w:val="0"/>
              <w:spacing w:line="400" w:lineRule="exact"/>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投标保证金由投标供应商基本账户一次性汇入，不得以分公司、办事处或其他机构名义缴纳，投标保证金必须在递交响应文件截止时间前缴纳，投标供应商应充分考虑资金到账时间，在规定的时限前自行办妥投标保证金交纳手续，超过时限交纳投标保证金或未按规定缴纳保证金的视为投标无效。</w:t>
            </w:r>
          </w:p>
          <w:p w14:paraId="07A3C945">
            <w:pPr>
              <w:numPr>
                <w:ilvl w:val="0"/>
                <w:numId w:val="0"/>
              </w:numPr>
              <w:adjustRightInd w:val="0"/>
              <w:snapToGrid w:val="0"/>
              <w:spacing w:line="400" w:lineRule="exact"/>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（3）关于投标保证金的退还：未中标单位：自中标通知书发出之日起5个工作日内退还未中标供应商的投标保证金，自动退回至原打款账户；中标单位：合同签订后递交至招标代理公司后退还。</w:t>
            </w:r>
          </w:p>
          <w:p w14:paraId="5963764E">
            <w:pPr>
              <w:numPr>
                <w:ilvl w:val="0"/>
                <w:numId w:val="0"/>
              </w:numPr>
              <w:adjustRightInd w:val="0"/>
              <w:snapToGrid w:val="0"/>
              <w:spacing w:line="400" w:lineRule="exact"/>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政采云电子保函须知</w:t>
            </w:r>
          </w:p>
          <w:p w14:paraId="2BB1277D">
            <w:pPr>
              <w:numPr>
                <w:ilvl w:val="0"/>
                <w:numId w:val="0"/>
              </w:numPr>
              <w:adjustRightInd w:val="0"/>
              <w:snapToGrid w:val="0"/>
              <w:spacing w:line="400" w:lineRule="exact"/>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（1）本项目推荐使用政采云电子保函形式缴纳投标保证金，在线完成保函的申请、审核、开票、出函等环节；</w:t>
            </w:r>
          </w:p>
          <w:p w14:paraId="6393A450">
            <w:pPr>
              <w:numPr>
                <w:ilvl w:val="0"/>
                <w:numId w:val="0"/>
              </w:numPr>
              <w:adjustRightInd w:val="0"/>
              <w:snapToGrid w:val="0"/>
              <w:spacing w:line="400" w:lineRule="exact"/>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（2）如采用政采云电子保函形式，可按照以下形式进行在线申请，电子保函申请链接（https://jinrong.zcygov.cn/finance/letter/product/detail?id=30&amp;source=41），如遇问题可拨打客服电话：4009039583；</w:t>
            </w:r>
          </w:p>
          <w:p w14:paraId="29F234B5">
            <w:pPr>
              <w:numPr>
                <w:ilvl w:val="0"/>
                <w:numId w:val="0"/>
              </w:numPr>
              <w:adjustRightInd w:val="0"/>
              <w:snapToGrid w:val="0"/>
              <w:spacing w:line="400" w:lineRule="exact"/>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（3）将保函制作到电子响应文件即可。</w:t>
            </w:r>
          </w:p>
          <w:p w14:paraId="60B0EDB3">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color w:val="auto"/>
                <w:sz w:val="22"/>
                <w:szCs w:val="22"/>
                <w:lang w:val="en-US" w:eastAsia="zh-CN"/>
              </w:rPr>
              <w:t>（4）银行电子保函、保险电子保函等形式缴纳的投标保证金按协议执行，无需办理退款手续。</w:t>
            </w:r>
          </w:p>
        </w:tc>
      </w:tr>
      <w:tr w14:paraId="1338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7F300C3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15</w:t>
            </w:r>
          </w:p>
        </w:tc>
        <w:tc>
          <w:tcPr>
            <w:tcW w:w="1888" w:type="dxa"/>
            <w:vAlign w:val="center"/>
          </w:tcPr>
          <w:p w14:paraId="52E58C41">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是否接受联合体投标</w:t>
            </w:r>
          </w:p>
        </w:tc>
        <w:tc>
          <w:tcPr>
            <w:tcW w:w="7044" w:type="dxa"/>
            <w:vAlign w:val="center"/>
          </w:tcPr>
          <w:p w14:paraId="25BBD006">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不接受</w:t>
            </w:r>
          </w:p>
        </w:tc>
      </w:tr>
      <w:tr w14:paraId="038E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27991AEB">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16</w:t>
            </w:r>
          </w:p>
        </w:tc>
        <w:tc>
          <w:tcPr>
            <w:tcW w:w="1888" w:type="dxa"/>
            <w:vAlign w:val="center"/>
          </w:tcPr>
          <w:p w14:paraId="02D84E72">
            <w:pPr>
              <w:adjustRightInd w:val="0"/>
              <w:snapToGrid w:val="0"/>
              <w:spacing w:line="4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磋商文件</w:t>
            </w:r>
            <w:r>
              <w:rPr>
                <w:rFonts w:hint="eastAsia" w:ascii="仿宋" w:hAnsi="仿宋" w:eastAsia="仿宋" w:cs="仿宋"/>
                <w:color w:val="auto"/>
                <w:sz w:val="22"/>
                <w:szCs w:val="22"/>
              </w:rPr>
              <w:t>发售费</w:t>
            </w:r>
          </w:p>
        </w:tc>
        <w:tc>
          <w:tcPr>
            <w:tcW w:w="7044" w:type="dxa"/>
            <w:vAlign w:val="center"/>
          </w:tcPr>
          <w:p w14:paraId="60DFA1FF">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eastAsia="zh-CN"/>
              </w:rPr>
              <w:t>磋商文件</w:t>
            </w:r>
            <w:r>
              <w:rPr>
                <w:rFonts w:hint="eastAsia" w:ascii="仿宋" w:hAnsi="仿宋" w:eastAsia="仿宋" w:cs="仿宋"/>
                <w:color w:val="auto"/>
                <w:sz w:val="22"/>
                <w:szCs w:val="22"/>
              </w:rPr>
              <w:t>每份</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元</w:t>
            </w:r>
          </w:p>
        </w:tc>
      </w:tr>
      <w:tr w14:paraId="49EC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4389B085">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17</w:t>
            </w:r>
          </w:p>
        </w:tc>
        <w:tc>
          <w:tcPr>
            <w:tcW w:w="1888" w:type="dxa"/>
            <w:vAlign w:val="center"/>
          </w:tcPr>
          <w:p w14:paraId="777633FF">
            <w:pPr>
              <w:adjustRightInd w:val="0"/>
              <w:snapToGrid w:val="0"/>
              <w:spacing w:line="400" w:lineRule="exact"/>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采购方式</w:t>
            </w:r>
          </w:p>
        </w:tc>
        <w:tc>
          <w:tcPr>
            <w:tcW w:w="7044" w:type="dxa"/>
            <w:vAlign w:val="center"/>
          </w:tcPr>
          <w:p w14:paraId="1C118174">
            <w:pPr>
              <w:adjustRightInd w:val="0"/>
              <w:snapToGrid w:val="0"/>
              <w:spacing w:line="400" w:lineRule="exact"/>
              <w:ind w:firstLine="0" w:firstLineChars="0"/>
              <w:jc w:val="lef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竞争性磋商</w:t>
            </w:r>
          </w:p>
        </w:tc>
      </w:tr>
      <w:tr w14:paraId="2627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4998EFB7">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18</w:t>
            </w:r>
          </w:p>
        </w:tc>
        <w:tc>
          <w:tcPr>
            <w:tcW w:w="1888" w:type="dxa"/>
            <w:vAlign w:val="center"/>
          </w:tcPr>
          <w:p w14:paraId="10F49532">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评标办法</w:t>
            </w:r>
          </w:p>
        </w:tc>
        <w:tc>
          <w:tcPr>
            <w:tcW w:w="7044" w:type="dxa"/>
            <w:vAlign w:val="center"/>
          </w:tcPr>
          <w:p w14:paraId="7403DFB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综合评分法</w:t>
            </w:r>
          </w:p>
        </w:tc>
      </w:tr>
      <w:tr w14:paraId="4155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0A36ED99">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19</w:t>
            </w:r>
          </w:p>
        </w:tc>
        <w:tc>
          <w:tcPr>
            <w:tcW w:w="1888" w:type="dxa"/>
            <w:vAlign w:val="center"/>
          </w:tcPr>
          <w:p w14:paraId="67C109B3">
            <w:pPr>
              <w:adjustRightInd w:val="0"/>
              <w:snapToGrid w:val="0"/>
              <w:spacing w:line="400" w:lineRule="exact"/>
              <w:ind w:firstLine="0" w:firstLineChars="0"/>
              <w:jc w:val="center"/>
              <w:rPr>
                <w:rFonts w:hint="eastAsia" w:ascii="仿宋" w:hAnsi="仿宋" w:eastAsia="仿宋" w:cs="仿宋"/>
                <w:b/>
                <w:bCs/>
                <w:color w:val="auto"/>
                <w:kern w:val="2"/>
                <w:sz w:val="22"/>
                <w:szCs w:val="22"/>
                <w:lang w:val="en-US" w:eastAsia="zh-CN"/>
              </w:rPr>
            </w:pPr>
            <w:r>
              <w:rPr>
                <w:rFonts w:hint="eastAsia" w:ascii="仿宋" w:hAnsi="仿宋" w:eastAsia="仿宋" w:cs="仿宋"/>
                <w:b/>
                <w:bCs/>
                <w:color w:val="auto"/>
                <w:kern w:val="2"/>
                <w:sz w:val="22"/>
                <w:szCs w:val="22"/>
                <w:lang w:eastAsia="zh-CN"/>
              </w:rPr>
              <w:t>开标</w:t>
            </w:r>
            <w:r>
              <w:rPr>
                <w:rFonts w:hint="eastAsia" w:ascii="仿宋" w:hAnsi="仿宋" w:eastAsia="仿宋" w:cs="仿宋"/>
                <w:b/>
                <w:bCs/>
                <w:color w:val="auto"/>
                <w:kern w:val="2"/>
                <w:sz w:val="22"/>
                <w:szCs w:val="22"/>
              </w:rPr>
              <w:t>时间</w:t>
            </w:r>
            <w:r>
              <w:rPr>
                <w:rFonts w:hint="eastAsia" w:ascii="仿宋" w:hAnsi="仿宋" w:eastAsia="仿宋" w:cs="仿宋"/>
                <w:b/>
                <w:bCs/>
                <w:color w:val="auto"/>
                <w:kern w:val="2"/>
                <w:sz w:val="22"/>
                <w:szCs w:val="22"/>
                <w:lang w:val="en-US" w:eastAsia="zh-CN"/>
              </w:rPr>
              <w:t>及地点</w:t>
            </w:r>
          </w:p>
        </w:tc>
        <w:tc>
          <w:tcPr>
            <w:tcW w:w="7044" w:type="dxa"/>
            <w:vAlign w:val="center"/>
          </w:tcPr>
          <w:p w14:paraId="7F97CAC5">
            <w:pPr>
              <w:adjustRightInd w:val="0"/>
              <w:snapToGrid w:val="0"/>
              <w:spacing w:line="400" w:lineRule="exact"/>
              <w:ind w:firstLine="0" w:firstLineChars="0"/>
              <w:jc w:val="left"/>
              <w:rPr>
                <w:rFonts w:hint="eastAsia" w:ascii="仿宋" w:hAnsi="仿宋" w:eastAsia="仿宋" w:cs="仿宋"/>
                <w:b/>
                <w:bCs/>
                <w:color w:val="auto"/>
                <w:kern w:val="2"/>
                <w:sz w:val="22"/>
                <w:szCs w:val="22"/>
                <w:highlight w:val="none"/>
                <w:lang w:val="en-US" w:eastAsia="zh-CN"/>
              </w:rPr>
            </w:pPr>
            <w:r>
              <w:rPr>
                <w:rFonts w:hint="eastAsia" w:ascii="仿宋" w:hAnsi="仿宋" w:eastAsia="仿宋" w:cs="仿宋"/>
                <w:b/>
                <w:bCs/>
                <w:color w:val="auto"/>
                <w:kern w:val="2"/>
                <w:sz w:val="22"/>
                <w:szCs w:val="22"/>
                <w:highlight w:val="none"/>
                <w:lang w:val="en-US" w:eastAsia="zh-CN"/>
              </w:rPr>
              <w:t>时间：2025年06月18日12点00分（北京时间）。</w:t>
            </w:r>
          </w:p>
          <w:p w14:paraId="6ECF59A1">
            <w:pPr>
              <w:adjustRightInd w:val="0"/>
              <w:snapToGrid w:val="0"/>
              <w:spacing w:line="400" w:lineRule="exact"/>
              <w:ind w:firstLine="0" w:firstLineChars="0"/>
              <w:jc w:val="left"/>
              <w:rPr>
                <w:rFonts w:hint="eastAsia" w:ascii="仿宋" w:hAnsi="仿宋" w:eastAsia="仿宋" w:cs="仿宋"/>
                <w:b/>
                <w:bCs/>
                <w:color w:val="auto"/>
                <w:kern w:val="2"/>
                <w:sz w:val="22"/>
                <w:szCs w:val="22"/>
                <w:lang w:val="en-US" w:eastAsia="zh-CN"/>
              </w:rPr>
            </w:pPr>
            <w:r>
              <w:rPr>
                <w:rFonts w:hint="eastAsia" w:ascii="仿宋" w:hAnsi="仿宋" w:eastAsia="仿宋" w:cs="仿宋"/>
                <w:b/>
                <w:bCs/>
                <w:color w:val="auto"/>
                <w:kern w:val="2"/>
                <w:sz w:val="22"/>
                <w:szCs w:val="22"/>
                <w:lang w:val="en-US" w:eastAsia="zh-CN"/>
              </w:rPr>
              <w:t>地点：“政采云https://www.zcygov.cn/）”平台。</w:t>
            </w:r>
          </w:p>
          <w:p w14:paraId="24F8E58C">
            <w:pPr>
              <w:adjustRightInd w:val="0"/>
              <w:snapToGrid w:val="0"/>
              <w:spacing w:line="400" w:lineRule="exact"/>
              <w:ind w:firstLine="0" w:firstLineChars="0"/>
              <w:jc w:val="left"/>
              <w:rPr>
                <w:rFonts w:hint="eastAsia" w:ascii="仿宋" w:hAnsi="仿宋" w:eastAsia="仿宋" w:cs="仿宋"/>
                <w:b/>
                <w:bCs/>
                <w:color w:val="auto"/>
                <w:sz w:val="22"/>
                <w:szCs w:val="22"/>
                <w:lang w:val="en-US" w:eastAsia="zh-CN"/>
              </w:rPr>
            </w:pPr>
            <w:r>
              <w:rPr>
                <w:rFonts w:hint="eastAsia" w:ascii="仿宋" w:hAnsi="仿宋" w:eastAsia="仿宋" w:cs="仿宋"/>
                <w:b/>
                <w:bCs/>
                <w:color w:val="auto"/>
                <w:kern w:val="2"/>
                <w:sz w:val="22"/>
                <w:szCs w:val="22"/>
                <w:lang w:val="en-US" w:eastAsia="zh-CN"/>
              </w:rPr>
              <w:t>开标30分钟内投标人可以登录“政采云”平台，用“项目采购-开标评标”功能进行解密响应文件。解密时间：30分钟，若投标人在规定时间内未按时解密的，视为响应文件撤回。</w:t>
            </w:r>
          </w:p>
        </w:tc>
      </w:tr>
      <w:tr w14:paraId="0DC9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46773215">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rPr>
              <w:t>20</w:t>
            </w:r>
          </w:p>
        </w:tc>
        <w:tc>
          <w:tcPr>
            <w:tcW w:w="1888" w:type="dxa"/>
            <w:vAlign w:val="center"/>
          </w:tcPr>
          <w:p w14:paraId="7573C076">
            <w:pPr>
              <w:adjustRightInd w:val="0"/>
              <w:snapToGrid w:val="0"/>
              <w:spacing w:line="400" w:lineRule="exact"/>
              <w:ind w:firstLine="0" w:firstLineChars="0"/>
              <w:jc w:val="center"/>
              <w:rPr>
                <w:rFonts w:hint="eastAsia" w:ascii="仿宋" w:hAnsi="仿宋" w:eastAsia="仿宋" w:cs="仿宋"/>
                <w:b/>
                <w:bCs/>
                <w:color w:val="auto"/>
                <w:kern w:val="2"/>
                <w:sz w:val="22"/>
                <w:szCs w:val="22"/>
                <w:lang w:eastAsia="zh-CN"/>
              </w:rPr>
            </w:pPr>
            <w:r>
              <w:rPr>
                <w:rFonts w:hint="eastAsia" w:ascii="仿宋" w:hAnsi="仿宋" w:eastAsia="仿宋" w:cs="仿宋"/>
                <w:b/>
                <w:bCs/>
                <w:color w:val="auto"/>
                <w:kern w:val="2"/>
                <w:sz w:val="22"/>
                <w:szCs w:val="22"/>
                <w:lang w:val="en-US" w:eastAsia="zh-CN"/>
              </w:rPr>
              <w:t>递交响应文件的地点及方式</w:t>
            </w:r>
          </w:p>
        </w:tc>
        <w:tc>
          <w:tcPr>
            <w:tcW w:w="7044" w:type="dxa"/>
            <w:vAlign w:val="center"/>
          </w:tcPr>
          <w:p w14:paraId="43D2E60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
                <w:bCs/>
                <w:color w:val="auto"/>
                <w:kern w:val="2"/>
                <w:sz w:val="22"/>
                <w:szCs w:val="22"/>
                <w:lang w:val="en-US" w:eastAsia="zh-CN"/>
              </w:rPr>
            </w:pPr>
            <w:r>
              <w:rPr>
                <w:rFonts w:hint="eastAsia" w:ascii="仿宋" w:hAnsi="仿宋" w:eastAsia="仿宋" w:cs="仿宋"/>
                <w:b/>
                <w:bCs/>
                <w:color w:val="auto"/>
                <w:kern w:val="2"/>
                <w:sz w:val="22"/>
                <w:szCs w:val="22"/>
                <w:lang w:val="en-US" w:eastAsia="zh-CN"/>
              </w:rPr>
              <w:t>投标人应开标截止时间之前将电子响应文件上传到“政采云”平台。应按照本项目采购文件和政采云平台的要求编制、加密传输响应文件。投标人在使用系统进行投标的过程中遇到涉及平台使用的任何问题，可致电政采云平台技术支持热线咨询，联系方式：95763。</w:t>
            </w:r>
          </w:p>
        </w:tc>
      </w:tr>
      <w:tr w14:paraId="3F7A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shd w:val="clear" w:color="auto" w:fill="auto"/>
            <w:vAlign w:val="center"/>
          </w:tcPr>
          <w:p w14:paraId="0CFF5639">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1</w:t>
            </w:r>
          </w:p>
        </w:tc>
        <w:tc>
          <w:tcPr>
            <w:tcW w:w="1888" w:type="dxa"/>
            <w:vAlign w:val="center"/>
          </w:tcPr>
          <w:p w14:paraId="786FB8A8">
            <w:pPr>
              <w:snapToGrid w:val="0"/>
              <w:spacing w:line="340" w:lineRule="exact"/>
              <w:ind w:left="0" w:leftChars="0" w:firstLine="0" w:firstLineChars="0"/>
              <w:jc w:val="center"/>
              <w:rPr>
                <w:rFonts w:hint="eastAsia" w:ascii="仿宋" w:hAnsi="仿宋" w:eastAsia="仿宋" w:cs="仿宋"/>
                <w:b/>
                <w:bCs/>
                <w:color w:val="auto"/>
                <w:kern w:val="2"/>
                <w:sz w:val="22"/>
                <w:szCs w:val="22"/>
                <w:lang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响应文件</w:t>
            </w:r>
            <w:r>
              <w:rPr>
                <w:rFonts w:hint="eastAsia" w:ascii="仿宋" w:hAnsi="仿宋" w:eastAsia="仿宋" w:cs="仿宋"/>
                <w:color w:val="auto"/>
                <w:sz w:val="22"/>
                <w:szCs w:val="22"/>
              </w:rPr>
              <w:t>的签字盖章》</w:t>
            </w:r>
          </w:p>
        </w:tc>
        <w:tc>
          <w:tcPr>
            <w:tcW w:w="7044" w:type="dxa"/>
            <w:vAlign w:val="center"/>
          </w:tcPr>
          <w:p w14:paraId="60D83CB5">
            <w:pPr>
              <w:snapToGrid w:val="0"/>
              <w:spacing w:line="360" w:lineRule="exact"/>
              <w:ind w:left="0" w:leftChars="0" w:firstLine="0" w:firstLineChars="0"/>
              <w:rPr>
                <w:rFonts w:hint="eastAsia" w:ascii="仿宋" w:hAnsi="仿宋" w:eastAsia="仿宋" w:cs="仿宋"/>
                <w:b/>
                <w:bCs/>
                <w:color w:val="auto"/>
                <w:kern w:val="2"/>
                <w:sz w:val="22"/>
                <w:szCs w:val="22"/>
              </w:rPr>
            </w:pPr>
            <w:r>
              <w:rPr>
                <w:rFonts w:hint="eastAsia" w:ascii="仿宋" w:hAnsi="仿宋" w:eastAsia="仿宋" w:cs="仿宋"/>
                <w:color w:val="auto"/>
                <w:sz w:val="22"/>
                <w:szCs w:val="22"/>
                <w:shd w:val="clear" w:color="auto" w:fill="FFFFFF"/>
              </w:rPr>
              <w:t>电子</w:t>
            </w:r>
            <w:r>
              <w:rPr>
                <w:rFonts w:hint="eastAsia" w:ascii="仿宋" w:hAnsi="仿宋" w:eastAsia="仿宋" w:cs="仿宋"/>
                <w:color w:val="auto"/>
                <w:sz w:val="22"/>
                <w:szCs w:val="22"/>
                <w:shd w:val="clear" w:color="auto" w:fill="FFFFFF"/>
                <w:lang w:eastAsia="zh-CN"/>
              </w:rPr>
              <w:t>响应文件</w:t>
            </w:r>
            <w:r>
              <w:rPr>
                <w:rFonts w:hint="eastAsia" w:ascii="仿宋" w:hAnsi="仿宋" w:eastAsia="仿宋" w:cs="仿宋"/>
                <w:color w:val="auto"/>
                <w:sz w:val="22"/>
                <w:szCs w:val="22"/>
                <w:shd w:val="clear" w:color="auto" w:fill="FFFFFF"/>
              </w:rPr>
              <w:t>逐页盖单位公章和法定代表人章，</w:t>
            </w:r>
            <w:r>
              <w:rPr>
                <w:rFonts w:hint="eastAsia" w:ascii="仿宋" w:hAnsi="仿宋" w:eastAsia="仿宋" w:cs="仿宋"/>
                <w:color w:val="auto"/>
                <w:sz w:val="22"/>
                <w:szCs w:val="22"/>
                <w:shd w:val="clear" w:color="auto" w:fill="FFFFFF"/>
                <w:lang w:eastAsia="zh-CN"/>
              </w:rPr>
              <w:t>供应商</w:t>
            </w:r>
            <w:r>
              <w:rPr>
                <w:rFonts w:hint="eastAsia" w:ascii="仿宋" w:hAnsi="仿宋" w:eastAsia="仿宋" w:cs="仿宋"/>
                <w:color w:val="auto"/>
                <w:sz w:val="22"/>
                <w:szCs w:val="22"/>
                <w:shd w:val="clear" w:color="auto" w:fill="FFFFFF"/>
              </w:rPr>
              <w:t>均应使用 CA 数字证书加盖</w:t>
            </w:r>
            <w:r>
              <w:rPr>
                <w:rFonts w:hint="eastAsia" w:ascii="仿宋" w:hAnsi="仿宋" w:eastAsia="仿宋" w:cs="仿宋"/>
                <w:color w:val="auto"/>
                <w:sz w:val="22"/>
                <w:szCs w:val="22"/>
                <w:shd w:val="clear" w:color="auto" w:fill="FFFFFF"/>
                <w:lang w:eastAsia="zh-CN"/>
              </w:rPr>
              <w:t>供应商</w:t>
            </w:r>
            <w:r>
              <w:rPr>
                <w:rFonts w:hint="eastAsia" w:ascii="仿宋" w:hAnsi="仿宋" w:eastAsia="仿宋" w:cs="仿宋"/>
                <w:color w:val="auto"/>
                <w:sz w:val="22"/>
                <w:szCs w:val="22"/>
                <w:shd w:val="clear" w:color="auto" w:fill="FFFFFF"/>
              </w:rPr>
              <w:t>的单位电子印章和法定代表人的个人电子印章或电子签名章。</w:t>
            </w:r>
          </w:p>
        </w:tc>
      </w:tr>
      <w:tr w14:paraId="2403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shd w:val="clear" w:color="auto" w:fill="auto"/>
            <w:vAlign w:val="center"/>
          </w:tcPr>
          <w:p w14:paraId="29721B4E">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22</w:t>
            </w:r>
          </w:p>
        </w:tc>
        <w:tc>
          <w:tcPr>
            <w:tcW w:w="1888" w:type="dxa"/>
            <w:vAlign w:val="center"/>
          </w:tcPr>
          <w:p w14:paraId="1BAE2A9E">
            <w:pPr>
              <w:snapToGrid w:val="0"/>
              <w:spacing w:line="340" w:lineRule="exact"/>
              <w:ind w:left="0" w:leftChars="0" w:firstLine="0" w:firstLineChars="0"/>
              <w:jc w:val="center"/>
              <w:rPr>
                <w:rFonts w:hint="default" w:ascii="仿宋" w:hAnsi="仿宋" w:eastAsia="仿宋" w:cs="仿宋"/>
                <w:b/>
                <w:bCs/>
                <w:color w:val="auto"/>
                <w:sz w:val="22"/>
                <w:szCs w:val="22"/>
                <w:lang w:val="en-US" w:eastAsia="zh-CN" w:bidi="ar-SA"/>
              </w:rPr>
            </w:pPr>
            <w:r>
              <w:rPr>
                <w:rFonts w:hint="eastAsia" w:ascii="仿宋" w:hAnsi="仿宋" w:eastAsia="仿宋" w:cs="仿宋"/>
                <w:color w:val="auto"/>
                <w:sz w:val="22"/>
                <w:szCs w:val="22"/>
                <w:lang w:val="en-US" w:eastAsia="zh-CN"/>
              </w:rPr>
              <w:t>开标方式</w:t>
            </w:r>
          </w:p>
        </w:tc>
        <w:tc>
          <w:tcPr>
            <w:tcW w:w="7044" w:type="dxa"/>
            <w:vAlign w:val="center"/>
          </w:tcPr>
          <w:p w14:paraId="7467F888">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采用不见面开标：</w:t>
            </w:r>
          </w:p>
          <w:p w14:paraId="5B16A22D">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（1）本项目采用远程不见面电子标的方式开标。</w:t>
            </w:r>
          </w:p>
          <w:p w14:paraId="640D9C79">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潜在投标人领取文件须提前完成注册、CA证书和电子签章申领和绑定、下载投标客户端。因未注册入库、未办理CA数字证书、CA证书故障、操作不当等原因造成无法投标或投标失败等后果由投标人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14:paraId="19E089D9">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（3）投标人操作指南详见新疆政府采购网（www.ccgp-xinjiang.gov.cn）。</w:t>
            </w:r>
          </w:p>
          <w:p w14:paraId="78F6077F">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本项目采用远程不见面电子标的方式开标，投标人须在响应文件递交截止时间前通过新疆政府采购网（www.ccgp-xinjiang.gov.cn）的”政采云登录入口”登录后，将加密电子响应文件（为.jmbs后缀格式）上传到对应项目的指定位置。</w:t>
            </w:r>
          </w:p>
          <w:p w14:paraId="2FCF9CD0">
            <w:pPr>
              <w:adjustRightInd w:val="0"/>
              <w:snapToGrid w:val="0"/>
              <w:spacing w:line="240" w:lineRule="auto"/>
              <w:ind w:firstLine="0" w:firstLineChars="0"/>
              <w:jc w:val="both"/>
              <w:rPr>
                <w:rFonts w:hint="eastAsia" w:ascii="仿宋" w:hAnsi="仿宋" w:eastAsia="仿宋" w:cs="仿宋"/>
                <w:b/>
                <w:bCs/>
                <w:color w:val="auto"/>
                <w:kern w:val="2"/>
                <w:sz w:val="22"/>
                <w:szCs w:val="22"/>
                <w:lang w:val="en-US" w:eastAsia="zh-CN" w:bidi="ar-SA"/>
              </w:rPr>
            </w:pPr>
            <w:r>
              <w:rPr>
                <w:rFonts w:hint="eastAsia" w:ascii="仿宋" w:hAnsi="仿宋" w:eastAsia="仿宋" w:cs="仿宋"/>
                <w:b/>
                <w:bCs/>
                <w:color w:val="auto"/>
                <w:kern w:val="2"/>
                <w:sz w:val="22"/>
                <w:szCs w:val="22"/>
                <w:lang w:val="en-US" w:eastAsia="zh-CN" w:bidi="ar-SA"/>
              </w:rPr>
              <w:t>（5）纸质版响应文件要求：项目开标结束后，中标单位需提供纸质版响应文件：三份（内容与加密上传的响应文件一致，纸质版响应文件正本、副本用A4纸规格打印，双面打印，装订成册。响应文件要求编制目录和页码，并不得采用活页装订。）</w:t>
            </w:r>
          </w:p>
          <w:p w14:paraId="09341852">
            <w:pPr>
              <w:adjustRightInd w:val="0"/>
              <w:snapToGrid w:val="0"/>
              <w:spacing w:line="240" w:lineRule="auto"/>
              <w:ind w:firstLine="0" w:firstLineChars="0"/>
              <w:jc w:val="both"/>
              <w:rPr>
                <w:rFonts w:hint="eastAsia" w:ascii="仿宋" w:hAnsi="仿宋" w:eastAsia="仿宋" w:cs="仿宋"/>
                <w:b/>
                <w:bCs/>
                <w:color w:val="auto"/>
                <w:kern w:val="2"/>
                <w:sz w:val="22"/>
                <w:szCs w:val="22"/>
                <w:lang w:val="en-US" w:eastAsia="zh-CN" w:bidi="ar-SA"/>
              </w:rPr>
            </w:pPr>
            <w:r>
              <w:rPr>
                <w:rFonts w:hint="eastAsia" w:ascii="仿宋" w:hAnsi="仿宋" w:eastAsia="仿宋" w:cs="仿宋"/>
                <w:b/>
                <w:bCs/>
                <w:color w:val="auto"/>
                <w:kern w:val="2"/>
                <w:sz w:val="22"/>
                <w:szCs w:val="22"/>
                <w:lang w:val="en-US" w:eastAsia="zh-CN" w:bidi="ar-SA"/>
              </w:rPr>
              <w:t>递交地址：新疆信实工程招标咨询服务有限公司（昌吉市建国西路和谐国际广场A座1406室）。</w:t>
            </w:r>
          </w:p>
          <w:p w14:paraId="327E7C80">
            <w:pPr>
              <w:adjustRightInd w:val="0"/>
              <w:snapToGrid w:val="0"/>
              <w:spacing w:line="340" w:lineRule="exact"/>
              <w:ind w:left="0" w:leftChars="0" w:firstLine="0" w:firstLineChars="0"/>
              <w:rPr>
                <w:rFonts w:hint="eastAsia" w:ascii="仿宋" w:hAnsi="仿宋" w:eastAsia="仿宋" w:cs="仿宋"/>
                <w:b/>
                <w:bCs/>
                <w:color w:val="auto"/>
                <w:kern w:val="0"/>
                <w:sz w:val="22"/>
                <w:szCs w:val="22"/>
                <w:lang w:val="en-US" w:eastAsia="zh-CN" w:bidi="ar-SA"/>
              </w:rPr>
            </w:pPr>
            <w:r>
              <w:rPr>
                <w:rFonts w:hint="eastAsia" w:ascii="仿宋" w:hAnsi="仿宋" w:eastAsia="仿宋" w:cs="仿宋"/>
                <w:color w:val="auto"/>
                <w:kern w:val="2"/>
                <w:sz w:val="22"/>
                <w:szCs w:val="22"/>
                <w:lang w:val="en-US" w:eastAsia="zh-CN" w:bidi="ar-SA"/>
              </w:rPr>
              <w:t>（6）系统操作问题请咨询技术支持电话0991-2899144，CA办理问题请咨询新疆CA服务电话0991-2819290，或加QQ号800175577。</w:t>
            </w:r>
          </w:p>
        </w:tc>
      </w:tr>
      <w:tr w14:paraId="05B8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61104DA6">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23</w:t>
            </w:r>
          </w:p>
        </w:tc>
        <w:tc>
          <w:tcPr>
            <w:tcW w:w="1888" w:type="dxa"/>
            <w:vAlign w:val="center"/>
          </w:tcPr>
          <w:p w14:paraId="5B3A30F8">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磋商小组</w:t>
            </w:r>
            <w:r>
              <w:rPr>
                <w:rFonts w:hint="eastAsia" w:ascii="仿宋" w:hAnsi="仿宋" w:eastAsia="仿宋" w:cs="仿宋"/>
                <w:color w:val="auto"/>
                <w:kern w:val="2"/>
                <w:sz w:val="22"/>
                <w:szCs w:val="22"/>
              </w:rPr>
              <w:t>的组成</w:t>
            </w:r>
          </w:p>
        </w:tc>
        <w:tc>
          <w:tcPr>
            <w:tcW w:w="7044" w:type="dxa"/>
            <w:vAlign w:val="center"/>
          </w:tcPr>
          <w:p w14:paraId="5805A5C0">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磋商小组由业主代表、有关技术、经济等方面的专家组成。成员人数应当为三人及以上单数，而且专家人数不少于磋商小组人数的三分之二，按相关规定从新疆政府采购网专家库中随机抽取。</w:t>
            </w:r>
          </w:p>
        </w:tc>
      </w:tr>
      <w:tr w14:paraId="6CC4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7279762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24</w:t>
            </w:r>
          </w:p>
        </w:tc>
        <w:tc>
          <w:tcPr>
            <w:tcW w:w="1888" w:type="dxa"/>
            <w:vAlign w:val="center"/>
          </w:tcPr>
          <w:p w14:paraId="663B5C9C">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供应商</w:t>
            </w:r>
            <w:r>
              <w:rPr>
                <w:rFonts w:hint="eastAsia" w:ascii="仿宋" w:hAnsi="仿宋" w:eastAsia="仿宋" w:cs="仿宋"/>
                <w:color w:val="auto"/>
                <w:kern w:val="2"/>
                <w:sz w:val="22"/>
                <w:szCs w:val="22"/>
              </w:rPr>
              <w:t>提出问题或要求澄清</w:t>
            </w:r>
            <w:r>
              <w:rPr>
                <w:rFonts w:hint="eastAsia" w:ascii="仿宋" w:hAnsi="仿宋" w:eastAsia="仿宋" w:cs="仿宋"/>
                <w:color w:val="auto"/>
                <w:kern w:val="2"/>
                <w:sz w:val="22"/>
                <w:szCs w:val="22"/>
                <w:lang w:eastAsia="zh-CN"/>
              </w:rPr>
              <w:t>磋商文件</w:t>
            </w:r>
            <w:r>
              <w:rPr>
                <w:rFonts w:hint="eastAsia" w:ascii="仿宋" w:hAnsi="仿宋" w:eastAsia="仿宋" w:cs="仿宋"/>
                <w:color w:val="auto"/>
                <w:kern w:val="2"/>
                <w:sz w:val="22"/>
                <w:szCs w:val="22"/>
              </w:rPr>
              <w:t>的截止时间</w:t>
            </w:r>
          </w:p>
        </w:tc>
        <w:tc>
          <w:tcPr>
            <w:tcW w:w="7044" w:type="dxa"/>
            <w:vAlign w:val="center"/>
          </w:tcPr>
          <w:p w14:paraId="3B412561">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响应文件</w:t>
            </w:r>
            <w:r>
              <w:rPr>
                <w:rFonts w:hint="eastAsia" w:ascii="仿宋" w:hAnsi="仿宋" w:eastAsia="仿宋" w:cs="仿宋"/>
                <w:color w:val="auto"/>
                <w:kern w:val="2"/>
                <w:sz w:val="22"/>
                <w:szCs w:val="22"/>
              </w:rPr>
              <w:t>递交截止时间</w:t>
            </w:r>
            <w:r>
              <w:rPr>
                <w:rFonts w:hint="eastAsia" w:ascii="仿宋" w:hAnsi="仿宋" w:eastAsia="仿宋" w:cs="仿宋"/>
                <w:color w:val="auto"/>
                <w:kern w:val="2"/>
                <w:sz w:val="22"/>
                <w:szCs w:val="22"/>
                <w:lang w:val="en-US" w:eastAsia="zh-CN"/>
              </w:rPr>
              <w:t>10</w:t>
            </w:r>
            <w:r>
              <w:rPr>
                <w:rFonts w:hint="eastAsia" w:ascii="仿宋" w:hAnsi="仿宋" w:eastAsia="仿宋" w:cs="仿宋"/>
                <w:color w:val="auto"/>
                <w:kern w:val="2"/>
                <w:sz w:val="22"/>
                <w:szCs w:val="22"/>
              </w:rPr>
              <w:t>日前，由</w:t>
            </w:r>
            <w:r>
              <w:rPr>
                <w:rFonts w:hint="eastAsia" w:ascii="仿宋" w:hAnsi="仿宋" w:eastAsia="仿宋" w:cs="仿宋"/>
                <w:color w:val="auto"/>
                <w:kern w:val="2"/>
                <w:sz w:val="22"/>
                <w:szCs w:val="22"/>
                <w:lang w:eastAsia="zh-CN"/>
              </w:rPr>
              <w:t>供应商</w:t>
            </w:r>
            <w:r>
              <w:rPr>
                <w:rFonts w:hint="eastAsia" w:ascii="仿宋" w:hAnsi="仿宋" w:eastAsia="仿宋" w:cs="仿宋"/>
                <w:color w:val="auto"/>
                <w:kern w:val="2"/>
                <w:sz w:val="22"/>
                <w:szCs w:val="22"/>
              </w:rPr>
              <w:t>的委托代理人</w:t>
            </w:r>
            <w:r>
              <w:rPr>
                <w:rFonts w:hint="eastAsia" w:ascii="仿宋" w:hAnsi="仿宋" w:eastAsia="仿宋" w:cs="仿宋"/>
                <w:color w:val="auto"/>
                <w:kern w:val="2"/>
                <w:sz w:val="22"/>
                <w:szCs w:val="22"/>
                <w:lang w:eastAsia="zh-CN"/>
              </w:rPr>
              <w:t>递交</w:t>
            </w:r>
            <w:r>
              <w:rPr>
                <w:rFonts w:hint="eastAsia" w:ascii="仿宋" w:hAnsi="仿宋" w:eastAsia="仿宋" w:cs="仿宋"/>
                <w:color w:val="auto"/>
                <w:kern w:val="2"/>
                <w:sz w:val="22"/>
                <w:szCs w:val="22"/>
              </w:rPr>
              <w:t>书面材料（盖公章）至采购代理机构，</w:t>
            </w:r>
            <w:r>
              <w:rPr>
                <w:rFonts w:hint="eastAsia" w:ascii="仿宋" w:hAnsi="仿宋" w:eastAsia="仿宋" w:cs="仿宋"/>
                <w:color w:val="auto"/>
                <w:kern w:val="2"/>
                <w:sz w:val="22"/>
                <w:szCs w:val="22"/>
                <w:lang w:eastAsia="zh-CN"/>
              </w:rPr>
              <w:t>采购人</w:t>
            </w:r>
            <w:r>
              <w:rPr>
                <w:rFonts w:hint="eastAsia" w:ascii="仿宋" w:hAnsi="仿宋" w:eastAsia="仿宋" w:cs="仿宋"/>
                <w:color w:val="auto"/>
                <w:kern w:val="2"/>
                <w:sz w:val="22"/>
                <w:szCs w:val="22"/>
              </w:rPr>
              <w:t>将以</w:t>
            </w:r>
            <w:r>
              <w:rPr>
                <w:rFonts w:hint="eastAsia" w:ascii="仿宋" w:hAnsi="仿宋" w:eastAsia="仿宋" w:cs="仿宋"/>
                <w:color w:val="auto"/>
                <w:kern w:val="2"/>
                <w:sz w:val="22"/>
                <w:szCs w:val="22"/>
                <w:lang w:eastAsia="zh-CN"/>
              </w:rPr>
              <w:t>磋商文件</w:t>
            </w:r>
            <w:r>
              <w:rPr>
                <w:rFonts w:hint="eastAsia" w:ascii="仿宋" w:hAnsi="仿宋" w:eastAsia="仿宋" w:cs="仿宋"/>
                <w:color w:val="auto"/>
                <w:kern w:val="2"/>
                <w:sz w:val="22"/>
                <w:szCs w:val="22"/>
              </w:rPr>
              <w:t>补充形式及时予以解答，并以书面（或公告）形式将澄清或者修改的内容通知所有</w:t>
            </w:r>
            <w:r>
              <w:rPr>
                <w:rFonts w:hint="eastAsia" w:ascii="仿宋" w:hAnsi="仿宋" w:eastAsia="仿宋" w:cs="仿宋"/>
                <w:color w:val="auto"/>
                <w:kern w:val="2"/>
                <w:sz w:val="22"/>
                <w:szCs w:val="22"/>
                <w:lang w:eastAsia="zh-CN"/>
              </w:rPr>
              <w:t>获取</w:t>
            </w:r>
            <w:r>
              <w:rPr>
                <w:rFonts w:hint="eastAsia" w:ascii="仿宋" w:hAnsi="仿宋" w:eastAsia="仿宋" w:cs="仿宋"/>
                <w:color w:val="auto"/>
                <w:kern w:val="2"/>
                <w:sz w:val="22"/>
                <w:szCs w:val="22"/>
              </w:rPr>
              <w:t>了</w:t>
            </w:r>
            <w:r>
              <w:rPr>
                <w:rFonts w:hint="eastAsia" w:ascii="仿宋" w:hAnsi="仿宋" w:eastAsia="仿宋" w:cs="仿宋"/>
                <w:color w:val="auto"/>
                <w:kern w:val="2"/>
                <w:sz w:val="22"/>
                <w:szCs w:val="22"/>
                <w:lang w:eastAsia="zh-CN"/>
              </w:rPr>
              <w:t>磋商文件</w:t>
            </w:r>
            <w:r>
              <w:rPr>
                <w:rFonts w:hint="eastAsia" w:ascii="仿宋" w:hAnsi="仿宋" w:eastAsia="仿宋" w:cs="仿宋"/>
                <w:color w:val="auto"/>
                <w:kern w:val="2"/>
                <w:sz w:val="22"/>
                <w:szCs w:val="22"/>
              </w:rPr>
              <w:t>的</w:t>
            </w:r>
            <w:r>
              <w:rPr>
                <w:rFonts w:hint="eastAsia" w:ascii="仿宋" w:hAnsi="仿宋" w:eastAsia="仿宋" w:cs="仿宋"/>
                <w:color w:val="auto"/>
                <w:kern w:val="2"/>
                <w:sz w:val="22"/>
                <w:szCs w:val="22"/>
                <w:lang w:eastAsia="zh-CN"/>
              </w:rPr>
              <w:t>供应商</w:t>
            </w:r>
            <w:r>
              <w:rPr>
                <w:rFonts w:hint="eastAsia" w:ascii="仿宋" w:hAnsi="仿宋" w:eastAsia="仿宋" w:cs="仿宋"/>
                <w:color w:val="auto"/>
                <w:kern w:val="2"/>
                <w:sz w:val="22"/>
                <w:szCs w:val="22"/>
              </w:rPr>
              <w:t>。</w:t>
            </w:r>
          </w:p>
        </w:tc>
      </w:tr>
      <w:tr w14:paraId="5647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11B4591A">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25</w:t>
            </w:r>
          </w:p>
        </w:tc>
        <w:tc>
          <w:tcPr>
            <w:tcW w:w="1888" w:type="dxa"/>
            <w:vAlign w:val="center"/>
          </w:tcPr>
          <w:p w14:paraId="0C668604">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投标有效期</w:t>
            </w:r>
          </w:p>
        </w:tc>
        <w:tc>
          <w:tcPr>
            <w:tcW w:w="7044" w:type="dxa"/>
            <w:vAlign w:val="center"/>
          </w:tcPr>
          <w:p w14:paraId="5FE4D359">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从开标之日起</w:t>
            </w:r>
            <w:r>
              <w:rPr>
                <w:rFonts w:hint="eastAsia" w:ascii="仿宋" w:hAnsi="仿宋" w:eastAsia="仿宋" w:cs="仿宋"/>
                <w:color w:val="auto"/>
                <w:kern w:val="2"/>
                <w:sz w:val="22"/>
                <w:szCs w:val="22"/>
                <w:lang w:val="en-US" w:eastAsia="zh-CN"/>
              </w:rPr>
              <w:t>60</w:t>
            </w:r>
            <w:r>
              <w:rPr>
                <w:rFonts w:hint="eastAsia" w:ascii="仿宋" w:hAnsi="仿宋" w:eastAsia="仿宋" w:cs="仿宋"/>
                <w:color w:val="auto"/>
                <w:kern w:val="2"/>
                <w:sz w:val="22"/>
                <w:szCs w:val="22"/>
              </w:rPr>
              <w:t>日历天</w:t>
            </w:r>
          </w:p>
        </w:tc>
      </w:tr>
      <w:tr w14:paraId="0721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2" w:type="dxa"/>
            <w:shd w:val="clear" w:color="auto" w:fill="auto"/>
            <w:vAlign w:val="center"/>
          </w:tcPr>
          <w:p w14:paraId="7ABA315C">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6</w:t>
            </w:r>
          </w:p>
        </w:tc>
        <w:tc>
          <w:tcPr>
            <w:tcW w:w="1888" w:type="dxa"/>
            <w:vAlign w:val="center"/>
          </w:tcPr>
          <w:p w14:paraId="6B11E30C">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履约保证金</w:t>
            </w:r>
          </w:p>
        </w:tc>
        <w:tc>
          <w:tcPr>
            <w:tcW w:w="7044" w:type="dxa"/>
            <w:vAlign w:val="center"/>
          </w:tcPr>
          <w:p w14:paraId="001D9620">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rPr>
              <w:t>签订合同时约定</w:t>
            </w:r>
          </w:p>
        </w:tc>
      </w:tr>
      <w:tr w14:paraId="4784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72CDF6BB">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7</w:t>
            </w:r>
          </w:p>
        </w:tc>
        <w:tc>
          <w:tcPr>
            <w:tcW w:w="1888" w:type="dxa"/>
            <w:vAlign w:val="center"/>
          </w:tcPr>
          <w:p w14:paraId="212D9295">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代理服务费</w:t>
            </w:r>
          </w:p>
        </w:tc>
        <w:tc>
          <w:tcPr>
            <w:tcW w:w="7044" w:type="dxa"/>
            <w:vAlign w:val="center"/>
          </w:tcPr>
          <w:p w14:paraId="3C48E4DE">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根据成本加合理利润原则，经与采购人协商，磋商文件特别约定，招标代理服务费按照人民币11250.00元（大写：壹万零伍佰元整）收取，由中标单位支付。</w:t>
            </w:r>
          </w:p>
        </w:tc>
      </w:tr>
      <w:tr w14:paraId="4857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570A02A5">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rPr>
              <w:t>28</w:t>
            </w:r>
          </w:p>
        </w:tc>
        <w:tc>
          <w:tcPr>
            <w:tcW w:w="1888" w:type="dxa"/>
            <w:vAlign w:val="center"/>
          </w:tcPr>
          <w:p w14:paraId="01AAA09E">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招标公告发布媒体</w:t>
            </w:r>
          </w:p>
        </w:tc>
        <w:tc>
          <w:tcPr>
            <w:tcW w:w="7044" w:type="dxa"/>
            <w:vAlign w:val="center"/>
          </w:tcPr>
          <w:p w14:paraId="5C4DC410">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u w:val="none"/>
              </w:rPr>
              <w:t>招标公告在“</w:t>
            </w:r>
            <w:r>
              <w:rPr>
                <w:rFonts w:hint="eastAsia" w:ascii="仿宋" w:hAnsi="仿宋" w:eastAsia="仿宋" w:cs="仿宋"/>
                <w:color w:val="auto"/>
                <w:sz w:val="22"/>
                <w:szCs w:val="22"/>
                <w:u w:val="none"/>
                <w:lang w:eastAsia="zh-CN"/>
              </w:rPr>
              <w:t>新疆政府采购网</w:t>
            </w:r>
            <w:r>
              <w:rPr>
                <w:rFonts w:hint="eastAsia" w:ascii="仿宋" w:hAnsi="仿宋" w:eastAsia="仿宋" w:cs="仿宋"/>
                <w:color w:val="auto"/>
                <w:sz w:val="22"/>
                <w:szCs w:val="22"/>
                <w:u w:val="none"/>
              </w:rPr>
              <w:t>”网上发布</w:t>
            </w:r>
          </w:p>
        </w:tc>
      </w:tr>
      <w:tr w14:paraId="1047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430304ED">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rPr>
              <w:t>29</w:t>
            </w:r>
          </w:p>
        </w:tc>
        <w:tc>
          <w:tcPr>
            <w:tcW w:w="1888" w:type="dxa"/>
            <w:vAlign w:val="center"/>
          </w:tcPr>
          <w:p w14:paraId="50A29229">
            <w:pPr>
              <w:adjustRightInd w:val="0"/>
              <w:snapToGrid w:val="0"/>
              <w:spacing w:line="400" w:lineRule="exact"/>
              <w:ind w:firstLine="0" w:firstLineChars="0"/>
              <w:jc w:val="center"/>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en-US" w:eastAsia="zh-CN"/>
              </w:rPr>
              <w:t>询问</w:t>
            </w:r>
          </w:p>
        </w:tc>
        <w:tc>
          <w:tcPr>
            <w:tcW w:w="7044" w:type="dxa"/>
            <w:vAlign w:val="center"/>
          </w:tcPr>
          <w:p w14:paraId="2595546E">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对磋商文件、招标过程、招标结果的询问向采购人或采购代理机构提出，并由采购人按相关规定作出答复或采购代理机构在委托授权范围内作出答复。</w:t>
            </w:r>
          </w:p>
          <w:p w14:paraId="374A982C">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询问可以采取书面形式，也可以采取口头方式。</w:t>
            </w:r>
          </w:p>
          <w:p w14:paraId="52553437">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联系人：李会</w:t>
            </w:r>
          </w:p>
          <w:p w14:paraId="1BC221EA">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联系电话：15292649399。</w:t>
            </w:r>
          </w:p>
          <w:p w14:paraId="048581AB">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zh-CN" w:eastAsia="zh-CN"/>
              </w:rPr>
              <w:t>注：采购人或采购代理机构只对供应商依法提出的询问作出答复。</w:t>
            </w:r>
          </w:p>
        </w:tc>
      </w:tr>
      <w:tr w14:paraId="06E6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17EDAE29">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rPr>
              <w:t>30</w:t>
            </w:r>
          </w:p>
        </w:tc>
        <w:tc>
          <w:tcPr>
            <w:tcW w:w="1888" w:type="dxa"/>
            <w:shd w:val="clear" w:color="auto" w:fill="auto"/>
            <w:vAlign w:val="center"/>
          </w:tcPr>
          <w:p w14:paraId="60DE805B">
            <w:pPr>
              <w:adjustRightInd w:val="0"/>
              <w:snapToGrid w:val="0"/>
              <w:spacing w:line="400" w:lineRule="exact"/>
              <w:ind w:firstLine="0" w:firstLineChars="0"/>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政府采购合同</w:t>
            </w:r>
          </w:p>
          <w:p w14:paraId="534805BB">
            <w:pPr>
              <w:adjustRightInd w:val="0"/>
              <w:snapToGrid w:val="0"/>
              <w:spacing w:line="400" w:lineRule="exact"/>
              <w:ind w:firstLine="0" w:firstLineChars="0"/>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公告备案</w:t>
            </w:r>
          </w:p>
        </w:tc>
        <w:tc>
          <w:tcPr>
            <w:tcW w:w="7044" w:type="dxa"/>
            <w:shd w:val="clear" w:color="auto" w:fill="auto"/>
            <w:vAlign w:val="center"/>
          </w:tcPr>
          <w:p w14:paraId="098DCC0B">
            <w:pPr>
              <w:adjustRightInd w:val="0"/>
              <w:snapToGrid w:val="0"/>
              <w:spacing w:line="400" w:lineRule="exact"/>
              <w:ind w:firstLine="0" w:firstLineChars="0"/>
              <w:jc w:val="both"/>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政府采购合同签订之日起2个工作日内，采购人应将政府采购合同在新疆政府采购网公告；政府采购合同签订之日起七个工作日内，政府采购合同将向本采购项目同级财政部门备案。</w:t>
            </w:r>
          </w:p>
        </w:tc>
      </w:tr>
      <w:tr w14:paraId="10A4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shd w:val="clear" w:color="auto" w:fill="auto"/>
            <w:vAlign w:val="center"/>
          </w:tcPr>
          <w:p w14:paraId="2FFC8B60">
            <w:pPr>
              <w:adjustRightInd w:val="0"/>
              <w:snapToGrid w:val="0"/>
              <w:spacing w:line="400" w:lineRule="exact"/>
              <w:ind w:firstLine="0" w:firstLineChars="0"/>
              <w:jc w:val="center"/>
              <w:rPr>
                <w:rFonts w:hint="default"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31</w:t>
            </w:r>
          </w:p>
        </w:tc>
        <w:tc>
          <w:tcPr>
            <w:tcW w:w="1888" w:type="dxa"/>
            <w:shd w:val="clear" w:color="auto" w:fill="auto"/>
            <w:vAlign w:val="center"/>
          </w:tcPr>
          <w:p w14:paraId="3B122634">
            <w:pPr>
              <w:adjustRightInd w:val="0"/>
              <w:snapToGrid w:val="0"/>
              <w:spacing w:line="400" w:lineRule="exact"/>
              <w:ind w:firstLine="0" w:firstLineChars="0"/>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磋商轮数和最后报价的其他要求</w:t>
            </w:r>
          </w:p>
        </w:tc>
        <w:tc>
          <w:tcPr>
            <w:tcW w:w="7044" w:type="dxa"/>
            <w:shd w:val="clear" w:color="auto" w:fill="auto"/>
            <w:vAlign w:val="center"/>
          </w:tcPr>
          <w:p w14:paraId="2C2E4827">
            <w:pPr>
              <w:adjustRightInd w:val="0"/>
              <w:snapToGrid w:val="0"/>
              <w:spacing w:line="400" w:lineRule="exact"/>
              <w:ind w:firstLine="0" w:firstLineChars="0"/>
              <w:jc w:val="left"/>
              <w:rPr>
                <w:rFonts w:hint="eastAsia" w:ascii="仿宋" w:hAnsi="仿宋" w:eastAsia="仿宋" w:cs="仿宋"/>
                <w:color w:val="000000" w:themeColor="text1"/>
                <w:kern w:val="2"/>
                <w:sz w:val="22"/>
                <w:szCs w:val="22"/>
                <w:lang w:val="zh-CN"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1、</w:t>
            </w:r>
            <w:r>
              <w:rPr>
                <w:rFonts w:hint="eastAsia" w:ascii="仿宋" w:hAnsi="仿宋" w:eastAsia="仿宋" w:cs="仿宋"/>
                <w:color w:val="000000" w:themeColor="text1"/>
                <w:kern w:val="2"/>
                <w:sz w:val="22"/>
                <w:szCs w:val="22"/>
                <w:lang w:val="zh-CN" w:eastAsia="zh-CN" w:bidi="ar-SA"/>
                <w14:textFill>
                  <w14:solidFill>
                    <w14:schemeClr w14:val="tx1"/>
                  </w14:solidFill>
                </w14:textFill>
              </w:rPr>
              <w:t>磋商轮数:两轮</w:t>
            </w:r>
          </w:p>
          <w:p w14:paraId="2687B399">
            <w:pPr>
              <w:adjustRightInd w:val="0"/>
              <w:snapToGrid w:val="0"/>
              <w:spacing w:line="400" w:lineRule="exact"/>
              <w:ind w:firstLine="0" w:firstLineChars="0"/>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2</w:t>
            </w:r>
            <w:r>
              <w:rPr>
                <w:rFonts w:hint="eastAsia" w:ascii="仿宋" w:hAnsi="仿宋" w:eastAsia="仿宋" w:cs="仿宋"/>
                <w:color w:val="000000" w:themeColor="text1"/>
                <w:kern w:val="2"/>
                <w:sz w:val="22"/>
                <w:szCs w:val="22"/>
                <w:lang w:val="zh-CN" w:eastAsia="zh-CN" w:bidi="ar-SA"/>
                <w14:textFill>
                  <w14:solidFill>
                    <w14:schemeClr w14:val="tx1"/>
                  </w14:solidFill>
                </w14:textFill>
              </w:rPr>
              <w:t>、最后一轮磋商结束后，仅对满足竞争性磋商文件实质性要求的供应商，进行第二次最终报价，但最终报价不得高于第一次报价，否则其投标将被否决。最后报价由供应商在政采云递交。</w:t>
            </w:r>
          </w:p>
        </w:tc>
      </w:tr>
    </w:tbl>
    <w:p w14:paraId="21FC1EC3">
      <w:pPr>
        <w:widowControl/>
        <w:spacing w:line="240" w:lineRule="auto"/>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br w:type="page"/>
      </w:r>
    </w:p>
    <w:p w14:paraId="127A324B">
      <w:pPr>
        <w:pStyle w:val="5"/>
        <w:pageBreakBefore w:val="0"/>
        <w:widowControl w:val="0"/>
        <w:numPr>
          <w:ilvl w:val="0"/>
          <w:numId w:val="0"/>
        </w:numPr>
        <w:kinsoku/>
        <w:wordWrap/>
        <w:overflowPunct/>
        <w:topLinePunct w:val="0"/>
        <w:autoSpaceDE/>
        <w:autoSpaceDN/>
        <w:bidi w:val="0"/>
        <w:spacing w:line="500" w:lineRule="exact"/>
        <w:ind w:leftChars="0" w:right="0" w:rightChars="0"/>
        <w:jc w:val="center"/>
        <w:textAlignment w:val="auto"/>
        <w:rPr>
          <w:rFonts w:hint="eastAsia" w:ascii="仿宋" w:hAnsi="仿宋" w:eastAsia="仿宋" w:cs="仿宋"/>
          <w:color w:val="auto"/>
          <w:sz w:val="32"/>
          <w:szCs w:val="36"/>
        </w:rPr>
      </w:pPr>
      <w:bookmarkStart w:id="81" w:name="_Toc20524"/>
      <w:bookmarkStart w:id="82" w:name="_Toc18165"/>
      <w:bookmarkStart w:id="83" w:name="_Toc5548"/>
      <w:bookmarkStart w:id="84" w:name="_Toc24722"/>
      <w:bookmarkStart w:id="85" w:name="_Toc24320"/>
      <w:bookmarkStart w:id="86" w:name="_Toc12510"/>
      <w:bookmarkStart w:id="87" w:name="_Toc26955"/>
      <w:bookmarkStart w:id="88" w:name="_Toc27484"/>
      <w:bookmarkStart w:id="89" w:name="_Toc16333"/>
      <w:bookmarkStart w:id="90" w:name="_Toc84017889"/>
      <w:bookmarkStart w:id="91" w:name="_Toc23212"/>
      <w:bookmarkStart w:id="92" w:name="_Toc6068_WPSOffice_Level1"/>
      <w:r>
        <w:rPr>
          <w:rFonts w:hint="eastAsia" w:ascii="仿宋" w:hAnsi="仿宋" w:eastAsia="仿宋" w:cs="仿宋"/>
          <w:color w:val="auto"/>
          <w:sz w:val="32"/>
          <w:szCs w:val="36"/>
          <w:lang w:eastAsia="zh-CN"/>
        </w:rPr>
        <w:t>二、</w:t>
      </w:r>
      <w:r>
        <w:rPr>
          <w:rFonts w:hint="eastAsia" w:ascii="仿宋" w:hAnsi="仿宋" w:eastAsia="仿宋" w:cs="仿宋"/>
          <w:color w:val="auto"/>
          <w:sz w:val="32"/>
          <w:szCs w:val="36"/>
        </w:rPr>
        <w:t>总  则</w:t>
      </w:r>
      <w:bookmarkEnd w:id="81"/>
      <w:bookmarkEnd w:id="82"/>
      <w:bookmarkEnd w:id="83"/>
      <w:bookmarkEnd w:id="84"/>
      <w:bookmarkEnd w:id="85"/>
      <w:bookmarkEnd w:id="86"/>
      <w:bookmarkEnd w:id="87"/>
      <w:bookmarkEnd w:id="88"/>
      <w:bookmarkEnd w:id="89"/>
    </w:p>
    <w:p w14:paraId="399C8C75">
      <w:pPr>
        <w:pStyle w:val="6"/>
        <w:bidi w:val="0"/>
        <w:ind w:left="0" w:leftChars="0" w:right="0" w:rightChars="0" w:firstLine="0" w:firstLineChars="0"/>
        <w:jc w:val="center"/>
        <w:rPr>
          <w:rFonts w:hint="eastAsia" w:ascii="仿宋" w:hAnsi="仿宋" w:eastAsia="仿宋" w:cs="仿宋"/>
          <w:color w:val="auto"/>
          <w:lang w:val="en-US" w:eastAsia="zh-CN"/>
        </w:rPr>
      </w:pPr>
      <w:bookmarkStart w:id="93" w:name="_Toc3726"/>
      <w:bookmarkStart w:id="94" w:name="_Toc30302"/>
      <w:bookmarkStart w:id="95" w:name="_Toc6669"/>
      <w:r>
        <w:rPr>
          <w:rFonts w:hint="eastAsia" w:ascii="仿宋" w:hAnsi="仿宋" w:eastAsia="仿宋" w:cs="仿宋"/>
          <w:color w:val="auto"/>
          <w:lang w:val="en-US" w:eastAsia="zh-CN"/>
        </w:rPr>
        <w:t>（一)、说明</w:t>
      </w:r>
      <w:bookmarkEnd w:id="93"/>
      <w:bookmarkEnd w:id="94"/>
      <w:bookmarkEnd w:id="95"/>
    </w:p>
    <w:p w14:paraId="45DF930B">
      <w:pPr>
        <w:pStyle w:val="2"/>
        <w:bidi w:val="0"/>
        <w:rPr>
          <w:rFonts w:hint="eastAsia" w:ascii="仿宋" w:hAnsi="仿宋" w:eastAsia="仿宋" w:cs="仿宋"/>
          <w:color w:val="auto"/>
        </w:rPr>
      </w:pPr>
      <w:bookmarkStart w:id="96" w:name="_Toc183682354"/>
      <w:bookmarkStart w:id="97" w:name="_Toc183582217"/>
      <w:bookmarkStart w:id="98" w:name="_Toc217446048"/>
      <w:r>
        <w:rPr>
          <w:rFonts w:hint="eastAsia" w:ascii="仿宋" w:hAnsi="仿宋" w:eastAsia="仿宋" w:cs="仿宋"/>
          <w:color w:val="auto"/>
        </w:rPr>
        <w:t>1.1 适用范围</w:t>
      </w:r>
    </w:p>
    <w:p w14:paraId="7A955D28">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w:t>
      </w:r>
      <w:r>
        <w:rPr>
          <w:rFonts w:hint="eastAsia" w:ascii="仿宋" w:hAnsi="仿宋" w:eastAsia="仿宋" w:cs="仿宋"/>
          <w:color w:val="auto"/>
          <w:sz w:val="24"/>
          <w:lang w:eastAsia="zh-CN"/>
        </w:rPr>
        <w:t>磋商文件</w:t>
      </w:r>
      <w:r>
        <w:rPr>
          <w:rFonts w:hint="eastAsia" w:ascii="仿宋" w:hAnsi="仿宋" w:eastAsia="仿宋" w:cs="仿宋"/>
          <w:color w:val="auto"/>
          <w:sz w:val="24"/>
        </w:rPr>
        <w:t>仅适用于本</w:t>
      </w:r>
      <w:r>
        <w:rPr>
          <w:rFonts w:hint="eastAsia" w:ascii="仿宋" w:hAnsi="仿宋" w:eastAsia="仿宋" w:cs="仿宋"/>
          <w:color w:val="auto"/>
          <w:sz w:val="24"/>
          <w:lang w:eastAsia="zh-CN"/>
        </w:rPr>
        <w:t>磋商文件</w:t>
      </w:r>
      <w:r>
        <w:rPr>
          <w:rFonts w:hint="eastAsia" w:ascii="仿宋" w:hAnsi="仿宋" w:eastAsia="仿宋" w:cs="仿宋"/>
          <w:color w:val="auto"/>
          <w:sz w:val="24"/>
        </w:rPr>
        <w:t>中所叙述的采购项目。</w:t>
      </w:r>
    </w:p>
    <w:p w14:paraId="39C216FA">
      <w:pPr>
        <w:pStyle w:val="2"/>
        <w:bidi w:val="0"/>
        <w:rPr>
          <w:rFonts w:hint="eastAsia" w:ascii="仿宋" w:hAnsi="仿宋" w:eastAsia="仿宋" w:cs="仿宋"/>
          <w:color w:val="auto"/>
        </w:rPr>
      </w:pPr>
      <w:r>
        <w:rPr>
          <w:rFonts w:hint="eastAsia" w:ascii="仿宋" w:hAnsi="仿宋" w:eastAsia="仿宋" w:cs="仿宋"/>
          <w:color w:val="auto"/>
        </w:rPr>
        <w:t>1.2 项目概况</w:t>
      </w:r>
    </w:p>
    <w:p w14:paraId="556418C1">
      <w:pPr>
        <w:adjustRightInd w:val="0"/>
        <w:snapToGrid w:val="0"/>
        <w:spacing w:line="360" w:lineRule="auto"/>
        <w:ind w:firstLine="480" w:firstLineChars="200"/>
        <w:rPr>
          <w:rFonts w:hint="eastAsia" w:ascii="仿宋" w:hAnsi="仿宋" w:eastAsia="仿宋" w:cs="仿宋"/>
          <w:color w:val="auto"/>
          <w:sz w:val="24"/>
          <w:lang w:val="en-US"/>
        </w:rPr>
      </w:pPr>
      <w:r>
        <w:rPr>
          <w:rFonts w:hint="eastAsia" w:ascii="仿宋" w:hAnsi="仿宋" w:eastAsia="仿宋" w:cs="仿宋"/>
          <w:color w:val="auto"/>
          <w:sz w:val="24"/>
          <w:szCs w:val="24"/>
          <w:lang w:val="en-US" w:eastAsia="zh-CN"/>
        </w:rPr>
        <w:t>见第六章采购需求</w:t>
      </w:r>
    </w:p>
    <w:p w14:paraId="470F530C">
      <w:pPr>
        <w:pStyle w:val="2"/>
        <w:bidi w:val="0"/>
        <w:rPr>
          <w:rFonts w:hint="eastAsia" w:ascii="仿宋" w:hAnsi="仿宋" w:eastAsia="仿宋" w:cs="仿宋"/>
          <w:color w:val="auto"/>
          <w:lang w:eastAsia="zh-CN"/>
        </w:rPr>
      </w:pPr>
      <w:r>
        <w:rPr>
          <w:rFonts w:hint="eastAsia" w:ascii="仿宋" w:hAnsi="仿宋" w:eastAsia="仿宋" w:cs="仿宋"/>
          <w:color w:val="auto"/>
        </w:rPr>
        <w:t>1.3 合格的</w:t>
      </w:r>
      <w:r>
        <w:rPr>
          <w:rFonts w:hint="eastAsia" w:ascii="仿宋" w:hAnsi="仿宋" w:eastAsia="仿宋" w:cs="仿宋"/>
          <w:color w:val="auto"/>
          <w:lang w:eastAsia="zh-CN"/>
        </w:rPr>
        <w:t>供应商</w:t>
      </w:r>
    </w:p>
    <w:p w14:paraId="568C3E4E">
      <w:pPr>
        <w:adjustRightInd w:val="0"/>
        <w:snapToGrid w:val="0"/>
        <w:spacing w:line="360" w:lineRule="auto"/>
        <w:ind w:firstLine="480" w:firstLineChars="200"/>
        <w:rPr>
          <w:rFonts w:hint="eastAsia" w:ascii="仿宋" w:hAnsi="仿宋" w:eastAsia="仿宋" w:cs="仿宋"/>
          <w:b/>
          <w:bCs/>
          <w:color w:val="auto"/>
          <w:sz w:val="24"/>
        </w:rPr>
      </w:pPr>
      <w:r>
        <w:rPr>
          <w:rFonts w:hint="eastAsia" w:ascii="仿宋" w:hAnsi="仿宋" w:eastAsia="仿宋" w:cs="仿宋"/>
          <w:bCs/>
          <w:color w:val="auto"/>
          <w:sz w:val="24"/>
        </w:rPr>
        <w:t xml:space="preserve">1.3.1 </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的资格要求见</w:t>
      </w:r>
      <w:r>
        <w:rPr>
          <w:rFonts w:hint="eastAsia" w:ascii="仿宋" w:hAnsi="仿宋" w:eastAsia="仿宋" w:cs="仿宋"/>
          <w:b/>
          <w:color w:val="auto"/>
          <w:sz w:val="24"/>
        </w:rPr>
        <w:t>须知前附表1</w:t>
      </w:r>
      <w:r>
        <w:rPr>
          <w:rFonts w:hint="eastAsia" w:ascii="仿宋" w:hAnsi="仿宋" w:eastAsia="仿宋" w:cs="仿宋"/>
          <w:color w:val="auto"/>
          <w:sz w:val="24"/>
        </w:rPr>
        <w:t>；</w:t>
      </w:r>
    </w:p>
    <w:p w14:paraId="09EB6181">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1.3.2一个</w:t>
      </w:r>
      <w:r>
        <w:rPr>
          <w:rFonts w:hint="eastAsia" w:ascii="仿宋" w:hAnsi="仿宋" w:eastAsia="仿宋" w:cs="仿宋"/>
          <w:color w:val="auto"/>
          <w:sz w:val="24"/>
          <w:lang w:eastAsia="zh-CN"/>
        </w:rPr>
        <w:t>供应商</w:t>
      </w:r>
      <w:r>
        <w:rPr>
          <w:rFonts w:hint="eastAsia" w:ascii="仿宋" w:hAnsi="仿宋" w:eastAsia="仿宋" w:cs="仿宋"/>
          <w:color w:val="auto"/>
          <w:sz w:val="24"/>
        </w:rPr>
        <w:t>只能</w:t>
      </w:r>
      <w:r>
        <w:rPr>
          <w:rFonts w:hint="eastAsia" w:ascii="仿宋" w:hAnsi="仿宋" w:eastAsia="仿宋" w:cs="仿宋"/>
          <w:color w:val="auto"/>
          <w:sz w:val="24"/>
          <w:lang w:eastAsia="zh-CN"/>
        </w:rPr>
        <w:t>递</w:t>
      </w:r>
      <w:r>
        <w:rPr>
          <w:rFonts w:hint="eastAsia" w:ascii="仿宋" w:hAnsi="仿宋" w:eastAsia="仿宋" w:cs="仿宋"/>
          <w:color w:val="auto"/>
          <w:sz w:val="24"/>
        </w:rPr>
        <w:t>交一个</w:t>
      </w:r>
      <w:r>
        <w:rPr>
          <w:rFonts w:hint="eastAsia" w:ascii="仿宋" w:hAnsi="仿宋" w:eastAsia="仿宋" w:cs="仿宋"/>
          <w:color w:val="auto"/>
          <w:sz w:val="24"/>
          <w:lang w:eastAsia="zh-CN"/>
        </w:rPr>
        <w:t>响应文件</w:t>
      </w:r>
      <w:r>
        <w:rPr>
          <w:rFonts w:hint="eastAsia" w:ascii="仿宋" w:hAnsi="仿宋" w:eastAsia="仿宋" w:cs="仿宋"/>
          <w:color w:val="auto"/>
          <w:sz w:val="24"/>
        </w:rPr>
        <w:t>。但如果不同</w:t>
      </w:r>
      <w:r>
        <w:rPr>
          <w:rFonts w:hint="eastAsia" w:ascii="仿宋" w:hAnsi="仿宋" w:eastAsia="仿宋" w:cs="仿宋"/>
          <w:color w:val="auto"/>
          <w:sz w:val="24"/>
          <w:lang w:eastAsia="zh-CN"/>
        </w:rPr>
        <w:t>供应商</w:t>
      </w:r>
      <w:r>
        <w:rPr>
          <w:rFonts w:hint="eastAsia" w:ascii="仿宋" w:hAnsi="仿宋" w:eastAsia="仿宋" w:cs="仿宋"/>
          <w:color w:val="auto"/>
          <w:sz w:val="24"/>
        </w:rPr>
        <w:t>之间的单位负责人为同一人或者存在直接控股、管理关系的，均作无效报价处理。</w:t>
      </w:r>
    </w:p>
    <w:p w14:paraId="5A42E2F0">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供应商</w:t>
      </w:r>
      <w:r>
        <w:rPr>
          <w:rFonts w:hint="eastAsia" w:ascii="仿宋" w:hAnsi="仿宋" w:eastAsia="仿宋" w:cs="仿宋"/>
          <w:color w:val="auto"/>
          <w:sz w:val="24"/>
        </w:rPr>
        <w:t>存在下列情形之一的，将被认定为</w:t>
      </w:r>
      <w:r>
        <w:rPr>
          <w:rFonts w:hint="eastAsia" w:ascii="仿宋" w:hAnsi="仿宋" w:eastAsia="仿宋" w:cs="仿宋"/>
          <w:color w:val="auto"/>
          <w:sz w:val="24"/>
          <w:lang w:eastAsia="zh-CN"/>
        </w:rPr>
        <w:t>围标串标</w:t>
      </w:r>
      <w:r>
        <w:rPr>
          <w:rFonts w:hint="eastAsia" w:ascii="仿宋" w:hAnsi="仿宋" w:eastAsia="仿宋" w:cs="仿宋"/>
          <w:color w:val="auto"/>
          <w:sz w:val="24"/>
        </w:rPr>
        <w:t>串通报价行为并作无效报价处理：</w:t>
      </w:r>
    </w:p>
    <w:p w14:paraId="3173B8FB">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（1）不同</w:t>
      </w:r>
      <w:r>
        <w:rPr>
          <w:rFonts w:hint="eastAsia" w:ascii="仿宋" w:hAnsi="仿宋" w:eastAsia="仿宋" w:cs="仿宋"/>
          <w:color w:val="auto"/>
          <w:sz w:val="24"/>
          <w:lang w:eastAsia="zh-CN"/>
        </w:rPr>
        <w:t>供应商</w:t>
      </w:r>
      <w:r>
        <w:rPr>
          <w:rFonts w:hint="eastAsia" w:ascii="仿宋" w:hAnsi="仿宋" w:eastAsia="仿宋" w:cs="仿宋"/>
          <w:color w:val="auto"/>
          <w:sz w:val="24"/>
        </w:rPr>
        <w:t>的</w:t>
      </w:r>
      <w:r>
        <w:rPr>
          <w:rFonts w:hint="eastAsia" w:ascii="仿宋" w:hAnsi="仿宋" w:eastAsia="仿宋" w:cs="仿宋"/>
          <w:color w:val="auto"/>
          <w:sz w:val="24"/>
          <w:lang w:eastAsia="zh-CN"/>
        </w:rPr>
        <w:t>响应文件</w:t>
      </w:r>
      <w:r>
        <w:rPr>
          <w:rFonts w:hint="eastAsia" w:ascii="仿宋" w:hAnsi="仿宋" w:eastAsia="仿宋" w:cs="仿宋"/>
          <w:color w:val="auto"/>
          <w:sz w:val="24"/>
        </w:rPr>
        <w:t>错、漏之处一致或雷同，且不能合理解释的；</w:t>
      </w:r>
    </w:p>
    <w:p w14:paraId="63E958E4">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（2）由同一人或分别由几个有利害关系的人携带两个以上（含两个）</w:t>
      </w:r>
      <w:r>
        <w:rPr>
          <w:rFonts w:hint="eastAsia" w:ascii="仿宋" w:hAnsi="仿宋" w:eastAsia="仿宋" w:cs="仿宋"/>
          <w:color w:val="auto"/>
          <w:sz w:val="24"/>
          <w:lang w:eastAsia="zh-CN"/>
        </w:rPr>
        <w:t>供应商</w:t>
      </w:r>
      <w:r>
        <w:rPr>
          <w:rFonts w:hint="eastAsia" w:ascii="仿宋" w:hAnsi="仿宋" w:eastAsia="仿宋" w:cs="仿宋"/>
          <w:color w:val="auto"/>
          <w:sz w:val="24"/>
        </w:rPr>
        <w:t>的企业资料参与资格审查、领取</w:t>
      </w:r>
      <w:r>
        <w:rPr>
          <w:rFonts w:hint="eastAsia" w:ascii="仿宋" w:hAnsi="仿宋" w:eastAsia="仿宋" w:cs="仿宋"/>
          <w:color w:val="auto"/>
          <w:sz w:val="24"/>
          <w:lang w:eastAsia="zh-CN"/>
        </w:rPr>
        <w:t>招标</w:t>
      </w:r>
      <w:r>
        <w:rPr>
          <w:rFonts w:hint="eastAsia" w:ascii="仿宋" w:hAnsi="仿宋" w:eastAsia="仿宋" w:cs="仿宋"/>
          <w:color w:val="auto"/>
          <w:sz w:val="24"/>
        </w:rPr>
        <w:t>资料，或代表两个以上（含两个）</w:t>
      </w:r>
      <w:r>
        <w:rPr>
          <w:rFonts w:hint="eastAsia" w:ascii="仿宋" w:hAnsi="仿宋" w:eastAsia="仿宋" w:cs="仿宋"/>
          <w:color w:val="auto"/>
          <w:sz w:val="24"/>
          <w:lang w:eastAsia="zh-CN"/>
        </w:rPr>
        <w:t>供应商</w:t>
      </w:r>
      <w:r>
        <w:rPr>
          <w:rFonts w:hint="eastAsia" w:ascii="仿宋" w:hAnsi="仿宋" w:eastAsia="仿宋" w:cs="仿宋"/>
          <w:color w:val="auto"/>
          <w:sz w:val="24"/>
        </w:rPr>
        <w:t>参加</w:t>
      </w:r>
      <w:r>
        <w:rPr>
          <w:rFonts w:hint="eastAsia" w:ascii="仿宋" w:hAnsi="仿宋" w:eastAsia="仿宋" w:cs="仿宋"/>
          <w:color w:val="auto"/>
          <w:sz w:val="24"/>
          <w:lang w:eastAsia="zh-CN"/>
        </w:rPr>
        <w:t>招标</w:t>
      </w:r>
      <w:r>
        <w:rPr>
          <w:rFonts w:hint="eastAsia" w:ascii="仿宋" w:hAnsi="仿宋" w:eastAsia="仿宋" w:cs="仿宋"/>
          <w:color w:val="auto"/>
          <w:sz w:val="24"/>
        </w:rPr>
        <w:t>答疑会、交纳或退还</w:t>
      </w:r>
      <w:r>
        <w:rPr>
          <w:rFonts w:hint="eastAsia" w:ascii="仿宋" w:hAnsi="仿宋" w:eastAsia="仿宋" w:cs="仿宋"/>
          <w:color w:val="auto"/>
          <w:sz w:val="24"/>
          <w:lang w:eastAsia="zh-CN"/>
        </w:rPr>
        <w:t>投标保证金</w:t>
      </w:r>
      <w:r>
        <w:rPr>
          <w:rFonts w:hint="eastAsia" w:ascii="仿宋" w:hAnsi="仿宋" w:eastAsia="仿宋" w:cs="仿宋"/>
          <w:color w:val="auto"/>
          <w:sz w:val="24"/>
        </w:rPr>
        <w:t>、开标的；</w:t>
      </w:r>
    </w:p>
    <w:p w14:paraId="4464AEC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（3）有关法律、法规或规章规定的其他</w:t>
      </w:r>
      <w:r>
        <w:rPr>
          <w:rFonts w:hint="eastAsia" w:ascii="仿宋" w:hAnsi="仿宋" w:eastAsia="仿宋" w:cs="仿宋"/>
          <w:color w:val="auto"/>
          <w:sz w:val="24"/>
          <w:lang w:eastAsia="zh-CN"/>
        </w:rPr>
        <w:t>围标串标</w:t>
      </w:r>
      <w:r>
        <w:rPr>
          <w:rFonts w:hint="eastAsia" w:ascii="仿宋" w:hAnsi="仿宋" w:eastAsia="仿宋" w:cs="仿宋"/>
          <w:color w:val="auto"/>
          <w:sz w:val="24"/>
        </w:rPr>
        <w:t>行为。</w:t>
      </w:r>
    </w:p>
    <w:p w14:paraId="69C29132">
      <w:pPr>
        <w:pStyle w:val="2"/>
        <w:bidi w:val="0"/>
        <w:rPr>
          <w:rFonts w:hint="eastAsia" w:ascii="仿宋" w:hAnsi="仿宋" w:eastAsia="仿宋" w:cs="仿宋"/>
          <w:color w:val="auto"/>
        </w:rPr>
      </w:pPr>
      <w:r>
        <w:rPr>
          <w:rFonts w:hint="eastAsia" w:ascii="仿宋" w:hAnsi="仿宋" w:eastAsia="仿宋" w:cs="仿宋"/>
          <w:color w:val="auto"/>
        </w:rPr>
        <w:t>1.4 参与</w:t>
      </w:r>
      <w:r>
        <w:rPr>
          <w:rFonts w:hint="eastAsia" w:ascii="仿宋" w:hAnsi="仿宋" w:eastAsia="仿宋" w:cs="仿宋"/>
          <w:color w:val="auto"/>
          <w:sz w:val="24"/>
          <w:lang w:eastAsia="zh-CN"/>
        </w:rPr>
        <w:t>招标</w:t>
      </w:r>
      <w:r>
        <w:rPr>
          <w:rFonts w:hint="eastAsia" w:ascii="仿宋" w:hAnsi="仿宋" w:eastAsia="仿宋" w:cs="仿宋"/>
          <w:color w:val="auto"/>
        </w:rPr>
        <w:t xml:space="preserve">的费用 </w:t>
      </w:r>
    </w:p>
    <w:p w14:paraId="436D8BF6">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无论</w:t>
      </w:r>
      <w:r>
        <w:rPr>
          <w:rFonts w:hint="eastAsia" w:ascii="仿宋" w:hAnsi="仿宋" w:eastAsia="仿宋" w:cs="仿宋"/>
          <w:color w:val="auto"/>
          <w:sz w:val="24"/>
          <w:lang w:eastAsia="zh-CN"/>
        </w:rPr>
        <w:t>招标</w:t>
      </w:r>
      <w:r>
        <w:rPr>
          <w:rFonts w:hint="eastAsia" w:ascii="仿宋" w:hAnsi="仿宋" w:eastAsia="仿宋" w:cs="仿宋"/>
          <w:color w:val="auto"/>
          <w:sz w:val="24"/>
        </w:rPr>
        <w:t>的结果如何，</w:t>
      </w:r>
      <w:r>
        <w:rPr>
          <w:rFonts w:hint="eastAsia" w:ascii="仿宋" w:hAnsi="仿宋" w:eastAsia="仿宋" w:cs="仿宋"/>
          <w:color w:val="auto"/>
          <w:sz w:val="24"/>
          <w:lang w:eastAsia="zh-CN"/>
        </w:rPr>
        <w:t>供应商</w:t>
      </w:r>
      <w:r>
        <w:rPr>
          <w:rFonts w:hint="eastAsia" w:ascii="仿宋" w:hAnsi="仿宋" w:eastAsia="仿宋" w:cs="仿宋"/>
          <w:color w:val="auto"/>
          <w:sz w:val="24"/>
        </w:rPr>
        <w:t>应自行承担所有与</w:t>
      </w:r>
      <w:r>
        <w:rPr>
          <w:rFonts w:hint="eastAsia" w:ascii="仿宋" w:hAnsi="仿宋" w:eastAsia="仿宋" w:cs="仿宋"/>
          <w:color w:val="auto"/>
          <w:sz w:val="24"/>
          <w:lang w:eastAsia="zh-CN"/>
        </w:rPr>
        <w:t>招标</w:t>
      </w:r>
      <w:r>
        <w:rPr>
          <w:rFonts w:hint="eastAsia" w:ascii="仿宋" w:hAnsi="仿宋" w:eastAsia="仿宋" w:cs="仿宋"/>
          <w:color w:val="auto"/>
          <w:kern w:val="0"/>
          <w:sz w:val="24"/>
          <w:lang w:val="zh-CN"/>
        </w:rPr>
        <w:t>采购活动</w:t>
      </w:r>
      <w:r>
        <w:rPr>
          <w:rFonts w:hint="eastAsia" w:ascii="仿宋" w:hAnsi="仿宋" w:eastAsia="仿宋" w:cs="仿宋"/>
          <w:color w:val="auto"/>
          <w:sz w:val="24"/>
        </w:rPr>
        <w:t>有关的全部费用。</w:t>
      </w:r>
      <w:bookmarkStart w:id="99" w:name="_Toc23764"/>
    </w:p>
    <w:p w14:paraId="2663EBB1">
      <w:pPr>
        <w:pStyle w:val="6"/>
        <w:bidi w:val="0"/>
        <w:ind w:left="0" w:leftChars="0" w:right="0" w:rightChars="0" w:firstLine="0" w:firstLineChars="0"/>
        <w:jc w:val="center"/>
        <w:rPr>
          <w:rFonts w:hint="eastAsia" w:ascii="仿宋" w:hAnsi="仿宋" w:eastAsia="仿宋" w:cs="仿宋"/>
          <w:color w:val="auto"/>
          <w:lang w:eastAsia="zh-CN"/>
        </w:rPr>
      </w:pPr>
      <w:bookmarkStart w:id="100" w:name="_Toc17701"/>
      <w:bookmarkStart w:id="101" w:name="_Toc9799"/>
      <w:bookmarkStart w:id="102" w:name="_Toc27274"/>
      <w:r>
        <w:rPr>
          <w:rFonts w:hint="eastAsia" w:ascii="仿宋" w:hAnsi="仿宋" w:eastAsia="仿宋" w:cs="仿宋"/>
          <w:color w:val="auto"/>
          <w:lang w:val="en-US" w:eastAsia="zh-CN"/>
        </w:rPr>
        <w:t>(</w:t>
      </w:r>
      <w:r>
        <w:rPr>
          <w:rFonts w:hint="eastAsia" w:ascii="仿宋" w:hAnsi="仿宋" w:eastAsia="仿宋" w:cs="仿宋"/>
          <w:color w:val="auto"/>
        </w:rPr>
        <w:t>二</w:t>
      </w:r>
      <w:r>
        <w:rPr>
          <w:rFonts w:hint="eastAsia" w:ascii="仿宋" w:hAnsi="仿宋" w:eastAsia="仿宋" w:cs="仿宋"/>
          <w:color w:val="auto"/>
          <w:lang w:val="en-US" w:eastAsia="zh-CN"/>
        </w:rPr>
        <w:t>)</w:t>
      </w:r>
      <w:r>
        <w:rPr>
          <w:rFonts w:hint="eastAsia" w:ascii="仿宋" w:hAnsi="仿宋" w:eastAsia="仿宋" w:cs="仿宋"/>
          <w:color w:val="auto"/>
        </w:rPr>
        <w:t>、</w:t>
      </w:r>
      <w:bookmarkEnd w:id="99"/>
      <w:bookmarkEnd w:id="100"/>
      <w:bookmarkEnd w:id="101"/>
      <w:bookmarkEnd w:id="102"/>
      <w:r>
        <w:rPr>
          <w:rFonts w:hint="eastAsia" w:ascii="仿宋" w:hAnsi="仿宋" w:eastAsia="仿宋" w:cs="仿宋"/>
          <w:color w:val="auto"/>
          <w:lang w:eastAsia="zh-CN"/>
        </w:rPr>
        <w:t>磋商文件</w:t>
      </w:r>
    </w:p>
    <w:p w14:paraId="4F9387B4">
      <w:pPr>
        <w:pStyle w:val="2"/>
        <w:bidi w:val="0"/>
        <w:rPr>
          <w:rFonts w:hint="eastAsia" w:ascii="仿宋" w:hAnsi="仿宋" w:eastAsia="仿宋" w:cs="仿宋"/>
          <w:color w:val="auto"/>
        </w:rPr>
      </w:pPr>
      <w:r>
        <w:rPr>
          <w:rFonts w:hint="eastAsia" w:ascii="仿宋" w:hAnsi="仿宋" w:eastAsia="仿宋" w:cs="仿宋"/>
          <w:color w:val="auto"/>
        </w:rPr>
        <w:t xml:space="preserve">2.1 </w:t>
      </w:r>
      <w:r>
        <w:rPr>
          <w:rFonts w:hint="eastAsia" w:ascii="仿宋" w:hAnsi="仿宋" w:eastAsia="仿宋" w:cs="仿宋"/>
          <w:color w:val="auto"/>
          <w:lang w:eastAsia="zh-CN"/>
        </w:rPr>
        <w:t>磋商文件</w:t>
      </w:r>
      <w:r>
        <w:rPr>
          <w:rFonts w:hint="eastAsia" w:ascii="仿宋" w:hAnsi="仿宋" w:eastAsia="仿宋" w:cs="仿宋"/>
          <w:color w:val="auto"/>
        </w:rPr>
        <w:t>的组成</w:t>
      </w:r>
    </w:p>
    <w:p w14:paraId="0470E118">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（1）磋商公告；</w:t>
      </w:r>
    </w:p>
    <w:p w14:paraId="5DAA4C15">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（2）招标须知；</w:t>
      </w:r>
    </w:p>
    <w:p w14:paraId="2D9FF04E">
      <w:pPr>
        <w:adjustRightInd w:val="0"/>
        <w:snapToGrid w:val="0"/>
        <w:spacing w:line="360" w:lineRule="auto"/>
        <w:ind w:firstLine="480" w:firstLineChars="200"/>
        <w:jc w:val="left"/>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（3）采购需求；</w:t>
      </w:r>
    </w:p>
    <w:p w14:paraId="62887172">
      <w:pPr>
        <w:autoSpaceDE w:val="0"/>
        <w:autoSpaceDN w:val="0"/>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（4）评分办法；</w:t>
      </w:r>
    </w:p>
    <w:p w14:paraId="43AA9C10">
      <w:pPr>
        <w:autoSpaceDE w:val="0"/>
        <w:autoSpaceDN w:val="0"/>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（5）合同条款及格式；</w:t>
      </w:r>
    </w:p>
    <w:p w14:paraId="6BBA245A">
      <w:pPr>
        <w:autoSpaceDE w:val="0"/>
        <w:autoSpaceDN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bidi="ar-SA"/>
        </w:rPr>
        <w:t>（6）响应文件格式</w:t>
      </w:r>
      <w:r>
        <w:rPr>
          <w:rFonts w:hint="eastAsia" w:ascii="仿宋" w:hAnsi="仿宋" w:eastAsia="仿宋" w:cs="仿宋"/>
          <w:color w:val="auto"/>
          <w:sz w:val="24"/>
        </w:rPr>
        <w:t>。</w:t>
      </w:r>
    </w:p>
    <w:p w14:paraId="06DADE0B">
      <w:pPr>
        <w:pStyle w:val="2"/>
        <w:bidi w:val="0"/>
        <w:rPr>
          <w:rFonts w:hint="eastAsia" w:ascii="仿宋" w:hAnsi="仿宋" w:eastAsia="仿宋" w:cs="仿宋"/>
          <w:color w:val="auto"/>
        </w:rPr>
      </w:pPr>
      <w:r>
        <w:rPr>
          <w:rFonts w:hint="eastAsia" w:ascii="仿宋" w:hAnsi="仿宋" w:eastAsia="仿宋" w:cs="仿宋"/>
          <w:color w:val="auto"/>
        </w:rPr>
        <w:t xml:space="preserve">2.2 </w:t>
      </w:r>
      <w:r>
        <w:rPr>
          <w:rFonts w:hint="eastAsia" w:ascii="仿宋" w:hAnsi="仿宋" w:eastAsia="仿宋" w:cs="仿宋"/>
          <w:color w:val="auto"/>
          <w:lang w:eastAsia="zh-CN"/>
        </w:rPr>
        <w:t>磋商文件</w:t>
      </w:r>
      <w:r>
        <w:rPr>
          <w:rFonts w:hint="eastAsia" w:ascii="仿宋" w:hAnsi="仿宋" w:eastAsia="仿宋" w:cs="仿宋"/>
          <w:color w:val="auto"/>
        </w:rPr>
        <w:t>的澄清</w:t>
      </w:r>
      <w:r>
        <w:rPr>
          <w:rFonts w:hint="eastAsia" w:ascii="仿宋" w:hAnsi="仿宋" w:eastAsia="仿宋" w:cs="仿宋"/>
          <w:color w:val="auto"/>
          <w:lang w:val="zh-CN"/>
        </w:rPr>
        <w:t>或者</w:t>
      </w:r>
      <w:r>
        <w:rPr>
          <w:rFonts w:hint="eastAsia" w:ascii="仿宋" w:hAnsi="仿宋" w:eastAsia="仿宋" w:cs="仿宋"/>
          <w:color w:val="auto"/>
        </w:rPr>
        <w:t>修改</w:t>
      </w:r>
    </w:p>
    <w:p w14:paraId="5764C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2.1 </w:t>
      </w:r>
      <w:r>
        <w:rPr>
          <w:rFonts w:hint="eastAsia" w:ascii="仿宋" w:hAnsi="仿宋" w:eastAsia="仿宋" w:cs="仿宋"/>
          <w:sz w:val="24"/>
          <w:szCs w:val="24"/>
          <w:lang w:val="en-US"/>
        </w:rPr>
        <w:t>采购人或者采购代理机构可以依法对</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en-US"/>
        </w:rPr>
        <w:t>进行澄清或者修改。</w:t>
      </w:r>
    </w:p>
    <w:p w14:paraId="7A60E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2.2 </w:t>
      </w:r>
      <w:r>
        <w:rPr>
          <w:rFonts w:hint="eastAsia" w:ascii="仿宋" w:hAnsi="仿宋" w:eastAsia="仿宋" w:cs="仿宋"/>
          <w:sz w:val="24"/>
          <w:szCs w:val="24"/>
          <w:lang w:val="en-US"/>
        </w:rPr>
        <w:t>采购人或者采购代理机构可以对已发出的</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en-US"/>
        </w:rPr>
        <w:t>进行必要的澄清或者修改，但不得改变采购标的和资格条件。澄清或者修改的内容可能影响</w:t>
      </w:r>
      <w:r>
        <w:rPr>
          <w:rFonts w:hint="eastAsia" w:ascii="仿宋" w:hAnsi="仿宋" w:eastAsia="仿宋" w:cs="仿宋"/>
          <w:sz w:val="24"/>
          <w:szCs w:val="24"/>
          <w:lang w:val="en-US" w:eastAsia="zh-CN"/>
        </w:rPr>
        <w:t>响应文件</w:t>
      </w:r>
      <w:r>
        <w:rPr>
          <w:rFonts w:hint="eastAsia" w:ascii="仿宋" w:hAnsi="仿宋" w:eastAsia="仿宋" w:cs="仿宋"/>
          <w:sz w:val="24"/>
          <w:szCs w:val="24"/>
          <w:lang w:val="en-US"/>
        </w:rPr>
        <w:t>编制的，采购人或者采购代理机构应当在投标截止时间至少</w:t>
      </w:r>
      <w:r>
        <w:rPr>
          <w:rFonts w:hint="eastAsia" w:ascii="仿宋" w:hAnsi="仿宋" w:eastAsia="仿宋" w:cs="仿宋"/>
          <w:sz w:val="24"/>
          <w:szCs w:val="24"/>
          <w:lang w:val="en-US" w:eastAsia="zh-CN"/>
        </w:rPr>
        <w:t>5</w:t>
      </w:r>
      <w:r>
        <w:rPr>
          <w:rFonts w:hint="eastAsia" w:ascii="仿宋" w:hAnsi="仿宋" w:eastAsia="仿宋" w:cs="仿宋"/>
          <w:sz w:val="24"/>
          <w:szCs w:val="24"/>
          <w:lang w:val="en-US"/>
        </w:rPr>
        <w:t>日前，以书面形式将澄清或者修改的内容通知所有获取了</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en-US"/>
        </w:rPr>
        <w:t>的投标人，</w:t>
      </w:r>
      <w:r>
        <w:rPr>
          <w:rFonts w:hint="eastAsia" w:ascii="仿宋" w:hAnsi="仿宋" w:eastAsia="仿宋" w:cs="仿宋"/>
          <w:color w:val="auto"/>
          <w:sz w:val="24"/>
          <w:szCs w:val="24"/>
          <w:lang w:val="en-US"/>
        </w:rPr>
        <w:t>同时在新疆政府采购网上发布更正公</w:t>
      </w:r>
      <w:r>
        <w:rPr>
          <w:rFonts w:hint="eastAsia" w:ascii="仿宋" w:hAnsi="仿宋" w:eastAsia="仿宋" w:cs="仿宋"/>
          <w:sz w:val="24"/>
          <w:szCs w:val="24"/>
          <w:lang w:val="en-US"/>
        </w:rPr>
        <w:t>告。该澄清或者修改的内容为</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en-US"/>
        </w:rPr>
        <w:t>的组成部分。</w:t>
      </w:r>
    </w:p>
    <w:p w14:paraId="55652D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2.3 </w:t>
      </w:r>
      <w:r>
        <w:rPr>
          <w:rFonts w:hint="eastAsia" w:ascii="仿宋" w:hAnsi="仿宋" w:eastAsia="仿宋" w:cs="仿宋"/>
          <w:sz w:val="24"/>
          <w:szCs w:val="24"/>
          <w:lang w:val="en-US"/>
        </w:rPr>
        <w:t>投标人要求对</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en-US"/>
        </w:rPr>
        <w:t>进行澄清的，均应按</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en-US"/>
        </w:rPr>
        <w:t>中的联系方式，以书面形式向采购人或者采购代理机构提出申请，但采购人或者采购代理机构可以决定是否采纳投标人的申请事项。</w:t>
      </w:r>
    </w:p>
    <w:p w14:paraId="78C27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4</w:t>
      </w:r>
      <w:r>
        <w:rPr>
          <w:rFonts w:hint="eastAsia" w:ascii="仿宋" w:hAnsi="仿宋" w:eastAsia="仿宋" w:cs="仿宋"/>
          <w:sz w:val="24"/>
          <w:szCs w:val="24"/>
          <w:lang w:val="en-US"/>
        </w:rPr>
        <w:t>当采购文件的澄清、修改、补充等在同一内容的表述上不一致时，以最后发出的内容为准。任何电话或口头咨询和答复的意思解释均不具有法律约束力。</w:t>
      </w:r>
    </w:p>
    <w:p w14:paraId="51F9C5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5供应商</w:t>
      </w:r>
      <w:r>
        <w:rPr>
          <w:rFonts w:hint="eastAsia" w:ascii="仿宋" w:hAnsi="仿宋" w:eastAsia="仿宋" w:cs="仿宋"/>
          <w:sz w:val="24"/>
          <w:szCs w:val="24"/>
          <w:lang w:val="en-US"/>
        </w:rPr>
        <w:t>须自行在新疆政府采购网查阅本项目变更公告并获取最新采购文件。如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en-US"/>
        </w:rPr>
        <w:t>因个人原因未及时查阅获取，造成的后果由</w:t>
      </w:r>
      <w:r>
        <w:rPr>
          <w:rFonts w:hint="eastAsia" w:ascii="仿宋" w:hAnsi="仿宋" w:eastAsia="仿宋" w:cs="仿宋"/>
          <w:sz w:val="24"/>
          <w:szCs w:val="24"/>
          <w:lang w:val="en-US" w:eastAsia="zh-CN"/>
        </w:rPr>
        <w:t>供应商</w:t>
      </w:r>
      <w:r>
        <w:rPr>
          <w:rFonts w:hint="eastAsia" w:ascii="仿宋" w:hAnsi="仿宋" w:eastAsia="仿宋" w:cs="仿宋"/>
          <w:sz w:val="24"/>
          <w:szCs w:val="24"/>
          <w:lang w:val="en-US"/>
        </w:rPr>
        <w:t>自行承担。</w:t>
      </w:r>
    </w:p>
    <w:p w14:paraId="415B98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bookmarkStart w:id="103" w:name="_Toc208848971"/>
      <w:bookmarkStart w:id="104" w:name="_Toc217446041"/>
      <w:bookmarkStart w:id="105" w:name="_Toc500492684"/>
      <w:bookmarkStart w:id="106" w:name="_Toc494198881"/>
      <w:bookmarkStart w:id="107" w:name="_Toc496605588"/>
      <w:r>
        <w:rPr>
          <w:rFonts w:hint="eastAsia" w:ascii="仿宋" w:hAnsi="仿宋" w:eastAsia="仿宋" w:cs="仿宋"/>
          <w:sz w:val="24"/>
          <w:szCs w:val="24"/>
          <w:lang w:val="en-US" w:eastAsia="zh-CN"/>
        </w:rPr>
        <w:t xml:space="preserve">2.6 </w:t>
      </w:r>
      <w:r>
        <w:rPr>
          <w:rFonts w:hint="eastAsia" w:ascii="仿宋" w:hAnsi="仿宋" w:eastAsia="仿宋" w:cs="仿宋"/>
          <w:sz w:val="24"/>
          <w:szCs w:val="24"/>
          <w:lang w:val="en-US"/>
        </w:rPr>
        <w:t>答疑会和现场</w:t>
      </w:r>
      <w:bookmarkEnd w:id="103"/>
      <w:bookmarkEnd w:id="104"/>
      <w:r>
        <w:rPr>
          <w:rFonts w:hint="eastAsia" w:ascii="仿宋" w:hAnsi="仿宋" w:eastAsia="仿宋" w:cs="仿宋"/>
          <w:sz w:val="24"/>
          <w:szCs w:val="24"/>
          <w:lang w:val="en-US"/>
        </w:rPr>
        <w:t>踏勘</w:t>
      </w:r>
      <w:bookmarkEnd w:id="105"/>
      <w:bookmarkEnd w:id="106"/>
      <w:bookmarkEnd w:id="107"/>
    </w:p>
    <w:p w14:paraId="54C0EB5D">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sz w:val="24"/>
          <w:szCs w:val="24"/>
          <w:lang w:val="en-US"/>
        </w:rPr>
        <w:t>根据采购项目和具体情况，采购人或者采购代理机构认为有必要，可以组织召开标前答疑会或组织投标人对项目现场进行考察。答疑会或进行现场考察的时间，采购人或者采购代理机构将以书面形式通知所有获取了</w:t>
      </w:r>
      <w:r>
        <w:rPr>
          <w:rFonts w:hint="eastAsia" w:ascii="仿宋" w:hAnsi="仿宋" w:eastAsia="仿宋" w:cs="仿宋"/>
          <w:sz w:val="24"/>
          <w:szCs w:val="24"/>
          <w:lang w:val="en-US" w:eastAsia="zh-CN"/>
        </w:rPr>
        <w:t>磋商文件</w:t>
      </w:r>
      <w:r>
        <w:rPr>
          <w:rFonts w:hint="eastAsia" w:ascii="仿宋" w:hAnsi="仿宋" w:eastAsia="仿宋" w:cs="仿宋"/>
          <w:sz w:val="24"/>
          <w:szCs w:val="24"/>
          <w:lang w:val="en-US"/>
        </w:rPr>
        <w:t>的投标人。</w:t>
      </w:r>
    </w:p>
    <w:p w14:paraId="46BE10D6">
      <w:pPr>
        <w:pStyle w:val="6"/>
        <w:bidi w:val="0"/>
        <w:ind w:left="0" w:leftChars="0" w:right="0" w:rightChars="0" w:firstLine="0" w:firstLineChars="0"/>
        <w:jc w:val="center"/>
        <w:rPr>
          <w:rFonts w:hint="eastAsia" w:ascii="仿宋" w:hAnsi="仿宋" w:eastAsia="仿宋" w:cs="仿宋"/>
          <w:color w:val="auto"/>
          <w:lang w:val="en-US" w:eastAsia="zh-CN"/>
        </w:rPr>
      </w:pPr>
      <w:bookmarkStart w:id="108" w:name="_Toc4144"/>
      <w:bookmarkStart w:id="109" w:name="_Toc14105"/>
      <w:bookmarkStart w:id="110" w:name="_Toc29250"/>
      <w:bookmarkStart w:id="111" w:name="_Toc7909"/>
      <w:r>
        <w:rPr>
          <w:rFonts w:hint="eastAsia" w:ascii="仿宋" w:hAnsi="仿宋" w:eastAsia="仿宋" w:cs="仿宋"/>
          <w:color w:val="auto"/>
          <w:lang w:val="en-US" w:eastAsia="zh-CN"/>
        </w:rPr>
        <w:t>(三)、</w:t>
      </w:r>
      <w:bookmarkEnd w:id="108"/>
      <w:bookmarkEnd w:id="109"/>
      <w:bookmarkEnd w:id="110"/>
      <w:bookmarkEnd w:id="111"/>
      <w:r>
        <w:rPr>
          <w:rFonts w:hint="eastAsia" w:ascii="仿宋" w:hAnsi="仿宋" w:eastAsia="仿宋" w:cs="仿宋"/>
          <w:color w:val="auto"/>
          <w:lang w:val="en-US" w:eastAsia="zh-CN"/>
        </w:rPr>
        <w:t>响应文件</w:t>
      </w:r>
    </w:p>
    <w:p w14:paraId="7951366F">
      <w:pPr>
        <w:pStyle w:val="2"/>
        <w:bidi w:val="0"/>
        <w:rPr>
          <w:rFonts w:hint="eastAsia" w:ascii="仿宋" w:hAnsi="仿宋" w:eastAsia="仿宋" w:cs="仿宋"/>
          <w:color w:val="auto"/>
        </w:rPr>
      </w:pPr>
      <w:r>
        <w:rPr>
          <w:rFonts w:hint="eastAsia" w:ascii="仿宋" w:hAnsi="仿宋" w:eastAsia="仿宋" w:cs="仿宋"/>
          <w:color w:val="auto"/>
        </w:rPr>
        <w:t>3.1 一般要求</w:t>
      </w:r>
    </w:p>
    <w:p w14:paraId="6BBB2EFB">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3.1.1 </w:t>
      </w:r>
      <w:r>
        <w:rPr>
          <w:rFonts w:hint="eastAsia" w:ascii="仿宋" w:hAnsi="仿宋" w:eastAsia="仿宋" w:cs="仿宋"/>
          <w:color w:val="auto"/>
          <w:sz w:val="24"/>
          <w:lang w:eastAsia="zh-CN"/>
        </w:rPr>
        <w:t>供应商</w:t>
      </w:r>
      <w:r>
        <w:rPr>
          <w:rFonts w:hint="eastAsia" w:ascii="仿宋" w:hAnsi="仿宋" w:eastAsia="仿宋" w:cs="仿宋"/>
          <w:color w:val="auto"/>
          <w:sz w:val="24"/>
        </w:rPr>
        <w:t>应按本文件第</w:t>
      </w:r>
      <w:r>
        <w:rPr>
          <w:rFonts w:hint="eastAsia" w:ascii="仿宋" w:hAnsi="仿宋" w:eastAsia="仿宋" w:cs="仿宋"/>
          <w:b w:val="0"/>
          <w:bCs w:val="0"/>
          <w:color w:val="auto"/>
          <w:kern w:val="2"/>
          <w:sz w:val="24"/>
          <w:szCs w:val="24"/>
          <w:lang w:eastAsia="zh-CN"/>
        </w:rPr>
        <w:t>五</w:t>
      </w:r>
      <w:r>
        <w:rPr>
          <w:rFonts w:hint="eastAsia" w:ascii="仿宋" w:hAnsi="仿宋" w:eastAsia="仿宋" w:cs="仿宋"/>
          <w:color w:val="auto"/>
          <w:sz w:val="24"/>
        </w:rPr>
        <w:t>章“</w:t>
      </w:r>
      <w:r>
        <w:rPr>
          <w:rFonts w:hint="eastAsia" w:ascii="仿宋" w:hAnsi="仿宋" w:eastAsia="仿宋" w:cs="仿宋"/>
          <w:color w:val="auto"/>
          <w:sz w:val="24"/>
          <w:lang w:eastAsia="zh-CN"/>
        </w:rPr>
        <w:t>响应文件</w:t>
      </w:r>
      <w:r>
        <w:rPr>
          <w:rFonts w:hint="eastAsia" w:ascii="仿宋" w:hAnsi="仿宋" w:eastAsia="仿宋" w:cs="仿宋"/>
          <w:color w:val="auto"/>
          <w:sz w:val="24"/>
        </w:rPr>
        <w:t>格式”的要求编制</w:t>
      </w:r>
      <w:r>
        <w:rPr>
          <w:rFonts w:hint="eastAsia" w:ascii="仿宋" w:hAnsi="仿宋" w:eastAsia="仿宋" w:cs="仿宋"/>
          <w:color w:val="auto"/>
          <w:sz w:val="24"/>
          <w:lang w:eastAsia="zh-CN"/>
        </w:rPr>
        <w:t>响应文件</w:t>
      </w:r>
      <w:r>
        <w:rPr>
          <w:rFonts w:hint="eastAsia" w:ascii="仿宋" w:hAnsi="仿宋" w:eastAsia="仿宋" w:cs="仿宋"/>
          <w:color w:val="auto"/>
          <w:sz w:val="24"/>
        </w:rPr>
        <w:t>。</w:t>
      </w:r>
    </w:p>
    <w:p w14:paraId="41D16C2A">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3.1.2除技术性能另有规定外，</w:t>
      </w:r>
      <w:r>
        <w:rPr>
          <w:rFonts w:hint="eastAsia" w:ascii="仿宋" w:hAnsi="仿宋" w:eastAsia="仿宋" w:cs="仿宋"/>
          <w:color w:val="auto"/>
          <w:sz w:val="24"/>
          <w:lang w:eastAsia="zh-CN"/>
        </w:rPr>
        <w:t>响应文件</w:t>
      </w:r>
      <w:r>
        <w:rPr>
          <w:rFonts w:hint="eastAsia" w:ascii="仿宋" w:hAnsi="仿宋" w:eastAsia="仿宋" w:cs="仿宋"/>
          <w:color w:val="auto"/>
          <w:sz w:val="24"/>
        </w:rPr>
        <w:t>所使用的度量衡单位，均须采用国家法定计量单位。</w:t>
      </w:r>
    </w:p>
    <w:p w14:paraId="189AE804">
      <w:pPr>
        <w:pStyle w:val="2"/>
        <w:bidi w:val="0"/>
        <w:rPr>
          <w:rFonts w:hint="eastAsia" w:ascii="仿宋" w:hAnsi="仿宋" w:eastAsia="仿宋" w:cs="仿宋"/>
          <w:color w:val="auto"/>
        </w:rPr>
      </w:pPr>
      <w:r>
        <w:rPr>
          <w:rFonts w:hint="eastAsia" w:ascii="仿宋" w:hAnsi="仿宋" w:eastAsia="仿宋" w:cs="仿宋"/>
          <w:color w:val="auto"/>
        </w:rPr>
        <w:t xml:space="preserve">3.2 </w:t>
      </w:r>
      <w:r>
        <w:rPr>
          <w:rFonts w:hint="eastAsia" w:ascii="仿宋" w:hAnsi="仿宋" w:eastAsia="仿宋" w:cs="仿宋"/>
          <w:color w:val="auto"/>
          <w:lang w:eastAsia="zh-CN"/>
        </w:rPr>
        <w:t>响应文件</w:t>
      </w:r>
      <w:r>
        <w:rPr>
          <w:rFonts w:hint="eastAsia" w:ascii="仿宋" w:hAnsi="仿宋" w:eastAsia="仿宋" w:cs="仿宋"/>
          <w:color w:val="auto"/>
        </w:rPr>
        <w:t>的组成</w:t>
      </w:r>
    </w:p>
    <w:bookmarkEnd w:id="96"/>
    <w:bookmarkEnd w:id="97"/>
    <w:bookmarkEnd w:id="98"/>
    <w:p w14:paraId="5502FA1F">
      <w:pPr>
        <w:bidi w:val="0"/>
        <w:rPr>
          <w:rFonts w:hint="eastAsia" w:ascii="仿宋" w:hAnsi="仿宋" w:eastAsia="仿宋" w:cs="仿宋"/>
          <w:b w:val="0"/>
          <w:bCs w:val="0"/>
          <w:color w:val="auto"/>
          <w:kern w:val="2"/>
          <w:sz w:val="24"/>
          <w:szCs w:val="24"/>
        </w:rPr>
      </w:pPr>
      <w:bookmarkStart w:id="112" w:name="_Hlk83827846"/>
      <w:r>
        <w:rPr>
          <w:rFonts w:hint="eastAsia" w:ascii="仿宋" w:hAnsi="仿宋" w:eastAsia="仿宋" w:cs="仿宋"/>
          <w:b w:val="0"/>
          <w:bCs w:val="0"/>
          <w:color w:val="auto"/>
          <w:kern w:val="2"/>
          <w:sz w:val="24"/>
          <w:szCs w:val="24"/>
          <w:lang w:val="en-US" w:eastAsia="zh-CN"/>
        </w:rPr>
        <w:t>3.2.1</w:t>
      </w:r>
      <w:r>
        <w:rPr>
          <w:rFonts w:hint="eastAsia" w:ascii="仿宋" w:hAnsi="仿宋" w:eastAsia="仿宋" w:cs="仿宋"/>
          <w:b w:val="0"/>
          <w:bCs w:val="0"/>
          <w:color w:val="auto"/>
          <w:kern w:val="2"/>
          <w:sz w:val="24"/>
          <w:szCs w:val="24"/>
          <w:lang w:eastAsia="zh-CN"/>
        </w:rPr>
        <w:t>响应文件</w:t>
      </w:r>
      <w:r>
        <w:rPr>
          <w:rFonts w:hint="eastAsia" w:ascii="仿宋" w:hAnsi="仿宋" w:eastAsia="仿宋" w:cs="仿宋"/>
          <w:b w:val="0"/>
          <w:bCs w:val="0"/>
          <w:color w:val="auto"/>
          <w:kern w:val="2"/>
          <w:sz w:val="24"/>
          <w:szCs w:val="24"/>
        </w:rPr>
        <w:t>应按本</w:t>
      </w:r>
      <w:r>
        <w:rPr>
          <w:rFonts w:hint="eastAsia" w:ascii="仿宋" w:hAnsi="仿宋" w:eastAsia="仿宋" w:cs="仿宋"/>
          <w:b w:val="0"/>
          <w:bCs w:val="0"/>
          <w:color w:val="auto"/>
          <w:kern w:val="2"/>
          <w:sz w:val="24"/>
          <w:szCs w:val="24"/>
          <w:lang w:eastAsia="zh-CN"/>
        </w:rPr>
        <w:t>磋商文件</w:t>
      </w:r>
      <w:r>
        <w:rPr>
          <w:rFonts w:hint="eastAsia" w:ascii="仿宋" w:hAnsi="仿宋" w:eastAsia="仿宋" w:cs="仿宋"/>
          <w:b w:val="0"/>
          <w:bCs w:val="0"/>
          <w:color w:val="auto"/>
          <w:kern w:val="2"/>
          <w:sz w:val="24"/>
          <w:szCs w:val="24"/>
        </w:rPr>
        <w:t>第</w:t>
      </w:r>
      <w:r>
        <w:rPr>
          <w:rFonts w:hint="eastAsia" w:ascii="仿宋" w:hAnsi="仿宋" w:eastAsia="仿宋" w:cs="仿宋"/>
          <w:b w:val="0"/>
          <w:bCs w:val="0"/>
          <w:color w:val="auto"/>
          <w:kern w:val="2"/>
          <w:sz w:val="24"/>
          <w:szCs w:val="24"/>
          <w:lang w:eastAsia="zh-CN"/>
        </w:rPr>
        <w:t>五</w:t>
      </w:r>
      <w:r>
        <w:rPr>
          <w:rFonts w:hint="eastAsia" w:ascii="仿宋" w:hAnsi="仿宋" w:eastAsia="仿宋" w:cs="仿宋"/>
          <w:b w:val="0"/>
          <w:bCs w:val="0"/>
          <w:color w:val="auto"/>
          <w:kern w:val="2"/>
          <w:sz w:val="24"/>
          <w:szCs w:val="24"/>
        </w:rPr>
        <w:t>章《</w:t>
      </w:r>
      <w:r>
        <w:rPr>
          <w:rFonts w:hint="eastAsia" w:ascii="仿宋" w:hAnsi="仿宋" w:eastAsia="仿宋" w:cs="仿宋"/>
          <w:b w:val="0"/>
          <w:bCs w:val="0"/>
          <w:color w:val="auto"/>
          <w:kern w:val="2"/>
          <w:sz w:val="24"/>
          <w:szCs w:val="24"/>
          <w:lang w:eastAsia="zh-CN"/>
        </w:rPr>
        <w:t>响应文件</w:t>
      </w:r>
      <w:r>
        <w:rPr>
          <w:rFonts w:hint="eastAsia" w:ascii="仿宋" w:hAnsi="仿宋" w:eastAsia="仿宋" w:cs="仿宋"/>
          <w:b w:val="0"/>
          <w:bCs w:val="0"/>
          <w:color w:val="auto"/>
          <w:kern w:val="2"/>
          <w:sz w:val="24"/>
          <w:szCs w:val="24"/>
        </w:rPr>
        <w:t>格式》进行编制（但不局限于此内容）</w:t>
      </w:r>
    </w:p>
    <w:p w14:paraId="29FBDEE1">
      <w:pPr>
        <w:bidi w:val="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3.2.2</w:t>
      </w:r>
      <w:r>
        <w:rPr>
          <w:rFonts w:hint="eastAsia" w:ascii="仿宋" w:hAnsi="仿宋" w:eastAsia="仿宋" w:cs="仿宋"/>
          <w:b w:val="0"/>
          <w:bCs w:val="0"/>
          <w:color w:val="auto"/>
          <w:kern w:val="2"/>
          <w:sz w:val="24"/>
          <w:szCs w:val="24"/>
          <w:lang w:eastAsia="zh-CN"/>
        </w:rPr>
        <w:t>响应文件</w:t>
      </w:r>
      <w:r>
        <w:rPr>
          <w:rFonts w:hint="eastAsia" w:ascii="仿宋" w:hAnsi="仿宋" w:eastAsia="仿宋" w:cs="仿宋"/>
          <w:b w:val="0"/>
          <w:bCs w:val="0"/>
          <w:color w:val="auto"/>
          <w:kern w:val="2"/>
          <w:sz w:val="24"/>
          <w:szCs w:val="24"/>
        </w:rPr>
        <w:t>所提供的资料必须符合诚实信用、客观真实的原则，对弄虚作假或违背诚信的违法行为，应承担相应的后果及法律责任。</w:t>
      </w:r>
    </w:p>
    <w:p w14:paraId="2EC2077E">
      <w:pPr>
        <w:bidi w:val="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3.2.3</w:t>
      </w:r>
      <w:r>
        <w:rPr>
          <w:rFonts w:hint="eastAsia" w:ascii="仿宋" w:hAnsi="仿宋" w:eastAsia="仿宋" w:cs="仿宋"/>
          <w:b w:val="0"/>
          <w:bCs w:val="0"/>
          <w:color w:val="auto"/>
          <w:kern w:val="2"/>
          <w:sz w:val="24"/>
          <w:szCs w:val="24"/>
        </w:rPr>
        <w:t>投标人应按上述2条的内容认真编写</w:t>
      </w:r>
      <w:r>
        <w:rPr>
          <w:rFonts w:hint="eastAsia" w:ascii="仿宋" w:hAnsi="仿宋" w:eastAsia="仿宋" w:cs="仿宋"/>
          <w:b w:val="0"/>
          <w:bCs w:val="0"/>
          <w:color w:val="auto"/>
          <w:kern w:val="2"/>
          <w:sz w:val="24"/>
          <w:szCs w:val="24"/>
          <w:lang w:eastAsia="zh-CN"/>
        </w:rPr>
        <w:t>响应文件</w:t>
      </w:r>
      <w:r>
        <w:rPr>
          <w:rFonts w:hint="eastAsia" w:ascii="仿宋" w:hAnsi="仿宋" w:eastAsia="仿宋" w:cs="仿宋"/>
          <w:b w:val="0"/>
          <w:bCs w:val="0"/>
          <w:color w:val="auto"/>
          <w:kern w:val="2"/>
          <w:sz w:val="24"/>
          <w:szCs w:val="24"/>
        </w:rPr>
        <w:t>，将编制完的</w:t>
      </w:r>
      <w:r>
        <w:rPr>
          <w:rFonts w:hint="eastAsia" w:ascii="仿宋" w:hAnsi="仿宋" w:eastAsia="仿宋" w:cs="仿宋"/>
          <w:b w:val="0"/>
          <w:bCs w:val="0"/>
          <w:color w:val="auto"/>
          <w:kern w:val="2"/>
          <w:sz w:val="24"/>
          <w:szCs w:val="24"/>
          <w:lang w:eastAsia="zh-CN"/>
        </w:rPr>
        <w:t>响应文件</w:t>
      </w:r>
      <w:r>
        <w:rPr>
          <w:rFonts w:hint="eastAsia" w:ascii="仿宋" w:hAnsi="仿宋" w:eastAsia="仿宋" w:cs="仿宋"/>
          <w:b w:val="0"/>
          <w:bCs w:val="0"/>
          <w:color w:val="auto"/>
          <w:kern w:val="2"/>
          <w:sz w:val="24"/>
          <w:szCs w:val="24"/>
        </w:rPr>
        <w:t>按</w:t>
      </w:r>
      <w:r>
        <w:rPr>
          <w:rFonts w:hint="eastAsia" w:ascii="仿宋" w:hAnsi="仿宋" w:eastAsia="仿宋" w:cs="仿宋"/>
          <w:b w:val="0"/>
          <w:bCs w:val="0"/>
          <w:color w:val="auto"/>
          <w:kern w:val="2"/>
          <w:sz w:val="24"/>
          <w:szCs w:val="24"/>
          <w:lang w:eastAsia="zh-CN"/>
        </w:rPr>
        <w:t>磋商文件</w:t>
      </w:r>
      <w:r>
        <w:rPr>
          <w:rFonts w:hint="eastAsia" w:ascii="仿宋" w:hAnsi="仿宋" w:eastAsia="仿宋" w:cs="仿宋"/>
          <w:b w:val="0"/>
          <w:bCs w:val="0"/>
          <w:color w:val="auto"/>
          <w:kern w:val="2"/>
          <w:sz w:val="24"/>
          <w:szCs w:val="24"/>
        </w:rPr>
        <w:t>及政采云系统要求上传至新疆政府采购云平台https://www.zcygov.cn/的指定位置。</w:t>
      </w:r>
    </w:p>
    <w:p w14:paraId="71C2F681">
      <w:pPr>
        <w:pStyle w:val="2"/>
        <w:bidi w:val="0"/>
        <w:rPr>
          <w:rFonts w:hint="eastAsia" w:ascii="仿宋" w:hAnsi="仿宋" w:eastAsia="仿宋" w:cs="仿宋"/>
          <w:color w:val="auto"/>
        </w:rPr>
      </w:pPr>
      <w:r>
        <w:rPr>
          <w:rFonts w:hint="eastAsia" w:ascii="仿宋" w:hAnsi="仿宋" w:eastAsia="仿宋" w:cs="仿宋"/>
          <w:color w:val="auto"/>
        </w:rPr>
        <w:t>3.3 报价要求</w:t>
      </w:r>
    </w:p>
    <w:p w14:paraId="5540F267">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3.3.1</w:t>
      </w:r>
      <w:r>
        <w:rPr>
          <w:rFonts w:hint="eastAsia" w:ascii="仿宋" w:hAnsi="仿宋" w:eastAsia="仿宋" w:cs="仿宋"/>
          <w:color w:val="auto"/>
          <w:sz w:val="24"/>
          <w:lang w:val="zh-CN"/>
        </w:rPr>
        <w:t>供应商应根据所提供的清单的要求编制单价、合价和总价</w:t>
      </w:r>
      <w:r>
        <w:rPr>
          <w:rFonts w:hint="eastAsia" w:ascii="仿宋" w:hAnsi="仿宋" w:eastAsia="仿宋" w:cs="仿宋"/>
          <w:color w:val="auto"/>
          <w:sz w:val="24"/>
        </w:rPr>
        <w:t>，且只允许有一个报价</w:t>
      </w:r>
      <w:r>
        <w:rPr>
          <w:rFonts w:hint="eastAsia" w:ascii="仿宋" w:hAnsi="仿宋" w:eastAsia="仿宋" w:cs="仿宋"/>
          <w:color w:val="auto"/>
          <w:sz w:val="24"/>
          <w:lang w:val="zh-CN"/>
        </w:rPr>
        <w:t>。</w:t>
      </w:r>
    </w:p>
    <w:p w14:paraId="2DC37D5B">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3.3.2</w:t>
      </w:r>
      <w:r>
        <w:rPr>
          <w:rFonts w:hint="eastAsia" w:ascii="仿宋" w:hAnsi="仿宋" w:eastAsia="仿宋" w:cs="仿宋"/>
          <w:color w:val="auto"/>
          <w:sz w:val="24"/>
          <w:lang w:val="zh-CN"/>
        </w:rPr>
        <w:t>报价应是本磋商文件所确定的全部工作内容的价格体现。</w:t>
      </w:r>
    </w:p>
    <w:p w14:paraId="424644EF">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3.3.3</w:t>
      </w:r>
      <w:r>
        <w:rPr>
          <w:rFonts w:hint="eastAsia" w:ascii="仿宋" w:hAnsi="仿宋" w:eastAsia="仿宋" w:cs="仿宋"/>
          <w:color w:val="auto"/>
          <w:sz w:val="24"/>
          <w:lang w:eastAsia="zh-CN"/>
        </w:rPr>
        <w:t>响应文件</w:t>
      </w:r>
      <w:r>
        <w:rPr>
          <w:rFonts w:hint="eastAsia" w:ascii="仿宋" w:hAnsi="仿宋" w:eastAsia="仿宋" w:cs="仿宋"/>
          <w:color w:val="auto"/>
          <w:sz w:val="24"/>
        </w:rPr>
        <w:t>中标明的价格在合同执行过程中是固定不变的，不得以任何理由予以变更。以可变动价格</w:t>
      </w:r>
      <w:r>
        <w:rPr>
          <w:rFonts w:hint="eastAsia" w:ascii="仿宋" w:hAnsi="仿宋" w:eastAsia="仿宋" w:cs="仿宋"/>
          <w:color w:val="auto"/>
          <w:sz w:val="24"/>
          <w:lang w:eastAsia="zh-CN"/>
        </w:rPr>
        <w:t>递交</w:t>
      </w:r>
      <w:r>
        <w:rPr>
          <w:rFonts w:hint="eastAsia" w:ascii="仿宋" w:hAnsi="仿宋" w:eastAsia="仿宋" w:cs="仿宋"/>
          <w:color w:val="auto"/>
          <w:sz w:val="24"/>
        </w:rPr>
        <w:t>的报价将被认为是非实质响应采购要求而被拒绝。</w:t>
      </w:r>
    </w:p>
    <w:p w14:paraId="37089615">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3.3.4采购项目预算见须知前附表，</w:t>
      </w:r>
      <w:r>
        <w:rPr>
          <w:rFonts w:hint="eastAsia" w:ascii="仿宋" w:hAnsi="仿宋" w:eastAsia="仿宋" w:cs="仿宋"/>
          <w:color w:val="auto"/>
          <w:sz w:val="24"/>
          <w:lang w:val="zh-CN"/>
        </w:rPr>
        <w:t>供应商</w:t>
      </w:r>
      <w:r>
        <w:rPr>
          <w:rFonts w:hint="eastAsia" w:ascii="仿宋" w:hAnsi="仿宋" w:eastAsia="仿宋" w:cs="仿宋"/>
          <w:color w:val="auto"/>
          <w:sz w:val="24"/>
        </w:rPr>
        <w:t>的报价不得超过</w:t>
      </w:r>
      <w:r>
        <w:rPr>
          <w:rFonts w:hint="eastAsia" w:ascii="仿宋" w:hAnsi="仿宋" w:eastAsia="仿宋" w:cs="仿宋"/>
          <w:color w:val="auto"/>
          <w:sz w:val="24"/>
          <w:lang w:eastAsia="zh-CN"/>
        </w:rPr>
        <w:t>最高限价</w:t>
      </w:r>
      <w:r>
        <w:rPr>
          <w:rFonts w:hint="eastAsia" w:ascii="仿宋" w:hAnsi="仿宋" w:eastAsia="仿宋" w:cs="仿宋"/>
          <w:color w:val="auto"/>
          <w:sz w:val="24"/>
        </w:rPr>
        <w:t>。否则，按无效报价处理。</w:t>
      </w:r>
    </w:p>
    <w:p w14:paraId="494E0EAE">
      <w:pPr>
        <w:pStyle w:val="2"/>
        <w:bidi w:val="0"/>
        <w:rPr>
          <w:rFonts w:hint="eastAsia" w:ascii="仿宋" w:hAnsi="仿宋" w:eastAsia="仿宋" w:cs="仿宋"/>
          <w:color w:val="auto"/>
        </w:rPr>
      </w:pPr>
      <w:r>
        <w:rPr>
          <w:rFonts w:hint="eastAsia" w:ascii="仿宋" w:hAnsi="仿宋" w:eastAsia="仿宋" w:cs="仿宋"/>
          <w:color w:val="auto"/>
        </w:rPr>
        <w:t>3.4 证明</w:t>
      </w:r>
      <w:r>
        <w:rPr>
          <w:rFonts w:hint="eastAsia" w:ascii="仿宋" w:hAnsi="仿宋" w:eastAsia="仿宋" w:cs="仿宋"/>
          <w:color w:val="auto"/>
          <w:lang w:eastAsia="zh-CN"/>
        </w:rPr>
        <w:t>供应商</w:t>
      </w:r>
      <w:r>
        <w:rPr>
          <w:rFonts w:hint="eastAsia" w:ascii="仿宋" w:hAnsi="仿宋" w:eastAsia="仿宋" w:cs="仿宋"/>
          <w:color w:val="auto"/>
        </w:rPr>
        <w:t>资格的文件</w:t>
      </w:r>
    </w:p>
    <w:p w14:paraId="297622B7">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供应商应递交满足本章第1.3款规定的资格条件要求的证明文件,该证明文件作为响应文件的一部分。</w:t>
      </w:r>
    </w:p>
    <w:p w14:paraId="60C700AE">
      <w:pPr>
        <w:pStyle w:val="2"/>
        <w:bidi w:val="0"/>
        <w:rPr>
          <w:rFonts w:hint="eastAsia" w:ascii="仿宋" w:hAnsi="仿宋" w:eastAsia="仿宋" w:cs="仿宋"/>
          <w:color w:val="auto"/>
          <w:lang w:eastAsia="zh-CN"/>
        </w:rPr>
      </w:pPr>
      <w:r>
        <w:rPr>
          <w:rFonts w:hint="eastAsia" w:ascii="仿宋" w:hAnsi="仿宋" w:eastAsia="仿宋" w:cs="仿宋"/>
          <w:color w:val="auto"/>
        </w:rPr>
        <w:t>3.5</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投标保证金</w:t>
      </w:r>
    </w:p>
    <w:p w14:paraId="37A54066">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3.5.1供应商应按须知前附表的规定递交投标保证金，并作为响应文件的一部分。供应商为联合体的，可以由联合体中的一方或者共同交纳投标保证金，以一方名义交纳投标保证金的，对联合体各方均具有约束力。</w:t>
      </w:r>
    </w:p>
    <w:p w14:paraId="0BF77213">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3.5.2 未按磋商文件规定递交投标保证金的响应文件，将被视为非实质响应而被拒绝。</w:t>
      </w:r>
    </w:p>
    <w:p w14:paraId="70B47FB9">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3.5.3 未中标单位的投标保证金在中标通知书发出后五个工作日内退还；中标单位的投标保证金在采购合同签定后五个工作日内退还。</w:t>
      </w:r>
    </w:p>
    <w:p w14:paraId="7E4454E1">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3.5.4发生以下情况投标保证金将不予退还：</w:t>
      </w:r>
    </w:p>
    <w:p w14:paraId="700537DA">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（一）供应商在递交响应文件截止时间后撤回响应文件的；</w:t>
      </w:r>
    </w:p>
    <w:p w14:paraId="7A4F0B75">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（二）供应商在响应文件中提供虚假材料的；</w:t>
      </w:r>
    </w:p>
    <w:p w14:paraId="37D5BC38">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（三）除因不可抗力或磋商文件认可的情形以外，中标单位不与采购人签订合同的；</w:t>
      </w:r>
    </w:p>
    <w:p w14:paraId="1ECA2B9F">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（四）供应商与采购人、其他供应商或者采购代理机构恶意串通的；</w:t>
      </w:r>
    </w:p>
    <w:p w14:paraId="2DEFB98D">
      <w:pPr>
        <w:pStyle w:val="14"/>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（五）磋商文件规定的其他情形。</w:t>
      </w:r>
    </w:p>
    <w:p w14:paraId="753420F3">
      <w:pPr>
        <w:pStyle w:val="2"/>
        <w:bidi w:val="0"/>
        <w:rPr>
          <w:rFonts w:hint="eastAsia" w:ascii="仿宋" w:hAnsi="仿宋" w:eastAsia="仿宋" w:cs="仿宋"/>
          <w:color w:val="auto"/>
        </w:rPr>
      </w:pPr>
      <w:r>
        <w:rPr>
          <w:rFonts w:hint="eastAsia" w:ascii="仿宋" w:hAnsi="仿宋" w:eastAsia="仿宋" w:cs="仿宋"/>
          <w:color w:val="auto"/>
        </w:rPr>
        <w:t xml:space="preserve">3.6 </w:t>
      </w:r>
      <w:r>
        <w:rPr>
          <w:rFonts w:hint="eastAsia" w:ascii="仿宋" w:hAnsi="仿宋" w:eastAsia="仿宋" w:cs="仿宋"/>
          <w:color w:val="auto"/>
          <w:lang w:eastAsia="zh-CN"/>
        </w:rPr>
        <w:t>响应文件</w:t>
      </w:r>
      <w:r>
        <w:rPr>
          <w:rFonts w:hint="eastAsia" w:ascii="仿宋" w:hAnsi="仿宋" w:eastAsia="仿宋" w:cs="仿宋"/>
          <w:color w:val="auto"/>
        </w:rPr>
        <w:t>有效期</w:t>
      </w:r>
    </w:p>
    <w:p w14:paraId="08744D98">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3.6.1</w:t>
      </w:r>
      <w:r>
        <w:rPr>
          <w:rFonts w:hint="eastAsia" w:ascii="仿宋" w:hAnsi="仿宋" w:eastAsia="仿宋" w:cs="仿宋"/>
          <w:color w:val="auto"/>
          <w:sz w:val="24"/>
          <w:lang w:eastAsia="zh-CN"/>
        </w:rPr>
        <w:t>响应文件</w:t>
      </w:r>
      <w:r>
        <w:rPr>
          <w:rFonts w:hint="eastAsia" w:ascii="仿宋" w:hAnsi="仿宋" w:eastAsia="仿宋" w:cs="仿宋"/>
          <w:color w:val="auto"/>
          <w:sz w:val="24"/>
        </w:rPr>
        <w:t>有效期见</w:t>
      </w:r>
      <w:r>
        <w:rPr>
          <w:rFonts w:hint="eastAsia" w:ascii="仿宋" w:hAnsi="仿宋" w:eastAsia="仿宋" w:cs="仿宋"/>
          <w:b/>
          <w:color w:val="auto"/>
          <w:sz w:val="24"/>
        </w:rPr>
        <w:t>须知前附表</w:t>
      </w:r>
      <w:r>
        <w:rPr>
          <w:rFonts w:hint="eastAsia" w:ascii="仿宋" w:hAnsi="仿宋" w:eastAsia="仿宋" w:cs="仿宋"/>
          <w:color w:val="auto"/>
          <w:sz w:val="24"/>
        </w:rPr>
        <w:t>，</w:t>
      </w:r>
      <w:r>
        <w:rPr>
          <w:rFonts w:hint="eastAsia" w:ascii="仿宋" w:hAnsi="仿宋" w:eastAsia="仿宋" w:cs="仿宋"/>
          <w:color w:val="auto"/>
          <w:sz w:val="24"/>
          <w:lang w:eastAsia="zh-CN"/>
        </w:rPr>
        <w:t>响应文件</w:t>
      </w:r>
      <w:r>
        <w:rPr>
          <w:rFonts w:hint="eastAsia" w:ascii="仿宋" w:hAnsi="仿宋" w:eastAsia="仿宋" w:cs="仿宋"/>
          <w:color w:val="auto"/>
          <w:sz w:val="24"/>
        </w:rPr>
        <w:t>有效期不足的将被视为无效响应，并予以拒绝。</w:t>
      </w:r>
    </w:p>
    <w:p w14:paraId="5D28BF9A">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3.6.2特殊情况下，采购代理机构可于</w:t>
      </w:r>
      <w:r>
        <w:rPr>
          <w:rFonts w:hint="eastAsia" w:ascii="仿宋" w:hAnsi="仿宋" w:eastAsia="仿宋" w:cs="仿宋"/>
          <w:color w:val="auto"/>
          <w:sz w:val="24"/>
          <w:lang w:eastAsia="zh-CN"/>
        </w:rPr>
        <w:t>响应文件</w:t>
      </w:r>
      <w:r>
        <w:rPr>
          <w:rFonts w:hint="eastAsia" w:ascii="仿宋" w:hAnsi="仿宋" w:eastAsia="仿宋" w:cs="仿宋"/>
          <w:color w:val="auto"/>
          <w:sz w:val="24"/>
        </w:rPr>
        <w:t>有效期满之前要求</w:t>
      </w:r>
      <w:r>
        <w:rPr>
          <w:rFonts w:hint="eastAsia" w:ascii="仿宋" w:hAnsi="仿宋" w:eastAsia="仿宋" w:cs="仿宋"/>
          <w:color w:val="auto"/>
          <w:sz w:val="24"/>
          <w:lang w:eastAsia="zh-CN"/>
        </w:rPr>
        <w:t>供应商</w:t>
      </w:r>
      <w:r>
        <w:rPr>
          <w:rFonts w:hint="eastAsia" w:ascii="仿宋" w:hAnsi="仿宋" w:eastAsia="仿宋" w:cs="仿宋"/>
          <w:color w:val="auto"/>
          <w:sz w:val="24"/>
        </w:rPr>
        <w:t>同意延长有效期，要求与答复均应为书面形式。</w:t>
      </w:r>
      <w:r>
        <w:rPr>
          <w:rFonts w:hint="eastAsia" w:ascii="仿宋" w:hAnsi="仿宋" w:eastAsia="仿宋" w:cs="仿宋"/>
          <w:color w:val="auto"/>
          <w:sz w:val="24"/>
          <w:lang w:eastAsia="zh-CN"/>
        </w:rPr>
        <w:t>供应商</w:t>
      </w:r>
      <w:r>
        <w:rPr>
          <w:rFonts w:hint="eastAsia" w:ascii="仿宋" w:hAnsi="仿宋" w:eastAsia="仿宋" w:cs="仿宋"/>
          <w:color w:val="auto"/>
          <w:sz w:val="24"/>
        </w:rPr>
        <w:t>可以拒绝上述要求而其</w:t>
      </w:r>
      <w:r>
        <w:rPr>
          <w:rFonts w:hint="eastAsia" w:ascii="仿宋" w:hAnsi="仿宋" w:eastAsia="仿宋" w:cs="仿宋"/>
          <w:color w:val="auto"/>
          <w:sz w:val="24"/>
          <w:lang w:eastAsia="zh-CN"/>
        </w:rPr>
        <w:t>投标保证金</w:t>
      </w:r>
      <w:r>
        <w:rPr>
          <w:rFonts w:hint="eastAsia" w:ascii="仿宋" w:hAnsi="仿宋" w:eastAsia="仿宋" w:cs="仿宋"/>
          <w:color w:val="auto"/>
          <w:sz w:val="24"/>
        </w:rPr>
        <w:t>不被没收。对于同意该要求的</w:t>
      </w:r>
      <w:r>
        <w:rPr>
          <w:rFonts w:hint="eastAsia" w:ascii="仿宋" w:hAnsi="仿宋" w:eastAsia="仿宋" w:cs="仿宋"/>
          <w:color w:val="auto"/>
          <w:sz w:val="24"/>
          <w:lang w:eastAsia="zh-CN"/>
        </w:rPr>
        <w:t>供应商</w:t>
      </w:r>
      <w:r>
        <w:rPr>
          <w:rFonts w:hint="eastAsia" w:ascii="仿宋" w:hAnsi="仿宋" w:eastAsia="仿宋" w:cs="仿宋"/>
          <w:color w:val="auto"/>
          <w:sz w:val="24"/>
        </w:rPr>
        <w:t>，既不要求也不允许其修改</w:t>
      </w:r>
      <w:r>
        <w:rPr>
          <w:rFonts w:hint="eastAsia" w:ascii="仿宋" w:hAnsi="仿宋" w:eastAsia="仿宋" w:cs="仿宋"/>
          <w:color w:val="auto"/>
          <w:sz w:val="24"/>
          <w:lang w:eastAsia="zh-CN"/>
        </w:rPr>
        <w:t>响应文件</w:t>
      </w:r>
      <w:r>
        <w:rPr>
          <w:rFonts w:hint="eastAsia" w:ascii="仿宋" w:hAnsi="仿宋" w:eastAsia="仿宋" w:cs="仿宋"/>
          <w:color w:val="auto"/>
          <w:sz w:val="24"/>
        </w:rPr>
        <w:t>，但将要求其相应延长</w:t>
      </w:r>
      <w:r>
        <w:rPr>
          <w:rFonts w:hint="eastAsia" w:ascii="仿宋" w:hAnsi="仿宋" w:eastAsia="仿宋" w:cs="仿宋"/>
          <w:color w:val="auto"/>
          <w:sz w:val="24"/>
          <w:lang w:eastAsia="zh-CN"/>
        </w:rPr>
        <w:t>投标保证金</w:t>
      </w:r>
      <w:r>
        <w:rPr>
          <w:rFonts w:hint="eastAsia" w:ascii="仿宋" w:hAnsi="仿宋" w:eastAsia="仿宋" w:cs="仿宋"/>
          <w:color w:val="auto"/>
          <w:sz w:val="24"/>
        </w:rPr>
        <w:t>的有效期。有关退还和没收</w:t>
      </w:r>
      <w:r>
        <w:rPr>
          <w:rFonts w:hint="eastAsia" w:ascii="仿宋" w:hAnsi="仿宋" w:eastAsia="仿宋" w:cs="仿宋"/>
          <w:color w:val="auto"/>
          <w:sz w:val="24"/>
          <w:lang w:eastAsia="zh-CN"/>
        </w:rPr>
        <w:t>投标保证金</w:t>
      </w:r>
      <w:r>
        <w:rPr>
          <w:rFonts w:hint="eastAsia" w:ascii="仿宋" w:hAnsi="仿宋" w:eastAsia="仿宋" w:cs="仿宋"/>
          <w:color w:val="auto"/>
          <w:sz w:val="24"/>
        </w:rPr>
        <w:t>的规定在</w:t>
      </w:r>
      <w:r>
        <w:rPr>
          <w:rFonts w:hint="eastAsia" w:ascii="仿宋" w:hAnsi="仿宋" w:eastAsia="仿宋" w:cs="仿宋"/>
          <w:color w:val="auto"/>
          <w:sz w:val="24"/>
          <w:lang w:eastAsia="zh-CN"/>
        </w:rPr>
        <w:t>响应文件</w:t>
      </w:r>
      <w:r>
        <w:rPr>
          <w:rFonts w:hint="eastAsia" w:ascii="仿宋" w:hAnsi="仿宋" w:eastAsia="仿宋" w:cs="仿宋"/>
          <w:color w:val="auto"/>
          <w:sz w:val="24"/>
        </w:rPr>
        <w:t>有效期的延长期内继续有效。</w:t>
      </w:r>
    </w:p>
    <w:p w14:paraId="236E1482">
      <w:pPr>
        <w:pStyle w:val="2"/>
        <w:bidi w:val="0"/>
        <w:rPr>
          <w:rFonts w:hint="eastAsia" w:ascii="仿宋" w:hAnsi="仿宋" w:eastAsia="仿宋" w:cs="仿宋"/>
          <w:color w:val="auto"/>
        </w:rPr>
      </w:pPr>
      <w:r>
        <w:rPr>
          <w:rFonts w:hint="eastAsia" w:ascii="仿宋" w:hAnsi="仿宋" w:eastAsia="仿宋" w:cs="仿宋"/>
          <w:color w:val="auto"/>
        </w:rPr>
        <w:t xml:space="preserve">3.7 </w:t>
      </w:r>
      <w:r>
        <w:rPr>
          <w:rFonts w:hint="eastAsia" w:ascii="仿宋" w:hAnsi="仿宋" w:eastAsia="仿宋" w:cs="仿宋"/>
          <w:color w:val="auto"/>
          <w:lang w:eastAsia="zh-CN"/>
        </w:rPr>
        <w:t>响应文件</w:t>
      </w:r>
      <w:r>
        <w:rPr>
          <w:rFonts w:hint="eastAsia" w:ascii="仿宋" w:hAnsi="仿宋" w:eastAsia="仿宋" w:cs="仿宋"/>
          <w:color w:val="auto"/>
        </w:rPr>
        <w:t>的签署及规定</w:t>
      </w:r>
    </w:p>
    <w:p w14:paraId="3C495023">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3.7.1响应文件应按照本须知有关规定内容及公开磋商文件第五章“响应文件格式”的要求进行编写，将编制完的响应文件按磋商文件及政采云系统要求上传至新疆政府采购云平台https://www.zcygov.cn/的指定位置。</w:t>
      </w:r>
    </w:p>
    <w:p w14:paraId="1975918C">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3.7.2响应文件中所引用的顺序和编号应与公开磋商文件的要求相一致。投标人在具体的投标内容中应逐条进行回应，可以增加说明或描述性文字。响应文件对公开磋商文件未提出异议的条款，均被视为接受和同意。</w:t>
      </w:r>
    </w:p>
    <w:p w14:paraId="7F7940EC">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3.7.3项目需求中所有条款投标人必须予以响应。否则，将视投标人没有响应和不接受该条款，其响应文件将不能通过符合性审查而被认定为无效投标。</w:t>
      </w:r>
    </w:p>
    <w:p w14:paraId="7C91F1E1">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3.7.4投标人应编制响应文件按投标人须知前附表要求编制。</w:t>
      </w:r>
    </w:p>
    <w:p w14:paraId="2D8AD966">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3.7.5响应文件在封面及内容格式有提示的地方由投标人的法定代表人或经法定代表人正式授权的代表签字或加盖单位公章。所有响应文件均须在封面加盖公章，内容应保证清晰可辨，否则评标委员会有权予以对其作出无效投标的认定。</w:t>
      </w:r>
    </w:p>
    <w:p w14:paraId="2FE537A2">
      <w:pPr>
        <w:pStyle w:val="14"/>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3.7.6响应文件中任何行间插字、涂改和增删，必须由响应文件签字人在旁边签字并加盖投标人公章后方为有效。</w:t>
      </w:r>
    </w:p>
    <w:p w14:paraId="44C5CEF3">
      <w:pPr>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zh-CN" w:eastAsia="zh-CN" w:bidi="ar-SA"/>
        </w:rPr>
        <w:t>3.7.</w:t>
      </w:r>
      <w:r>
        <w:rPr>
          <w:rFonts w:hint="eastAsia" w:ascii="仿宋" w:hAnsi="仿宋" w:eastAsia="仿宋" w:cs="仿宋"/>
          <w:color w:val="auto"/>
          <w:sz w:val="24"/>
          <w:lang w:val="en-US" w:eastAsia="zh-CN" w:bidi="ar-SA"/>
        </w:rPr>
        <w:t>7供应商在响应文件及相关文件的签订、履行、通知等事项的文件中的单位盖章、印章、公章等处均指与当事人全称相一致的标准公章，不得使用其他形式（如带有“专用章”等字样的印章）。不符合本条规定的按无效投标处理。</w:t>
      </w:r>
    </w:p>
    <w:p w14:paraId="32801C5F">
      <w:pPr>
        <w:pStyle w:val="6"/>
        <w:bidi w:val="0"/>
        <w:ind w:left="0" w:leftChars="0" w:right="0" w:rightChars="0" w:firstLine="0" w:firstLineChars="0"/>
        <w:jc w:val="center"/>
        <w:rPr>
          <w:rFonts w:hint="eastAsia" w:ascii="仿宋" w:hAnsi="仿宋" w:eastAsia="仿宋" w:cs="仿宋"/>
          <w:color w:val="auto"/>
          <w:lang w:val="en-US" w:eastAsia="zh-CN"/>
        </w:rPr>
      </w:pPr>
      <w:bookmarkStart w:id="113" w:name="_Toc12180"/>
      <w:bookmarkStart w:id="114" w:name="_Toc5203"/>
      <w:bookmarkStart w:id="115" w:name="_Toc552"/>
      <w:bookmarkStart w:id="116" w:name="_Toc31717"/>
      <w:r>
        <w:rPr>
          <w:rFonts w:hint="eastAsia" w:ascii="仿宋" w:hAnsi="仿宋" w:eastAsia="仿宋" w:cs="仿宋"/>
          <w:color w:val="auto"/>
          <w:lang w:val="en-US" w:eastAsia="zh-CN"/>
        </w:rPr>
        <w:t>（四）、响应文件的编写、递交</w:t>
      </w:r>
      <w:bookmarkEnd w:id="113"/>
      <w:bookmarkEnd w:id="114"/>
      <w:bookmarkEnd w:id="115"/>
      <w:bookmarkEnd w:id="116"/>
    </w:p>
    <w:p w14:paraId="36366252">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1、本项目实行电子招投标，</w:t>
      </w:r>
      <w:r>
        <w:rPr>
          <w:rFonts w:hint="eastAsia" w:ascii="仿宋" w:hAnsi="仿宋" w:eastAsia="仿宋" w:cs="仿宋"/>
          <w:color w:val="auto"/>
          <w:lang w:eastAsia="zh-CN"/>
        </w:rPr>
        <w:t>供应商</w:t>
      </w:r>
      <w:r>
        <w:rPr>
          <w:rFonts w:hint="eastAsia" w:ascii="仿宋" w:hAnsi="仿宋" w:eastAsia="仿宋" w:cs="仿宋"/>
          <w:color w:val="auto"/>
        </w:rPr>
        <w:t>在投标截止时间前自行在“政采云（https://www.zcygov.cn/）”平台上传电子</w:t>
      </w:r>
      <w:r>
        <w:rPr>
          <w:rFonts w:hint="eastAsia" w:ascii="仿宋" w:hAnsi="仿宋" w:eastAsia="仿宋" w:cs="仿宋"/>
          <w:color w:val="auto"/>
          <w:lang w:eastAsia="zh-CN"/>
        </w:rPr>
        <w:t>响应文件</w:t>
      </w:r>
      <w:r>
        <w:rPr>
          <w:rFonts w:hint="eastAsia" w:ascii="仿宋" w:hAnsi="仿宋" w:eastAsia="仿宋" w:cs="仿宋"/>
          <w:color w:val="auto"/>
        </w:rPr>
        <w:t>。</w:t>
      </w:r>
    </w:p>
    <w:p w14:paraId="3598FDE3">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2、</w:t>
      </w:r>
      <w:r>
        <w:rPr>
          <w:rFonts w:hint="eastAsia" w:ascii="仿宋" w:hAnsi="仿宋" w:eastAsia="仿宋" w:cs="仿宋"/>
          <w:color w:val="auto"/>
          <w:lang w:eastAsia="zh-CN"/>
        </w:rPr>
        <w:t>供应商</w:t>
      </w:r>
      <w:r>
        <w:rPr>
          <w:rFonts w:hint="eastAsia" w:ascii="仿宋" w:hAnsi="仿宋" w:eastAsia="仿宋" w:cs="仿宋"/>
          <w:color w:val="auto"/>
        </w:rPr>
        <w:t>须登录政采云平台申请获取采购文件，并通过政采云电子投标客户端制作</w:t>
      </w:r>
      <w:r>
        <w:rPr>
          <w:rFonts w:hint="eastAsia" w:ascii="仿宋" w:hAnsi="仿宋" w:eastAsia="仿宋" w:cs="仿宋"/>
          <w:color w:val="auto"/>
          <w:lang w:eastAsia="zh-CN"/>
        </w:rPr>
        <w:t>响应文件</w:t>
      </w:r>
      <w:r>
        <w:rPr>
          <w:rFonts w:hint="eastAsia" w:ascii="仿宋" w:hAnsi="仿宋" w:eastAsia="仿宋" w:cs="仿宋"/>
          <w:color w:val="auto"/>
        </w:rPr>
        <w:t xml:space="preserve">。 </w:t>
      </w:r>
    </w:p>
    <w:p w14:paraId="24B6AC32">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3、</w:t>
      </w:r>
      <w:r>
        <w:rPr>
          <w:rFonts w:hint="eastAsia" w:ascii="仿宋" w:hAnsi="仿宋" w:eastAsia="仿宋" w:cs="仿宋"/>
          <w:color w:val="auto"/>
          <w:lang w:eastAsia="zh-CN"/>
        </w:rPr>
        <w:t>响应文件</w:t>
      </w:r>
      <w:r>
        <w:rPr>
          <w:rFonts w:hint="eastAsia" w:ascii="仿宋" w:hAnsi="仿宋" w:eastAsia="仿宋" w:cs="仿宋"/>
          <w:color w:val="auto"/>
        </w:rPr>
        <w:t>应按“</w:t>
      </w:r>
      <w:r>
        <w:rPr>
          <w:rFonts w:hint="eastAsia" w:ascii="仿宋" w:hAnsi="仿宋" w:eastAsia="仿宋" w:cs="仿宋"/>
          <w:color w:val="auto"/>
          <w:lang w:eastAsia="zh-CN"/>
        </w:rPr>
        <w:t>响应文件</w:t>
      </w:r>
      <w:r>
        <w:rPr>
          <w:rFonts w:hint="eastAsia" w:ascii="仿宋" w:hAnsi="仿宋" w:eastAsia="仿宋" w:cs="仿宋"/>
          <w:color w:val="auto"/>
        </w:rPr>
        <w:t>格式”进行编写，如有必要，可以增加附页，作为</w:t>
      </w:r>
      <w:r>
        <w:rPr>
          <w:rFonts w:hint="eastAsia" w:ascii="仿宋" w:hAnsi="仿宋" w:eastAsia="仿宋" w:cs="仿宋"/>
          <w:color w:val="auto"/>
          <w:lang w:eastAsia="zh-CN"/>
        </w:rPr>
        <w:t>响应文件</w:t>
      </w:r>
      <w:r>
        <w:rPr>
          <w:rFonts w:hint="eastAsia" w:ascii="仿宋" w:hAnsi="仿宋" w:eastAsia="仿宋" w:cs="仿宋"/>
          <w:color w:val="auto"/>
        </w:rPr>
        <w:t>的组成部分</w:t>
      </w:r>
      <w:r>
        <w:rPr>
          <w:rFonts w:hint="eastAsia" w:ascii="仿宋" w:hAnsi="仿宋" w:eastAsia="仿宋" w:cs="仿宋"/>
          <w:color w:val="auto"/>
          <w:lang w:eastAsia="zh-CN"/>
        </w:rPr>
        <w:t>，投标人如投多个标包的，应当按照标包编号单独提供每一套响应文件</w:t>
      </w:r>
      <w:r>
        <w:rPr>
          <w:rFonts w:hint="eastAsia" w:ascii="仿宋" w:hAnsi="仿宋" w:eastAsia="仿宋" w:cs="仿宋"/>
          <w:color w:val="auto"/>
        </w:rPr>
        <w:t>。</w:t>
      </w:r>
    </w:p>
    <w:p w14:paraId="1D5850B6">
      <w:pPr>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.4</w:t>
      </w:r>
      <w:r>
        <w:rPr>
          <w:rFonts w:hint="eastAsia" w:ascii="仿宋" w:hAnsi="仿宋" w:eastAsia="仿宋" w:cs="仿宋"/>
          <w:color w:val="auto"/>
        </w:rPr>
        <w:t>、</w:t>
      </w:r>
      <w:r>
        <w:rPr>
          <w:rFonts w:hint="eastAsia" w:ascii="仿宋" w:hAnsi="仿宋" w:eastAsia="仿宋" w:cs="仿宋"/>
          <w:color w:val="auto"/>
          <w:lang w:eastAsia="zh-CN"/>
        </w:rPr>
        <w:t>响应文件</w:t>
      </w:r>
      <w:r>
        <w:rPr>
          <w:rFonts w:hint="eastAsia" w:ascii="仿宋" w:hAnsi="仿宋" w:eastAsia="仿宋" w:cs="仿宋"/>
          <w:color w:val="auto"/>
        </w:rPr>
        <w:t>的份数：电子</w:t>
      </w:r>
      <w:r>
        <w:rPr>
          <w:rFonts w:hint="eastAsia" w:ascii="仿宋" w:hAnsi="仿宋" w:eastAsia="仿宋" w:cs="仿宋"/>
          <w:color w:val="auto"/>
          <w:lang w:eastAsia="zh-CN"/>
        </w:rPr>
        <w:t>响应文件</w:t>
      </w:r>
      <w:r>
        <w:rPr>
          <w:rFonts w:hint="eastAsia" w:ascii="仿宋" w:hAnsi="仿宋" w:eastAsia="仿宋" w:cs="仿宋"/>
          <w:color w:val="auto"/>
        </w:rPr>
        <w:t>：</w:t>
      </w:r>
      <w:r>
        <w:rPr>
          <w:rFonts w:hint="eastAsia" w:ascii="仿宋" w:hAnsi="仿宋" w:eastAsia="仿宋" w:cs="仿宋"/>
          <w:color w:val="auto"/>
          <w:lang w:eastAsia="zh-CN"/>
        </w:rPr>
        <w:t>供应商</w:t>
      </w:r>
      <w:r>
        <w:rPr>
          <w:rFonts w:hint="eastAsia" w:ascii="仿宋" w:hAnsi="仿宋" w:eastAsia="仿宋" w:cs="仿宋"/>
          <w:color w:val="auto"/>
        </w:rPr>
        <w:t>应将电子</w:t>
      </w:r>
      <w:r>
        <w:rPr>
          <w:rFonts w:hint="eastAsia" w:ascii="仿宋" w:hAnsi="仿宋" w:eastAsia="仿宋" w:cs="仿宋"/>
          <w:color w:val="auto"/>
          <w:lang w:eastAsia="zh-CN"/>
        </w:rPr>
        <w:t>响应文件</w:t>
      </w:r>
      <w:r>
        <w:rPr>
          <w:rFonts w:hint="eastAsia" w:ascii="仿宋" w:hAnsi="仿宋" w:eastAsia="仿宋" w:cs="仿宋"/>
          <w:color w:val="auto"/>
        </w:rPr>
        <w:t>上传到“政采云（https://www.zcygov.cn/）”平台。电子版</w:t>
      </w:r>
      <w:r>
        <w:rPr>
          <w:rFonts w:hint="eastAsia" w:ascii="仿宋" w:hAnsi="仿宋" w:eastAsia="仿宋" w:cs="仿宋"/>
          <w:color w:val="auto"/>
          <w:lang w:eastAsia="zh-CN"/>
        </w:rPr>
        <w:t>响应文件</w:t>
      </w:r>
      <w:r>
        <w:rPr>
          <w:rFonts w:hint="eastAsia" w:ascii="仿宋" w:hAnsi="仿宋" w:eastAsia="仿宋" w:cs="仿宋"/>
          <w:color w:val="auto"/>
        </w:rPr>
        <w:t>逐页盖单位公章和法定代表人章，</w:t>
      </w:r>
      <w:r>
        <w:rPr>
          <w:rFonts w:hint="eastAsia" w:ascii="仿宋" w:hAnsi="仿宋" w:eastAsia="仿宋" w:cs="仿宋"/>
          <w:color w:val="auto"/>
          <w:lang w:eastAsia="zh-CN"/>
        </w:rPr>
        <w:t>供应商</w:t>
      </w:r>
      <w:r>
        <w:rPr>
          <w:rFonts w:hint="eastAsia" w:ascii="仿宋" w:hAnsi="仿宋" w:eastAsia="仿宋" w:cs="仿宋"/>
          <w:color w:val="auto"/>
        </w:rPr>
        <w:t>均应使用 CA 数字证书加盖</w:t>
      </w:r>
      <w:r>
        <w:rPr>
          <w:rFonts w:hint="eastAsia" w:ascii="仿宋" w:hAnsi="仿宋" w:eastAsia="仿宋" w:cs="仿宋"/>
          <w:color w:val="auto"/>
          <w:lang w:eastAsia="zh-CN"/>
        </w:rPr>
        <w:t>供应商</w:t>
      </w:r>
      <w:r>
        <w:rPr>
          <w:rFonts w:hint="eastAsia" w:ascii="仿宋" w:hAnsi="仿宋" w:eastAsia="仿宋" w:cs="仿宋"/>
          <w:color w:val="auto"/>
        </w:rPr>
        <w:t>的单位电子印章和法定代表人的个人电子印章或电子签名章。</w:t>
      </w:r>
    </w:p>
    <w:p w14:paraId="5072BE05">
      <w:pPr>
        <w:rPr>
          <w:rFonts w:hint="eastAsia" w:ascii="仿宋" w:hAnsi="仿宋" w:eastAsia="仿宋" w:cs="仿宋"/>
          <w:color w:val="auto"/>
        </w:rPr>
      </w:pPr>
      <w:r>
        <w:rPr>
          <w:rFonts w:hint="eastAsia" w:ascii="仿宋" w:hAnsi="仿宋" w:eastAsia="仿宋" w:cs="仿宋"/>
          <w:color w:val="auto"/>
        </w:rPr>
        <w:t>项目开标结束后，中标单位需提供纸质版</w:t>
      </w:r>
      <w:r>
        <w:rPr>
          <w:rFonts w:hint="eastAsia" w:ascii="仿宋" w:hAnsi="仿宋" w:eastAsia="仿宋" w:cs="仿宋"/>
          <w:color w:val="auto"/>
          <w:lang w:eastAsia="zh-CN"/>
        </w:rPr>
        <w:t>响应文件</w:t>
      </w:r>
      <w:r>
        <w:rPr>
          <w:rFonts w:hint="eastAsia" w:ascii="仿宋" w:hAnsi="仿宋" w:eastAsia="仿宋" w:cs="仿宋"/>
          <w:color w:val="auto"/>
        </w:rPr>
        <w:t>：</w:t>
      </w:r>
      <w:r>
        <w:rPr>
          <w:rFonts w:hint="eastAsia" w:ascii="仿宋" w:hAnsi="仿宋" w:eastAsia="仿宋" w:cs="仿宋"/>
          <w:color w:val="auto"/>
          <w:lang w:val="en-US" w:eastAsia="zh-CN"/>
        </w:rPr>
        <w:t>三份</w:t>
      </w:r>
      <w:r>
        <w:rPr>
          <w:rFonts w:hint="eastAsia" w:ascii="仿宋" w:hAnsi="仿宋" w:eastAsia="仿宋" w:cs="仿宋"/>
          <w:color w:val="auto"/>
        </w:rPr>
        <w:t>（内容与加密上传的</w:t>
      </w:r>
      <w:r>
        <w:rPr>
          <w:rFonts w:hint="eastAsia" w:ascii="仿宋" w:hAnsi="仿宋" w:eastAsia="仿宋" w:cs="仿宋"/>
          <w:color w:val="auto"/>
          <w:lang w:eastAsia="zh-CN"/>
        </w:rPr>
        <w:t>响应文件</w:t>
      </w:r>
      <w:r>
        <w:rPr>
          <w:rFonts w:hint="eastAsia" w:ascii="仿宋" w:hAnsi="仿宋" w:eastAsia="仿宋" w:cs="仿宋"/>
          <w:color w:val="auto"/>
        </w:rPr>
        <w:t>一致</w:t>
      </w:r>
      <w:r>
        <w:rPr>
          <w:rFonts w:hint="eastAsia" w:ascii="仿宋" w:hAnsi="仿宋" w:eastAsia="仿宋" w:cs="仿宋"/>
          <w:color w:val="auto"/>
          <w:lang w:eastAsia="zh-CN"/>
        </w:rPr>
        <w:t>，</w:t>
      </w:r>
      <w:r>
        <w:rPr>
          <w:rFonts w:hint="eastAsia" w:ascii="仿宋" w:hAnsi="仿宋" w:eastAsia="仿宋" w:cs="仿宋"/>
          <w:color w:val="auto"/>
        </w:rPr>
        <w:t>纸质版</w:t>
      </w:r>
      <w:r>
        <w:rPr>
          <w:rFonts w:hint="eastAsia" w:ascii="仿宋" w:hAnsi="仿宋" w:eastAsia="仿宋" w:cs="仿宋"/>
          <w:color w:val="auto"/>
          <w:lang w:eastAsia="zh-CN"/>
        </w:rPr>
        <w:t>响应文件</w:t>
      </w:r>
      <w:r>
        <w:rPr>
          <w:rFonts w:hint="eastAsia" w:ascii="仿宋" w:hAnsi="仿宋" w:eastAsia="仿宋" w:cs="仿宋"/>
          <w:color w:val="auto"/>
        </w:rPr>
        <w:t>正本、副本用A4纸规格打印，</w:t>
      </w:r>
      <w:r>
        <w:rPr>
          <w:rFonts w:hint="eastAsia" w:ascii="仿宋" w:hAnsi="仿宋" w:eastAsia="仿宋" w:cs="仿宋"/>
          <w:color w:val="auto"/>
          <w:lang w:val="en-US" w:eastAsia="zh-CN"/>
        </w:rPr>
        <w:t>双面打印，</w:t>
      </w:r>
      <w:r>
        <w:rPr>
          <w:rFonts w:hint="eastAsia" w:ascii="仿宋" w:hAnsi="仿宋" w:eastAsia="仿宋" w:cs="仿宋"/>
          <w:color w:val="auto"/>
        </w:rPr>
        <w:t>装订成册。</w:t>
      </w:r>
      <w:r>
        <w:rPr>
          <w:rFonts w:hint="eastAsia" w:ascii="仿宋" w:hAnsi="仿宋" w:eastAsia="仿宋" w:cs="仿宋"/>
          <w:color w:val="auto"/>
          <w:lang w:eastAsia="zh-CN"/>
        </w:rPr>
        <w:t>响应文件</w:t>
      </w:r>
      <w:r>
        <w:rPr>
          <w:rFonts w:hint="eastAsia" w:ascii="仿宋" w:hAnsi="仿宋" w:eastAsia="仿宋" w:cs="仿宋"/>
          <w:color w:val="auto"/>
        </w:rPr>
        <w:t>要求编制目录和页码，并不得采用活页装订）。</w:t>
      </w:r>
    </w:p>
    <w:p w14:paraId="6D49A8E4">
      <w:pPr>
        <w:rPr>
          <w:rFonts w:hint="eastAsia" w:ascii="仿宋" w:hAnsi="仿宋" w:eastAsia="仿宋" w:cs="仿宋"/>
          <w:color w:val="auto"/>
        </w:rPr>
      </w:pPr>
      <w:r>
        <w:rPr>
          <w:rFonts w:hint="eastAsia" w:ascii="仿宋" w:hAnsi="仿宋" w:eastAsia="仿宋" w:cs="仿宋"/>
          <w:color w:val="auto"/>
        </w:rPr>
        <w:t>备注：1）</w:t>
      </w:r>
      <w:r>
        <w:rPr>
          <w:rFonts w:hint="eastAsia" w:ascii="仿宋" w:hAnsi="仿宋" w:eastAsia="仿宋" w:cs="仿宋"/>
          <w:color w:val="auto"/>
          <w:lang w:eastAsia="zh-CN"/>
        </w:rPr>
        <w:t>供应商</w:t>
      </w:r>
      <w:r>
        <w:rPr>
          <w:rFonts w:hint="eastAsia" w:ascii="仿宋" w:hAnsi="仿宋" w:eastAsia="仿宋" w:cs="仿宋"/>
          <w:color w:val="auto"/>
        </w:rPr>
        <w:t>在投标截止时间前自行在“政采云（https://www.zcygov.cn/）”平台上传电子</w:t>
      </w:r>
      <w:r>
        <w:rPr>
          <w:rFonts w:hint="eastAsia" w:ascii="仿宋" w:hAnsi="仿宋" w:eastAsia="仿宋" w:cs="仿宋"/>
          <w:color w:val="auto"/>
          <w:lang w:eastAsia="zh-CN"/>
        </w:rPr>
        <w:t>响应文件</w:t>
      </w:r>
      <w:r>
        <w:rPr>
          <w:rFonts w:hint="eastAsia" w:ascii="仿宋" w:hAnsi="仿宋" w:eastAsia="仿宋" w:cs="仿宋"/>
          <w:color w:val="auto"/>
        </w:rPr>
        <w:t>。</w:t>
      </w:r>
    </w:p>
    <w:p w14:paraId="3445CE62">
      <w:pPr>
        <w:rPr>
          <w:rFonts w:hint="eastAsia" w:ascii="仿宋" w:hAnsi="仿宋" w:eastAsia="仿宋" w:cs="仿宋"/>
          <w:color w:val="auto"/>
        </w:rPr>
      </w:pPr>
      <w:r>
        <w:rPr>
          <w:rFonts w:hint="eastAsia" w:ascii="仿宋" w:hAnsi="仿宋" w:eastAsia="仿宋" w:cs="仿宋"/>
          <w:color w:val="auto"/>
        </w:rPr>
        <w:t>2）本项目实行电子招投标，</w:t>
      </w:r>
      <w:r>
        <w:rPr>
          <w:rFonts w:hint="eastAsia" w:ascii="仿宋" w:hAnsi="仿宋" w:eastAsia="仿宋" w:cs="仿宋"/>
          <w:color w:val="auto"/>
          <w:lang w:eastAsia="zh-CN"/>
        </w:rPr>
        <w:t>供应商</w:t>
      </w:r>
      <w:r>
        <w:rPr>
          <w:rFonts w:hint="eastAsia" w:ascii="仿宋" w:hAnsi="仿宋" w:eastAsia="仿宋" w:cs="仿宋"/>
          <w:color w:val="auto"/>
        </w:rPr>
        <w:t>须登录政采云平台申请获取采购文件，并通过政采云电子投标客户端制作</w:t>
      </w:r>
      <w:r>
        <w:rPr>
          <w:rFonts w:hint="eastAsia" w:ascii="仿宋" w:hAnsi="仿宋" w:eastAsia="仿宋" w:cs="仿宋"/>
          <w:color w:val="auto"/>
          <w:lang w:eastAsia="zh-CN"/>
        </w:rPr>
        <w:t>响应文件</w:t>
      </w:r>
      <w:r>
        <w:rPr>
          <w:rFonts w:hint="eastAsia" w:ascii="仿宋" w:hAnsi="仿宋" w:eastAsia="仿宋" w:cs="仿宋"/>
          <w:color w:val="auto"/>
        </w:rPr>
        <w:t xml:space="preserve">，同时自行承担与投标有关的一切费用。 </w:t>
      </w:r>
    </w:p>
    <w:p w14:paraId="3D3B7DB0">
      <w:pPr>
        <w:rPr>
          <w:rFonts w:hint="eastAsia" w:ascii="仿宋" w:hAnsi="仿宋" w:eastAsia="仿宋" w:cs="仿宋"/>
          <w:color w:val="auto"/>
        </w:rPr>
      </w:pPr>
      <w:r>
        <w:rPr>
          <w:rFonts w:hint="eastAsia" w:ascii="仿宋" w:hAnsi="仿宋" w:eastAsia="仿宋" w:cs="仿宋"/>
          <w:color w:val="auto"/>
        </w:rPr>
        <w:t>3）各</w:t>
      </w:r>
      <w:r>
        <w:rPr>
          <w:rFonts w:hint="eastAsia" w:ascii="仿宋" w:hAnsi="仿宋" w:eastAsia="仿宋" w:cs="仿宋"/>
          <w:color w:val="auto"/>
          <w:lang w:eastAsia="zh-CN"/>
        </w:rPr>
        <w:t>供应商</w:t>
      </w:r>
      <w:r>
        <w:rPr>
          <w:rFonts w:hint="eastAsia" w:ascii="仿宋" w:hAnsi="仿宋" w:eastAsia="仿宋" w:cs="仿宋"/>
          <w:color w:val="auto"/>
        </w:rPr>
        <w:t>应在开标前确保成为新疆维吾尔自治区政府采购网正式注册入库</w:t>
      </w:r>
      <w:r>
        <w:rPr>
          <w:rFonts w:hint="eastAsia" w:ascii="仿宋" w:hAnsi="仿宋" w:eastAsia="仿宋" w:cs="仿宋"/>
          <w:color w:val="auto"/>
          <w:lang w:eastAsia="zh-CN"/>
        </w:rPr>
        <w:t>供应商</w:t>
      </w:r>
      <w:r>
        <w:rPr>
          <w:rFonts w:hint="eastAsia" w:ascii="仿宋" w:hAnsi="仿宋" w:eastAsia="仿宋" w:cs="仿宋"/>
          <w:color w:val="auto"/>
        </w:rPr>
        <w:t>，并完成CA数字证书申领。因未注册入库、未办理CA数字证书等原因造成无法投标或投标失败等后果由</w:t>
      </w:r>
      <w:r>
        <w:rPr>
          <w:rFonts w:hint="eastAsia" w:ascii="仿宋" w:hAnsi="仿宋" w:eastAsia="仿宋" w:cs="仿宋"/>
          <w:color w:val="auto"/>
          <w:lang w:eastAsia="zh-CN"/>
        </w:rPr>
        <w:t>供应商</w:t>
      </w:r>
      <w:r>
        <w:rPr>
          <w:rFonts w:hint="eastAsia" w:ascii="仿宋" w:hAnsi="仿宋" w:eastAsia="仿宋" w:cs="仿宋"/>
          <w:color w:val="auto"/>
        </w:rPr>
        <w:t xml:space="preserve">自行承担。 </w:t>
      </w:r>
    </w:p>
    <w:p w14:paraId="407900FE">
      <w:pPr>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CN"/>
        </w:rPr>
        <w:t>供应商</w:t>
      </w:r>
      <w:r>
        <w:rPr>
          <w:rFonts w:hint="eastAsia" w:ascii="仿宋" w:hAnsi="仿宋" w:eastAsia="仿宋" w:cs="仿宋"/>
          <w:color w:val="auto"/>
        </w:rPr>
        <w:t>可前往新疆政府采购网（http://www.ccgp-xinjiang.gov.cn/）下载专区，下载政采云电子投标客户端，安装完成后，可通过账号密码或CA登录客户端进行</w:t>
      </w:r>
      <w:r>
        <w:rPr>
          <w:rFonts w:hint="eastAsia" w:ascii="仿宋" w:hAnsi="仿宋" w:eastAsia="仿宋" w:cs="仿宋"/>
          <w:color w:val="auto"/>
          <w:lang w:eastAsia="zh-CN"/>
        </w:rPr>
        <w:t>响应文件</w:t>
      </w:r>
      <w:r>
        <w:rPr>
          <w:rFonts w:hint="eastAsia" w:ascii="仿宋" w:hAnsi="仿宋" w:eastAsia="仿宋" w:cs="仿宋"/>
          <w:color w:val="auto"/>
        </w:rPr>
        <w:t>制作。在使用政采云电子投标客户端时，建议使用WIN7及以上操作系统。如有问题可拨打政采云客户服务热线</w:t>
      </w:r>
      <w:r>
        <w:rPr>
          <w:rFonts w:hint="eastAsia" w:ascii="仿宋" w:hAnsi="仿宋" w:eastAsia="仿宋" w:cs="仿宋"/>
          <w:color w:val="auto"/>
          <w:lang w:eastAsia="zh-CN"/>
        </w:rPr>
        <w:t>95763</w:t>
      </w:r>
      <w:r>
        <w:rPr>
          <w:rFonts w:hint="eastAsia" w:ascii="仿宋" w:hAnsi="仿宋" w:eastAsia="仿宋" w:cs="仿宋"/>
          <w:color w:val="auto"/>
        </w:rPr>
        <w:t>进行咨询。</w:t>
      </w:r>
    </w:p>
    <w:p w14:paraId="1B65ABE5">
      <w:pPr>
        <w:rPr>
          <w:rFonts w:hint="eastAsia" w:ascii="仿宋" w:hAnsi="仿宋" w:eastAsia="仿宋" w:cs="仿宋"/>
          <w:color w:val="auto"/>
        </w:rPr>
      </w:pPr>
      <w:r>
        <w:rPr>
          <w:rFonts w:hint="eastAsia" w:ascii="仿宋" w:hAnsi="仿宋" w:eastAsia="仿宋" w:cs="仿宋"/>
          <w:color w:val="auto"/>
        </w:rPr>
        <w:t>5）本项目采用不见面开标，</w:t>
      </w:r>
      <w:r>
        <w:rPr>
          <w:rFonts w:hint="eastAsia" w:ascii="仿宋" w:hAnsi="仿宋" w:eastAsia="仿宋" w:cs="仿宋"/>
          <w:color w:val="auto"/>
          <w:lang w:eastAsia="zh-CN"/>
        </w:rPr>
        <w:t>供应商</w:t>
      </w:r>
      <w:r>
        <w:rPr>
          <w:rFonts w:hint="eastAsia" w:ascii="仿宋" w:hAnsi="仿宋" w:eastAsia="仿宋" w:cs="仿宋"/>
          <w:color w:val="auto"/>
        </w:rPr>
        <w:t>须在投标截止时间前通过CA锁在政采云平台上传加密的电子</w:t>
      </w:r>
      <w:r>
        <w:rPr>
          <w:rFonts w:hint="eastAsia" w:ascii="仿宋" w:hAnsi="仿宋" w:eastAsia="仿宋" w:cs="仿宋"/>
          <w:color w:val="auto"/>
          <w:lang w:eastAsia="zh-CN"/>
        </w:rPr>
        <w:t>响应文件</w:t>
      </w:r>
      <w:r>
        <w:rPr>
          <w:rFonts w:hint="eastAsia" w:ascii="仿宋" w:hAnsi="仿宋" w:eastAsia="仿宋" w:cs="仿宋"/>
          <w:color w:val="auto"/>
        </w:rPr>
        <w:t>。备注：</w:t>
      </w:r>
      <w:r>
        <w:rPr>
          <w:rFonts w:hint="eastAsia" w:ascii="仿宋" w:hAnsi="仿宋" w:eastAsia="仿宋" w:cs="仿宋"/>
          <w:color w:val="auto"/>
          <w:lang w:eastAsia="zh-CN"/>
        </w:rPr>
        <w:t>供应商</w:t>
      </w:r>
      <w:r>
        <w:rPr>
          <w:rFonts w:hint="eastAsia" w:ascii="仿宋" w:hAnsi="仿宋" w:eastAsia="仿宋" w:cs="仿宋"/>
          <w:color w:val="auto"/>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lang w:eastAsia="zh-CN"/>
        </w:rPr>
        <w:t>供应商</w:t>
      </w:r>
      <w:r>
        <w:rPr>
          <w:rFonts w:hint="eastAsia" w:ascii="仿宋" w:hAnsi="仿宋" w:eastAsia="仿宋" w:cs="仿宋"/>
          <w:color w:val="auto"/>
        </w:rPr>
        <w:t xml:space="preserve">”版面获取操作指南，同时对自助查询无法解决的问题可通过钉钉群及政采云在线客服获取服务支持。 </w:t>
      </w:r>
    </w:p>
    <w:p w14:paraId="1A92EA2E">
      <w:pPr>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供应商</w:t>
      </w:r>
      <w:r>
        <w:rPr>
          <w:rFonts w:hint="eastAsia" w:ascii="仿宋" w:hAnsi="仿宋" w:eastAsia="仿宋" w:cs="仿宋"/>
          <w:color w:val="auto"/>
        </w:rPr>
        <w:t>在开标前须提前配置好电脑浏览器（建议使用360浏览器或谷歌浏览器），开标时请使用制作加密电子</w:t>
      </w:r>
      <w:r>
        <w:rPr>
          <w:rFonts w:hint="eastAsia" w:ascii="仿宋" w:hAnsi="仿宋" w:eastAsia="仿宋" w:cs="仿宋"/>
          <w:color w:val="auto"/>
          <w:lang w:eastAsia="zh-CN"/>
        </w:rPr>
        <w:t>响应文件</w:t>
      </w:r>
      <w:r>
        <w:rPr>
          <w:rFonts w:hint="eastAsia" w:ascii="仿宋" w:hAnsi="仿宋" w:eastAsia="仿宋" w:cs="仿宋"/>
          <w:color w:val="auto"/>
        </w:rPr>
        <w:t>的CA锁进行解密及报价确认。本项目</w:t>
      </w:r>
      <w:r>
        <w:rPr>
          <w:rFonts w:hint="eastAsia" w:ascii="仿宋" w:hAnsi="仿宋" w:eastAsia="仿宋" w:cs="仿宋"/>
          <w:color w:val="auto"/>
          <w:lang w:eastAsia="zh-CN"/>
        </w:rPr>
        <w:t>响应文件</w:t>
      </w:r>
      <w:r>
        <w:rPr>
          <w:rFonts w:hint="eastAsia" w:ascii="仿宋" w:hAnsi="仿宋" w:eastAsia="仿宋" w:cs="仿宋"/>
          <w:color w:val="auto"/>
        </w:rPr>
        <w:t>解密时间定为</w:t>
      </w:r>
      <w:r>
        <w:rPr>
          <w:rFonts w:hint="eastAsia" w:ascii="仿宋" w:hAnsi="仿宋" w:eastAsia="仿宋" w:cs="仿宋"/>
          <w:color w:val="auto"/>
          <w:lang w:val="en-US" w:eastAsia="zh-CN"/>
        </w:rPr>
        <w:t>30</w:t>
      </w:r>
      <w:r>
        <w:rPr>
          <w:rFonts w:hint="eastAsia" w:ascii="仿宋" w:hAnsi="仿宋" w:eastAsia="仿宋" w:cs="仿宋"/>
          <w:color w:val="auto"/>
        </w:rPr>
        <w:t>分钟，如因自身原因导致无法正常解密，后果由</w:t>
      </w:r>
      <w:r>
        <w:rPr>
          <w:rFonts w:hint="eastAsia" w:ascii="仿宋" w:hAnsi="仿宋" w:eastAsia="仿宋" w:cs="仿宋"/>
          <w:color w:val="auto"/>
          <w:lang w:eastAsia="zh-CN"/>
        </w:rPr>
        <w:t>供应商</w:t>
      </w:r>
      <w:r>
        <w:rPr>
          <w:rFonts w:hint="eastAsia" w:ascii="仿宋" w:hAnsi="仿宋" w:eastAsia="仿宋" w:cs="仿宋"/>
          <w:color w:val="auto"/>
        </w:rPr>
        <w:t>自行承担。</w:t>
      </w:r>
    </w:p>
    <w:bookmarkEnd w:id="112"/>
    <w:p w14:paraId="6E72206A">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4.5</w:t>
      </w:r>
      <w:r>
        <w:rPr>
          <w:rFonts w:hint="eastAsia" w:ascii="仿宋" w:hAnsi="仿宋" w:eastAsia="仿宋" w:cs="仿宋"/>
          <w:color w:val="auto"/>
          <w:lang w:eastAsia="zh-CN"/>
        </w:rPr>
        <w:t>响应文件</w:t>
      </w:r>
      <w:r>
        <w:rPr>
          <w:rFonts w:hint="eastAsia" w:ascii="仿宋" w:hAnsi="仿宋" w:eastAsia="仿宋" w:cs="仿宋"/>
          <w:color w:val="auto"/>
        </w:rPr>
        <w:t>密封和标记</w:t>
      </w:r>
    </w:p>
    <w:p w14:paraId="4940BD91">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eastAsia="zh-CN"/>
        </w:rPr>
        <w:t>供应商</w:t>
      </w:r>
      <w:r>
        <w:rPr>
          <w:rFonts w:hint="eastAsia" w:ascii="仿宋" w:hAnsi="仿宋" w:eastAsia="仿宋" w:cs="仿宋"/>
          <w:color w:val="auto"/>
        </w:rPr>
        <w:t>应通过电子</w:t>
      </w:r>
      <w:r>
        <w:rPr>
          <w:rFonts w:hint="eastAsia" w:ascii="仿宋" w:hAnsi="仿宋" w:eastAsia="仿宋" w:cs="仿宋"/>
          <w:color w:val="auto"/>
          <w:lang w:eastAsia="zh-CN"/>
        </w:rPr>
        <w:t>响应文件</w:t>
      </w:r>
      <w:r>
        <w:rPr>
          <w:rFonts w:hint="eastAsia" w:ascii="仿宋" w:hAnsi="仿宋" w:eastAsia="仿宋" w:cs="仿宋"/>
          <w:color w:val="auto"/>
        </w:rPr>
        <w:t>制作工具严格按</w:t>
      </w:r>
      <w:r>
        <w:rPr>
          <w:rFonts w:hint="eastAsia" w:ascii="仿宋" w:hAnsi="仿宋" w:eastAsia="仿宋" w:cs="仿宋"/>
          <w:color w:val="auto"/>
          <w:lang w:eastAsia="zh-CN"/>
        </w:rPr>
        <w:t>磋商文件</w:t>
      </w:r>
      <w:r>
        <w:rPr>
          <w:rFonts w:hint="eastAsia" w:ascii="仿宋" w:hAnsi="仿宋" w:eastAsia="仿宋" w:cs="仿宋"/>
          <w:color w:val="auto"/>
        </w:rPr>
        <w:t>要求制作</w:t>
      </w:r>
      <w:r>
        <w:rPr>
          <w:rFonts w:hint="eastAsia" w:ascii="仿宋" w:hAnsi="仿宋" w:eastAsia="仿宋" w:cs="仿宋"/>
          <w:color w:val="auto"/>
          <w:lang w:eastAsia="zh-CN"/>
        </w:rPr>
        <w:t>响应文件</w:t>
      </w:r>
      <w:r>
        <w:rPr>
          <w:rFonts w:hint="eastAsia" w:ascii="仿宋" w:hAnsi="仿宋" w:eastAsia="仿宋" w:cs="仿宋"/>
          <w:color w:val="auto"/>
        </w:rPr>
        <w:t>，在投标截止时间前完成上传经过数字证书电子签章并加密的</w:t>
      </w:r>
      <w:r>
        <w:rPr>
          <w:rFonts w:hint="eastAsia" w:ascii="仿宋" w:hAnsi="仿宋" w:eastAsia="仿宋" w:cs="仿宋"/>
          <w:color w:val="auto"/>
          <w:lang w:eastAsia="zh-CN"/>
        </w:rPr>
        <w:t>响应文件</w:t>
      </w:r>
      <w:r>
        <w:rPr>
          <w:rFonts w:hint="eastAsia" w:ascii="仿宋" w:hAnsi="仿宋" w:eastAsia="仿宋" w:cs="仿宋"/>
          <w:color w:val="auto"/>
        </w:rPr>
        <w:t>（加密和解密须用同一把数字证书）。</w:t>
      </w:r>
      <w:r>
        <w:rPr>
          <w:rFonts w:hint="eastAsia" w:ascii="仿宋" w:hAnsi="仿宋" w:eastAsia="仿宋" w:cs="仿宋"/>
          <w:color w:val="auto"/>
          <w:lang w:eastAsia="zh-CN"/>
        </w:rPr>
        <w:t>供应商</w:t>
      </w:r>
      <w:r>
        <w:rPr>
          <w:rFonts w:hint="eastAsia" w:ascii="仿宋" w:hAnsi="仿宋" w:eastAsia="仿宋" w:cs="仿宋"/>
          <w:color w:val="auto"/>
        </w:rPr>
        <w:t>在投标截止时间前，可以对其所递交的</w:t>
      </w:r>
      <w:r>
        <w:rPr>
          <w:rFonts w:hint="eastAsia" w:ascii="仿宋" w:hAnsi="仿宋" w:eastAsia="仿宋" w:cs="仿宋"/>
          <w:color w:val="auto"/>
          <w:lang w:eastAsia="zh-CN"/>
        </w:rPr>
        <w:t>响应文件</w:t>
      </w:r>
      <w:r>
        <w:rPr>
          <w:rFonts w:hint="eastAsia" w:ascii="仿宋" w:hAnsi="仿宋" w:eastAsia="仿宋" w:cs="仿宋"/>
          <w:color w:val="auto"/>
        </w:rPr>
        <w:t>进行修改并重新上传，但以投标截止时间前最后一次上传的</w:t>
      </w:r>
      <w:r>
        <w:rPr>
          <w:rFonts w:hint="eastAsia" w:ascii="仿宋" w:hAnsi="仿宋" w:eastAsia="仿宋" w:cs="仿宋"/>
          <w:color w:val="auto"/>
          <w:lang w:eastAsia="zh-CN"/>
        </w:rPr>
        <w:t>响应文件</w:t>
      </w:r>
      <w:r>
        <w:rPr>
          <w:rFonts w:hint="eastAsia" w:ascii="仿宋" w:hAnsi="仿宋" w:eastAsia="仿宋" w:cs="仿宋"/>
          <w:color w:val="auto"/>
        </w:rPr>
        <w:t>为有效</w:t>
      </w:r>
      <w:r>
        <w:rPr>
          <w:rFonts w:hint="eastAsia" w:ascii="仿宋" w:hAnsi="仿宋" w:eastAsia="仿宋" w:cs="仿宋"/>
          <w:color w:val="auto"/>
          <w:lang w:eastAsia="zh-CN"/>
        </w:rPr>
        <w:t>响应文件</w:t>
      </w:r>
      <w:r>
        <w:rPr>
          <w:rFonts w:hint="eastAsia" w:ascii="仿宋" w:hAnsi="仿宋" w:eastAsia="仿宋" w:cs="仿宋"/>
          <w:color w:val="auto"/>
        </w:rPr>
        <w:t>。</w:t>
      </w:r>
    </w:p>
    <w:p w14:paraId="7FBC8F3E">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4.6投标</w:t>
      </w:r>
      <w:r>
        <w:rPr>
          <w:rFonts w:hint="eastAsia" w:ascii="仿宋" w:hAnsi="仿宋" w:eastAsia="仿宋" w:cs="仿宋"/>
          <w:color w:val="auto"/>
        </w:rPr>
        <w:t>截止日期</w:t>
      </w:r>
    </w:p>
    <w:p w14:paraId="36504687">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w:t>
      </w:r>
      <w:r>
        <w:rPr>
          <w:rFonts w:hint="eastAsia" w:ascii="仿宋" w:hAnsi="仿宋" w:eastAsia="仿宋" w:cs="仿宋"/>
          <w:color w:val="auto"/>
        </w:rPr>
        <w:t>1、</w:t>
      </w:r>
      <w:r>
        <w:rPr>
          <w:rFonts w:hint="eastAsia" w:ascii="仿宋" w:hAnsi="仿宋" w:eastAsia="仿宋" w:cs="仿宋"/>
          <w:color w:val="auto"/>
          <w:lang w:eastAsia="zh-CN"/>
        </w:rPr>
        <w:t>供应商</w:t>
      </w:r>
      <w:r>
        <w:rPr>
          <w:rFonts w:hint="eastAsia" w:ascii="仿宋" w:hAnsi="仿宋" w:eastAsia="仿宋" w:cs="仿宋"/>
          <w:color w:val="auto"/>
        </w:rPr>
        <w:t>应当在</w:t>
      </w:r>
      <w:r>
        <w:rPr>
          <w:rFonts w:hint="eastAsia" w:ascii="仿宋" w:hAnsi="仿宋" w:eastAsia="仿宋" w:cs="仿宋"/>
          <w:color w:val="auto"/>
          <w:lang w:eastAsia="zh-CN"/>
        </w:rPr>
        <w:t>磋商文件</w:t>
      </w:r>
      <w:r>
        <w:rPr>
          <w:rFonts w:hint="eastAsia" w:ascii="仿宋" w:hAnsi="仿宋" w:eastAsia="仿宋" w:cs="仿宋"/>
          <w:color w:val="auto"/>
        </w:rPr>
        <w:t>要求</w:t>
      </w:r>
      <w:r>
        <w:rPr>
          <w:rFonts w:hint="eastAsia" w:ascii="仿宋" w:hAnsi="仿宋" w:eastAsia="仿宋" w:cs="仿宋"/>
          <w:color w:val="auto"/>
          <w:lang w:eastAsia="zh-CN"/>
        </w:rPr>
        <w:t>递</w:t>
      </w:r>
      <w:r>
        <w:rPr>
          <w:rFonts w:hint="eastAsia" w:ascii="仿宋" w:hAnsi="仿宋" w:eastAsia="仿宋" w:cs="仿宋"/>
          <w:color w:val="auto"/>
        </w:rPr>
        <w:t>交</w:t>
      </w:r>
      <w:r>
        <w:rPr>
          <w:rFonts w:hint="eastAsia" w:ascii="仿宋" w:hAnsi="仿宋" w:eastAsia="仿宋" w:cs="仿宋"/>
          <w:color w:val="auto"/>
          <w:lang w:eastAsia="zh-CN"/>
        </w:rPr>
        <w:t>响应文件</w:t>
      </w:r>
      <w:r>
        <w:rPr>
          <w:rFonts w:hint="eastAsia" w:ascii="仿宋" w:hAnsi="仿宋" w:eastAsia="仿宋" w:cs="仿宋"/>
          <w:color w:val="auto"/>
        </w:rPr>
        <w:t>的截止时间前网上投标。</w:t>
      </w:r>
    </w:p>
    <w:p w14:paraId="1254ED2C">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w:t>
      </w:r>
      <w:r>
        <w:rPr>
          <w:rFonts w:hint="eastAsia" w:ascii="仿宋" w:hAnsi="仿宋" w:eastAsia="仿宋" w:cs="仿宋"/>
          <w:color w:val="auto"/>
        </w:rPr>
        <w:t>2、投标截止时间以政采云平台中心交易平台显示的时间为准，逾期系统将自动关闭，未完成上传的</w:t>
      </w:r>
      <w:r>
        <w:rPr>
          <w:rFonts w:hint="eastAsia" w:ascii="仿宋" w:hAnsi="仿宋" w:eastAsia="仿宋" w:cs="仿宋"/>
          <w:color w:val="auto"/>
          <w:lang w:eastAsia="zh-CN"/>
        </w:rPr>
        <w:t>响应文件</w:t>
      </w:r>
      <w:r>
        <w:rPr>
          <w:rFonts w:hint="eastAsia" w:ascii="仿宋" w:hAnsi="仿宋" w:eastAsia="仿宋" w:cs="仿宋"/>
          <w:color w:val="auto"/>
        </w:rPr>
        <w:t>视为逾期送达，将被拒绝。</w:t>
      </w:r>
      <w:bookmarkStart w:id="117" w:name="_Toc5204"/>
      <w:bookmarkStart w:id="118" w:name="_Toc13285"/>
      <w:bookmarkStart w:id="119" w:name="_Toc12475"/>
      <w:bookmarkStart w:id="120" w:name="_Toc24462"/>
    </w:p>
    <w:p w14:paraId="7EEF06FC">
      <w:pPr>
        <w:pStyle w:val="6"/>
        <w:bidi w:val="0"/>
        <w:jc w:val="center"/>
        <w:rPr>
          <w:rFonts w:hint="eastAsia" w:ascii="仿宋" w:hAnsi="仿宋" w:eastAsia="仿宋" w:cs="仿宋"/>
          <w:lang w:val="en-US" w:eastAsia="zh-CN"/>
        </w:rPr>
      </w:pPr>
      <w:r>
        <w:rPr>
          <w:rFonts w:hint="eastAsia" w:ascii="仿宋" w:hAnsi="仿宋" w:eastAsia="仿宋" w:cs="仿宋"/>
          <w:lang w:val="en-US" w:eastAsia="zh-CN"/>
        </w:rPr>
        <w:t>（五）、</w:t>
      </w:r>
      <w:bookmarkEnd w:id="117"/>
      <w:bookmarkEnd w:id="118"/>
      <w:bookmarkEnd w:id="119"/>
      <w:bookmarkEnd w:id="120"/>
      <w:r>
        <w:rPr>
          <w:rFonts w:hint="eastAsia" w:ascii="仿宋" w:hAnsi="仿宋" w:eastAsia="仿宋" w:cs="仿宋"/>
          <w:lang w:val="en-US" w:eastAsia="zh-CN"/>
        </w:rPr>
        <w:t>开标与评标</w:t>
      </w:r>
    </w:p>
    <w:p w14:paraId="28FC1034">
      <w:pPr>
        <w:pStyle w:val="2"/>
        <w:bidi w:val="0"/>
        <w:rPr>
          <w:rFonts w:hint="eastAsia" w:ascii="仿宋" w:hAnsi="仿宋" w:eastAsia="仿宋" w:cs="仿宋"/>
          <w:color w:val="auto"/>
          <w:lang w:eastAsia="zh-CN"/>
        </w:rPr>
      </w:pPr>
      <w:r>
        <w:rPr>
          <w:rFonts w:hint="eastAsia" w:ascii="仿宋" w:hAnsi="仿宋" w:eastAsia="仿宋" w:cs="仿宋"/>
          <w:color w:val="auto"/>
          <w:lang w:val="en-US" w:eastAsia="zh-CN"/>
        </w:rPr>
        <w:t>5.1</w:t>
      </w:r>
      <w:r>
        <w:rPr>
          <w:rFonts w:hint="eastAsia" w:ascii="仿宋" w:hAnsi="仿宋" w:eastAsia="仿宋" w:cs="仿宋"/>
          <w:color w:val="auto"/>
          <w:lang w:eastAsia="zh-CN"/>
        </w:rPr>
        <w:t>开标</w:t>
      </w:r>
    </w:p>
    <w:p w14:paraId="573F34EE">
      <w:pPr>
        <w:autoSpaceDE w:val="0"/>
        <w:autoSpaceDN w:val="0"/>
        <w:adjustRightInd w:val="0"/>
        <w:spacing w:line="360" w:lineRule="auto"/>
        <w:ind w:firstLine="480" w:firstLineChars="200"/>
        <w:rPr>
          <w:rFonts w:hint="eastAsia" w:ascii="仿宋" w:hAnsi="仿宋" w:eastAsia="仿宋" w:cs="仿宋"/>
          <w:color w:val="auto"/>
          <w:sz w:val="24"/>
          <w:lang w:eastAsia="zh-CN"/>
        </w:rPr>
      </w:pPr>
      <w:bookmarkStart w:id="121" w:name="_Toc13834"/>
      <w:bookmarkStart w:id="122" w:name="_Toc2268"/>
      <w:bookmarkStart w:id="123" w:name="_Toc4"/>
      <w:bookmarkStart w:id="124" w:name="_Toc13595"/>
      <w:r>
        <w:rPr>
          <w:rFonts w:hint="eastAsia" w:ascii="仿宋" w:hAnsi="仿宋" w:eastAsia="仿宋" w:cs="仿宋"/>
          <w:color w:val="auto"/>
          <w:sz w:val="24"/>
          <w:lang w:val="en-US" w:eastAsia="zh-CN"/>
        </w:rPr>
        <w:t>5.1.1</w:t>
      </w:r>
      <w:r>
        <w:rPr>
          <w:rFonts w:hint="eastAsia" w:ascii="仿宋" w:hAnsi="仿宋" w:eastAsia="仿宋" w:cs="仿宋"/>
          <w:color w:val="auto"/>
          <w:sz w:val="24"/>
          <w:lang w:eastAsia="zh-CN"/>
        </w:rPr>
        <w:t>开标准备</w:t>
      </w:r>
    </w:p>
    <w:p w14:paraId="62F96593">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招标代理机构将在规定的时间和地点进行开标。（本项目实行网上投标，采用电子响应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2FCC531D">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5.1.2</w:t>
      </w:r>
      <w:r>
        <w:rPr>
          <w:rFonts w:hint="eastAsia" w:ascii="仿宋" w:hAnsi="仿宋" w:eastAsia="仿宋" w:cs="仿宋"/>
          <w:color w:val="auto"/>
          <w:sz w:val="24"/>
          <w:lang w:eastAsia="zh-CN"/>
        </w:rPr>
        <w:t>开标程序：</w:t>
      </w:r>
    </w:p>
    <w:p w14:paraId="2D30197B">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1.开标会由招标代理机构主持；</w:t>
      </w:r>
    </w:p>
    <w:p w14:paraId="32BB8D38">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2.投标截止时间招标代理点击开始解密，供应商开始解密，解密时限为30分钟，超出解密时限默认供应商放弃投标；</w:t>
      </w:r>
    </w:p>
    <w:p w14:paraId="1A793C50">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3.结束解密后代理机构开启供应商投标报价文件，公布报价后供应商对报价开标记录表进行电子签章时限为20分钟。</w:t>
      </w:r>
    </w:p>
    <w:p w14:paraId="598918C4">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5.1.3</w:t>
      </w:r>
      <w:r>
        <w:rPr>
          <w:rFonts w:hint="eastAsia" w:ascii="仿宋" w:hAnsi="仿宋" w:eastAsia="仿宋" w:cs="仿宋"/>
          <w:color w:val="auto"/>
          <w:sz w:val="24"/>
          <w:lang w:eastAsia="zh-CN"/>
        </w:rPr>
        <w:t>磋商小组对响应文件进行评审，并根据磋商文件规定的程序、评定成交的标准等事项与实质性响应磋商文件要求的供应商进行磋商。未实质性响应磋商文件的响应文件按无效处理，磋商小组应当告知有关供应商；</w:t>
      </w:r>
    </w:p>
    <w:p w14:paraId="0801706B">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磋商小组所有成员集中与单一采购供应商单位分别进行磋商。在磋商中，磋商的任何一方不得透露与磋商有关的其他供应商的技术资料、价格和其他信息。磋商文件有实质性变动磋商小组应当以书面形式通知所有参加磋商的供应商；</w:t>
      </w:r>
    </w:p>
    <w:p w14:paraId="57C90CD4">
      <w:pPr>
        <w:autoSpaceDE w:val="0"/>
        <w:autoSpaceDN w:val="0"/>
        <w:adjustRightIn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 xml:space="preserve">磋商结束后，磋商小组应当要求通过资格和符合性审查的所有参加磋商采购供应商在规定时间内进行最后报价。 </w:t>
      </w:r>
    </w:p>
    <w:p w14:paraId="330597CA">
      <w:pPr>
        <w:pStyle w:val="2"/>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5.2资格审查</w:t>
      </w:r>
    </w:p>
    <w:p w14:paraId="7F578751">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rPr>
        <w:t>公开招标采购项目开标结束后，采购人或者采购代理机构应当依法对投标人的资格进</w:t>
      </w:r>
      <w:r>
        <w:rPr>
          <w:rFonts w:hint="eastAsia" w:ascii="仿宋" w:hAnsi="仿宋" w:eastAsia="仿宋" w:cs="仿宋"/>
          <w:color w:val="auto"/>
          <w:sz w:val="24"/>
          <w:lang w:eastAsia="zh-CN"/>
        </w:rPr>
        <w:t>行审查。合格投标人不足</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家的，不得评标。</w:t>
      </w:r>
    </w:p>
    <w:p w14:paraId="44AB458F">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有下列情形之一的，应在资格审查时按照无效投标处理：</w:t>
      </w:r>
    </w:p>
    <w:p w14:paraId="703F41F4">
      <w:pPr>
        <w:autoSpaceDE w:val="0"/>
        <w:autoSpaceDN w:val="0"/>
        <w:adjustRightIn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(1)投标人未按照磋商文件规定递交投标保证金的；</w:t>
      </w:r>
    </w:p>
    <w:p w14:paraId="4FCFBF91">
      <w:pPr>
        <w:autoSpaceDE w:val="0"/>
        <w:autoSpaceDN w:val="0"/>
        <w:adjustRightInd w:val="0"/>
        <w:spacing w:line="360" w:lineRule="auto"/>
        <w:ind w:firstLine="480" w:firstLineChars="200"/>
        <w:rPr>
          <w:rFonts w:hint="eastAsia" w:ascii="仿宋" w:hAnsi="仿宋" w:eastAsia="仿宋" w:cs="仿宋"/>
        </w:rPr>
      </w:pPr>
      <w:r>
        <w:rPr>
          <w:rFonts w:hint="eastAsia" w:ascii="仿宋" w:hAnsi="仿宋" w:eastAsia="仿宋" w:cs="仿宋"/>
          <w:color w:val="auto"/>
          <w:sz w:val="24"/>
          <w:lang w:eastAsia="zh-CN"/>
        </w:rPr>
        <w:t>(2)投标人不具备磋商文件规定的投标人资格条件的</w:t>
      </w:r>
      <w:r>
        <w:rPr>
          <w:rFonts w:hint="eastAsia" w:ascii="仿宋" w:hAnsi="仿宋" w:eastAsia="仿宋" w:cs="仿宋"/>
        </w:rPr>
        <w:t>。</w:t>
      </w:r>
    </w:p>
    <w:p w14:paraId="7E088103">
      <w:pPr>
        <w:pStyle w:val="3"/>
        <w:ind w:left="0" w:leftChars="0" w:firstLine="0" w:firstLineChars="0"/>
        <w:rPr>
          <w:rFonts w:hint="eastAsia" w:ascii="仿宋" w:hAnsi="仿宋" w:eastAsia="仿宋" w:cs="仿宋"/>
          <w:b/>
          <w:bCs/>
          <w:lang w:eastAsia="zh-CN"/>
        </w:rPr>
      </w:pPr>
      <w:r>
        <w:rPr>
          <w:rFonts w:hint="eastAsia" w:ascii="仿宋" w:hAnsi="仿宋" w:eastAsia="仿宋" w:cs="仿宋"/>
          <w:b/>
          <w:bCs/>
          <w:lang w:eastAsia="zh-CN"/>
        </w:rPr>
        <w:t>资格性审查表</w:t>
      </w:r>
    </w:p>
    <w:tbl>
      <w:tblPr>
        <w:tblStyle w:val="26"/>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1290"/>
        <w:gridCol w:w="5823"/>
        <w:gridCol w:w="1280"/>
      </w:tblGrid>
      <w:tr w14:paraId="602D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513" w:type="dxa"/>
            <w:vAlign w:val="center"/>
          </w:tcPr>
          <w:p w14:paraId="77B6FBA9">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290" w:type="dxa"/>
            <w:vAlign w:val="center"/>
          </w:tcPr>
          <w:p w14:paraId="50A61261">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评分点</w:t>
            </w:r>
          </w:p>
        </w:tc>
        <w:tc>
          <w:tcPr>
            <w:tcW w:w="5823" w:type="dxa"/>
            <w:vAlign w:val="center"/>
          </w:tcPr>
          <w:p w14:paraId="6E9F1CF3">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280" w:type="dxa"/>
            <w:vAlign w:val="center"/>
          </w:tcPr>
          <w:p w14:paraId="789C2CED">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要求说明</w:t>
            </w:r>
          </w:p>
        </w:tc>
      </w:tr>
      <w:tr w14:paraId="00B3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13" w:type="dxa"/>
            <w:vAlign w:val="center"/>
          </w:tcPr>
          <w:p w14:paraId="5CB5FF56">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90" w:type="dxa"/>
            <w:vAlign w:val="center"/>
          </w:tcPr>
          <w:p w14:paraId="5F17D0DE">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基本资质</w:t>
            </w:r>
          </w:p>
        </w:tc>
        <w:tc>
          <w:tcPr>
            <w:tcW w:w="5823" w:type="dxa"/>
            <w:vAlign w:val="center"/>
          </w:tcPr>
          <w:p w14:paraId="7D311CFE">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color w:val="auto"/>
                <w:kern w:val="2"/>
                <w:sz w:val="24"/>
                <w:szCs w:val="24"/>
              </w:rPr>
              <w:t>满足《中华人民共和国政府采购法》第二十二条规定；</w:t>
            </w:r>
          </w:p>
        </w:tc>
        <w:tc>
          <w:tcPr>
            <w:tcW w:w="1280" w:type="dxa"/>
            <w:vAlign w:val="center"/>
          </w:tcPr>
          <w:p w14:paraId="7979B9EB">
            <w:pPr>
              <w:bidi w:val="0"/>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按照审查要求出具证明材料</w:t>
            </w:r>
          </w:p>
        </w:tc>
      </w:tr>
      <w:tr w14:paraId="62C6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3" w:type="dxa"/>
            <w:vAlign w:val="center"/>
          </w:tcPr>
          <w:p w14:paraId="7279827F">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90" w:type="dxa"/>
            <w:vAlign w:val="center"/>
          </w:tcPr>
          <w:p w14:paraId="206C19BD">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特定资质</w:t>
            </w:r>
          </w:p>
        </w:tc>
        <w:tc>
          <w:tcPr>
            <w:tcW w:w="5823" w:type="dxa"/>
            <w:vAlign w:val="center"/>
          </w:tcPr>
          <w:p w14:paraId="3FBF08C0">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1投标供应商须在中华人民共和国合法注册并具有独立法人资格；</w:t>
            </w:r>
          </w:p>
          <w:p w14:paraId="6BB40A2D">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2投标人须具备有效的土地规划乙级（含乙级）以上资质；</w:t>
            </w:r>
          </w:p>
          <w:p w14:paraId="77F1B850">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3根据《财政部关于在政府采购活动中查询及使用信用记录有关问题的通知》（财库﹝2016﹞125号）的要求，凡拟参加本次招标项目的投标供应商，如在“信用中国”网（www.creditchina.gov.cn）、中国政府采购网（www.ccgp.gov.cn）列入失信被执行人、重大税收违法案件当事人名单、政府采购严重违法失信行为记录名单的（尚在处罚期内的），将拒绝其参加本次政府采购活动；</w:t>
            </w:r>
          </w:p>
          <w:p w14:paraId="3954C83C">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4单位负责人为同一人或者存在直接控股、管理关系的不同投标供应商，不得参加同一合同项下的政府采购活动。否则，皆取消投标资格。</w:t>
            </w:r>
          </w:p>
        </w:tc>
        <w:tc>
          <w:tcPr>
            <w:tcW w:w="1280" w:type="dxa"/>
            <w:vAlign w:val="center"/>
          </w:tcPr>
          <w:p w14:paraId="797F585C">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按照审查要求出具证明材料</w:t>
            </w:r>
          </w:p>
        </w:tc>
      </w:tr>
      <w:tr w14:paraId="56D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3" w:type="dxa"/>
            <w:vAlign w:val="center"/>
          </w:tcPr>
          <w:p w14:paraId="2844AEAD">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90" w:type="dxa"/>
            <w:vAlign w:val="center"/>
          </w:tcPr>
          <w:p w14:paraId="5265EC0C">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其他</w:t>
            </w:r>
          </w:p>
        </w:tc>
        <w:tc>
          <w:tcPr>
            <w:tcW w:w="5823" w:type="dxa"/>
            <w:vAlign w:val="center"/>
          </w:tcPr>
          <w:p w14:paraId="4F43DD4E">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按照磋商文件要求提供投标担保（从基本户缴纳保证金）。</w:t>
            </w:r>
          </w:p>
        </w:tc>
        <w:tc>
          <w:tcPr>
            <w:tcW w:w="1280" w:type="dxa"/>
            <w:vAlign w:val="center"/>
          </w:tcPr>
          <w:p w14:paraId="21F89C5C">
            <w:pPr>
              <w:bidi w:val="0"/>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递交投标担保证明</w:t>
            </w:r>
          </w:p>
        </w:tc>
      </w:tr>
    </w:tbl>
    <w:p w14:paraId="032DDE44">
      <w:pPr>
        <w:pStyle w:val="2"/>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5.3组建评标委员会</w:t>
      </w:r>
    </w:p>
    <w:p w14:paraId="42E1208D">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按《中华人民共和国政府采购法》相关要求，评标委员会由新疆政府采购网</w:t>
      </w:r>
      <w:r>
        <w:rPr>
          <w:rFonts w:hint="eastAsia" w:ascii="仿宋" w:hAnsi="仿宋" w:eastAsia="仿宋" w:cs="仿宋"/>
          <w:color w:val="auto"/>
          <w:sz w:val="24"/>
          <w:lang w:val="en-US" w:eastAsia="zh-CN"/>
        </w:rPr>
        <w:t>评标</w:t>
      </w:r>
      <w:r>
        <w:rPr>
          <w:rFonts w:hint="eastAsia" w:ascii="仿宋" w:hAnsi="仿宋" w:eastAsia="仿宋" w:cs="仿宋"/>
          <w:color w:val="auto"/>
          <w:sz w:val="24"/>
          <w:lang w:eastAsia="zh-CN"/>
        </w:rPr>
        <w:t>专家库随机抽取专家</w:t>
      </w:r>
      <w:r>
        <w:rPr>
          <w:rFonts w:hint="eastAsia" w:ascii="仿宋" w:hAnsi="仿宋" w:eastAsia="仿宋" w:cs="仿宋"/>
          <w:color w:val="auto"/>
          <w:sz w:val="24"/>
          <w:lang w:val="en-US" w:eastAsia="zh-CN"/>
        </w:rPr>
        <w:t>和业主专家</w:t>
      </w:r>
      <w:r>
        <w:rPr>
          <w:rFonts w:hint="eastAsia" w:ascii="仿宋" w:hAnsi="仿宋" w:eastAsia="仿宋" w:cs="仿宋"/>
          <w:color w:val="auto"/>
          <w:sz w:val="24"/>
          <w:lang w:eastAsia="zh-CN"/>
        </w:rPr>
        <w:t>组成，其中随机抽取地方专家人数不少于成员总数的三分之二。</w:t>
      </w:r>
    </w:p>
    <w:p w14:paraId="52D12DA2">
      <w:pPr>
        <w:pStyle w:val="2"/>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5.4评标纪律</w:t>
      </w:r>
    </w:p>
    <w:p w14:paraId="7AFBDEC7">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1．评标是招标工作的重要环节，评标工作在评标委员会内独立进行。评标委员会将按照评标原则的要求，公正、平等地对待所有投标人。</w:t>
      </w:r>
    </w:p>
    <w:p w14:paraId="292289CD">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2．所有评标人员应忠于职守、廉洁自律、秉公办事、不徇私情。</w:t>
      </w:r>
    </w:p>
    <w:p w14:paraId="5E4E7142">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3．评标人员不得接受或参加投标人或与投标有关的单位、组织或个人的有碍公务的宴请、娱乐活动等，不得以任何形式弄虚作假。</w:t>
      </w:r>
    </w:p>
    <w:p w14:paraId="4580EA8E">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4．评标期间，评标人员不得随意出入评标地点、与外界通讯、会客等。</w:t>
      </w:r>
    </w:p>
    <w:p w14:paraId="5AB1587A">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5．在响应文件的审查、澄清、评价和比较以及授予合同的过程中，投标人对采购人、采购代理机构人员及评标委员会成员施加影响的任何行为，都将导致被取消投标资格。</w:t>
      </w:r>
    </w:p>
    <w:p w14:paraId="60A37DB4">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467BB3DC">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7．评标过程中，评标专家对投标人的优劣情况，以及认为差异较大的情况，应以书面意见作出真实、专业、诚恳负责的表述，不得违背客观、公正的原则。</w:t>
      </w:r>
    </w:p>
    <w:p w14:paraId="28C14733">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8．评标结束后，各评标人员应将全部资料整理上交采购代理机构，严禁将评标过程中的任何资料带出评标现场向投标人或其他单位提供。</w:t>
      </w:r>
    </w:p>
    <w:p w14:paraId="7AFF59D4">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9．在中标结果公布前应对评标委员会成员名单予以保密。</w:t>
      </w:r>
    </w:p>
    <w:p w14:paraId="2EEF907E">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10．评标委员会对各投标人的商业秘密予以保密。</w:t>
      </w:r>
    </w:p>
    <w:p w14:paraId="7FBFA666">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11．评标委员会成员应当客观、公正地履行职责，遵守职业道德，对所提出的评审意见承担个人责任。</w:t>
      </w:r>
    </w:p>
    <w:p w14:paraId="22B8EF0C">
      <w:pPr>
        <w:autoSpaceDE w:val="0"/>
        <w:autoSpaceDN w:val="0"/>
        <w:adjustRightIn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12．在整个评标过程中，投标人企图影响招标结果的任何活动，可能导致其投标失败。如有违法行为，将依法追究其法律责任。</w:t>
      </w:r>
    </w:p>
    <w:p w14:paraId="5304C266">
      <w:pPr>
        <w:pStyle w:val="2"/>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5.5评标程序</w:t>
      </w:r>
    </w:p>
    <w:p w14:paraId="15D34699">
      <w:pPr>
        <w:keepNext w:val="0"/>
        <w:keepLines w:val="0"/>
        <w:pageBreakBefore w:val="0"/>
        <w:widowControl w:val="0"/>
        <w:kinsoku/>
        <w:wordWrap/>
        <w:overflowPunct/>
        <w:topLinePunct w:val="0"/>
        <w:bidi w:val="0"/>
        <w:adjustRightInd w:val="0"/>
        <w:snapToGrid w:val="0"/>
        <w:spacing w:line="400" w:lineRule="exact"/>
        <w:ind w:firstLine="472" w:firstLineChars="196"/>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符合性</w:t>
      </w:r>
      <w:r>
        <w:rPr>
          <w:rFonts w:hint="eastAsia" w:ascii="仿宋" w:hAnsi="仿宋" w:eastAsia="仿宋" w:cs="仿宋"/>
          <w:b/>
          <w:bCs/>
          <w:color w:val="000000" w:themeColor="text1"/>
          <w:sz w:val="24"/>
          <w:szCs w:val="24"/>
          <w:highlight w:val="none"/>
          <w14:textFill>
            <w14:solidFill>
              <w14:schemeClr w14:val="tx1"/>
            </w14:solidFill>
          </w14:textFill>
        </w:rPr>
        <w:t>审查</w:t>
      </w:r>
    </w:p>
    <w:p w14:paraId="22CD2A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采购人代表和采购代理机构工作人员协助评标委员会对投标人的资格和</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的完整性、合法性等进行审查。</w:t>
      </w:r>
    </w:p>
    <w:p w14:paraId="537E3D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下列有一项未通过审查</w:t>
      </w:r>
      <w:r>
        <w:rPr>
          <w:rFonts w:hint="eastAsia" w:ascii="仿宋" w:hAnsi="仿宋" w:eastAsia="仿宋" w:cs="仿宋"/>
          <w:bCs/>
          <w:color w:val="000000" w:themeColor="text1"/>
          <w:sz w:val="24"/>
          <w:szCs w:val="24"/>
          <w:highlight w:val="none"/>
          <w14:textFill>
            <w14:solidFill>
              <w14:schemeClr w14:val="tx1"/>
            </w14:solidFill>
          </w14:textFill>
        </w:rPr>
        <w:t>内容</w:t>
      </w:r>
      <w:r>
        <w:rPr>
          <w:rFonts w:hint="eastAsia" w:ascii="仿宋" w:hAnsi="仿宋" w:eastAsia="仿宋" w:cs="仿宋"/>
          <w:color w:val="000000" w:themeColor="text1"/>
          <w:sz w:val="24"/>
          <w:szCs w:val="24"/>
          <w:highlight w:val="none"/>
          <w14:textFill>
            <w14:solidFill>
              <w14:schemeClr w14:val="tx1"/>
            </w14:solidFill>
          </w14:textFill>
        </w:rPr>
        <w:t>的，应在符合性审查时按照无效投标处理：</w:t>
      </w:r>
    </w:p>
    <w:tbl>
      <w:tblPr>
        <w:tblStyle w:val="27"/>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44"/>
        <w:gridCol w:w="1841"/>
        <w:gridCol w:w="5399"/>
      </w:tblGrid>
      <w:tr w14:paraId="6071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4" w:type="dxa"/>
            <w:vAlign w:val="center"/>
          </w:tcPr>
          <w:p w14:paraId="0A3E8D7B">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44" w:type="dxa"/>
            <w:vAlign w:val="center"/>
          </w:tcPr>
          <w:p w14:paraId="415FF4B7">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类型</w:t>
            </w:r>
          </w:p>
        </w:tc>
        <w:tc>
          <w:tcPr>
            <w:tcW w:w="1841" w:type="dxa"/>
            <w:vAlign w:val="center"/>
          </w:tcPr>
          <w:p w14:paraId="1A885CD5">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w:t>
            </w:r>
          </w:p>
        </w:tc>
        <w:tc>
          <w:tcPr>
            <w:tcW w:w="5399" w:type="dxa"/>
            <w:vAlign w:val="center"/>
          </w:tcPr>
          <w:p w14:paraId="6ABCB733">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要求说明</w:t>
            </w:r>
          </w:p>
        </w:tc>
      </w:tr>
      <w:tr w14:paraId="73AE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4" w:type="dxa"/>
            <w:vAlign w:val="center"/>
          </w:tcPr>
          <w:p w14:paraId="0A7E8E8A">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44" w:type="dxa"/>
            <w:vAlign w:val="center"/>
          </w:tcPr>
          <w:p w14:paraId="174344F9">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报价</w:t>
            </w:r>
          </w:p>
        </w:tc>
        <w:tc>
          <w:tcPr>
            <w:tcW w:w="1841" w:type="dxa"/>
            <w:vAlign w:val="center"/>
          </w:tcPr>
          <w:p w14:paraId="0CFA8EA7">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报价要求</w:t>
            </w:r>
          </w:p>
        </w:tc>
        <w:tc>
          <w:tcPr>
            <w:tcW w:w="5399" w:type="dxa"/>
            <w:vAlign w:val="center"/>
          </w:tcPr>
          <w:p w14:paraId="46D6F5C2">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投标报价按照磋商文件格式填写，投标报价唯一；</w:t>
            </w:r>
          </w:p>
          <w:p w14:paraId="297C3604">
            <w:pPr>
              <w:ind w:left="0" w:leftChars="0" w:firstLine="0" w:firstLine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rPr>
              <w:t>投标报价</w:t>
            </w:r>
            <w:r>
              <w:rPr>
                <w:rFonts w:hint="eastAsia" w:ascii="仿宋" w:hAnsi="仿宋" w:eastAsia="仿宋" w:cs="仿宋"/>
                <w:sz w:val="24"/>
                <w:szCs w:val="24"/>
                <w:vertAlign w:val="baseline"/>
                <w:lang w:eastAsia="zh-CN"/>
              </w:rPr>
              <w:t>未</w:t>
            </w:r>
            <w:r>
              <w:rPr>
                <w:rFonts w:hint="eastAsia" w:ascii="仿宋" w:hAnsi="仿宋" w:eastAsia="仿宋" w:cs="仿宋"/>
                <w:sz w:val="24"/>
                <w:szCs w:val="24"/>
                <w:vertAlign w:val="baseline"/>
              </w:rPr>
              <w:t>高于本项目最高限价的</w:t>
            </w:r>
            <w:r>
              <w:rPr>
                <w:rFonts w:hint="eastAsia" w:ascii="仿宋" w:hAnsi="仿宋" w:eastAsia="仿宋" w:cs="仿宋"/>
                <w:sz w:val="24"/>
                <w:szCs w:val="24"/>
                <w:vertAlign w:val="baseline"/>
                <w:lang w:eastAsia="zh-CN"/>
              </w:rPr>
              <w:t>；</w:t>
            </w:r>
          </w:p>
        </w:tc>
      </w:tr>
      <w:tr w14:paraId="495A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4" w:type="dxa"/>
            <w:vAlign w:val="center"/>
          </w:tcPr>
          <w:p w14:paraId="71384D4F">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44" w:type="dxa"/>
            <w:vAlign w:val="center"/>
          </w:tcPr>
          <w:p w14:paraId="2E02F718">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商务</w:t>
            </w:r>
          </w:p>
        </w:tc>
        <w:tc>
          <w:tcPr>
            <w:tcW w:w="1841" w:type="dxa"/>
            <w:vAlign w:val="center"/>
          </w:tcPr>
          <w:p w14:paraId="7ECB788C">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响应文件的编写符合磋商文件的要求</w:t>
            </w:r>
          </w:p>
        </w:tc>
        <w:tc>
          <w:tcPr>
            <w:tcW w:w="5399" w:type="dxa"/>
            <w:vAlign w:val="center"/>
          </w:tcPr>
          <w:p w14:paraId="0F86B575">
            <w:pPr>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响应文件</w:t>
            </w:r>
            <w:r>
              <w:rPr>
                <w:rFonts w:hint="eastAsia" w:ascii="仿宋" w:hAnsi="仿宋" w:eastAsia="仿宋" w:cs="仿宋"/>
                <w:sz w:val="24"/>
                <w:szCs w:val="24"/>
              </w:rPr>
              <w:t>按照</w:t>
            </w:r>
            <w:r>
              <w:rPr>
                <w:rFonts w:hint="eastAsia" w:ascii="仿宋" w:hAnsi="仿宋" w:eastAsia="仿宋" w:cs="仿宋"/>
                <w:sz w:val="24"/>
                <w:szCs w:val="24"/>
                <w:lang w:eastAsia="zh-CN"/>
              </w:rPr>
              <w:t>磋商文件</w:t>
            </w:r>
            <w:r>
              <w:rPr>
                <w:rFonts w:hint="eastAsia" w:ascii="仿宋" w:hAnsi="仿宋" w:eastAsia="仿宋" w:cs="仿宋"/>
                <w:sz w:val="24"/>
                <w:szCs w:val="24"/>
              </w:rPr>
              <w:t>规定要求签署、盖章</w:t>
            </w:r>
            <w:r>
              <w:rPr>
                <w:rFonts w:hint="eastAsia" w:ascii="仿宋" w:hAnsi="仿宋" w:eastAsia="仿宋" w:cs="仿宋"/>
                <w:sz w:val="24"/>
                <w:szCs w:val="24"/>
                <w:lang w:eastAsia="zh-CN"/>
              </w:rPr>
              <w:t>；</w:t>
            </w:r>
          </w:p>
          <w:p w14:paraId="188832CF">
            <w:pPr>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r>
              <w:rPr>
                <w:rFonts w:hint="eastAsia" w:ascii="仿宋" w:hAnsi="仿宋" w:eastAsia="仿宋" w:cs="仿宋"/>
                <w:sz w:val="24"/>
                <w:szCs w:val="24"/>
              </w:rPr>
              <w:t>名称与营业执照</w:t>
            </w:r>
            <w:r>
              <w:rPr>
                <w:rFonts w:hint="eastAsia" w:ascii="仿宋" w:hAnsi="仿宋" w:eastAsia="仿宋" w:cs="仿宋"/>
                <w:sz w:val="24"/>
                <w:szCs w:val="24"/>
                <w:lang w:eastAsia="zh-CN"/>
              </w:rPr>
              <w:t>、相关资质证书名称</w:t>
            </w:r>
            <w:r>
              <w:rPr>
                <w:rFonts w:hint="eastAsia" w:ascii="仿宋" w:hAnsi="仿宋" w:eastAsia="仿宋" w:cs="仿宋"/>
                <w:sz w:val="24"/>
                <w:szCs w:val="24"/>
              </w:rPr>
              <w:t>一致</w:t>
            </w:r>
            <w:r>
              <w:rPr>
                <w:rFonts w:hint="eastAsia" w:ascii="仿宋" w:hAnsi="仿宋" w:eastAsia="仿宋" w:cs="仿宋"/>
                <w:sz w:val="24"/>
                <w:szCs w:val="24"/>
                <w:lang w:eastAsia="zh-CN"/>
              </w:rPr>
              <w:t>；</w:t>
            </w:r>
          </w:p>
          <w:p w14:paraId="120F441D">
            <w:pPr>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vertAlign w:val="baseline"/>
                <w:lang w:eastAsia="zh-CN"/>
              </w:rPr>
              <w:t>响应文件按照磋商文件格式填写。</w:t>
            </w:r>
          </w:p>
        </w:tc>
      </w:tr>
      <w:tr w14:paraId="1FA0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4" w:type="dxa"/>
            <w:vAlign w:val="center"/>
          </w:tcPr>
          <w:p w14:paraId="47AA78E8">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944" w:type="dxa"/>
            <w:vAlign w:val="center"/>
          </w:tcPr>
          <w:p w14:paraId="4390287C">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技术</w:t>
            </w:r>
          </w:p>
        </w:tc>
        <w:tc>
          <w:tcPr>
            <w:tcW w:w="1841" w:type="dxa"/>
            <w:vAlign w:val="center"/>
          </w:tcPr>
          <w:p w14:paraId="064C0BE2">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响应文件</w:t>
            </w:r>
            <w:r>
              <w:rPr>
                <w:rFonts w:hint="eastAsia" w:ascii="仿宋" w:hAnsi="仿宋" w:eastAsia="仿宋" w:cs="仿宋"/>
                <w:sz w:val="24"/>
                <w:szCs w:val="24"/>
                <w:vertAlign w:val="baseline"/>
              </w:rPr>
              <w:t>的编写符合</w:t>
            </w:r>
            <w:r>
              <w:rPr>
                <w:rFonts w:hint="eastAsia" w:ascii="仿宋" w:hAnsi="仿宋" w:eastAsia="仿宋" w:cs="仿宋"/>
                <w:sz w:val="24"/>
                <w:szCs w:val="24"/>
                <w:vertAlign w:val="baseline"/>
                <w:lang w:eastAsia="zh-CN"/>
              </w:rPr>
              <w:t>磋商文件</w:t>
            </w:r>
            <w:r>
              <w:rPr>
                <w:rFonts w:hint="eastAsia" w:ascii="仿宋" w:hAnsi="仿宋" w:eastAsia="仿宋" w:cs="仿宋"/>
                <w:sz w:val="24"/>
                <w:szCs w:val="24"/>
                <w:vertAlign w:val="baseline"/>
              </w:rPr>
              <w:t>的</w:t>
            </w:r>
            <w:r>
              <w:rPr>
                <w:rFonts w:hint="eastAsia" w:ascii="仿宋" w:hAnsi="仿宋" w:eastAsia="仿宋" w:cs="仿宋"/>
                <w:sz w:val="24"/>
                <w:szCs w:val="24"/>
                <w:vertAlign w:val="baseline"/>
                <w:lang w:eastAsia="zh-CN"/>
              </w:rPr>
              <w:t>要求</w:t>
            </w:r>
          </w:p>
        </w:tc>
        <w:tc>
          <w:tcPr>
            <w:tcW w:w="5399" w:type="dxa"/>
            <w:vAlign w:val="center"/>
          </w:tcPr>
          <w:p w14:paraId="008420BC">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供应商</w:t>
            </w:r>
            <w:r>
              <w:rPr>
                <w:rFonts w:hint="eastAsia" w:ascii="仿宋" w:hAnsi="仿宋" w:eastAsia="仿宋" w:cs="仿宋"/>
                <w:sz w:val="24"/>
                <w:szCs w:val="24"/>
                <w:vertAlign w:val="baseline"/>
              </w:rPr>
              <w:t>所投内容符合采购需求中实质性要求的</w:t>
            </w:r>
            <w:r>
              <w:rPr>
                <w:rFonts w:hint="eastAsia" w:ascii="仿宋" w:hAnsi="仿宋" w:eastAsia="仿宋" w:cs="仿宋"/>
                <w:sz w:val="24"/>
                <w:szCs w:val="24"/>
                <w:vertAlign w:val="baseline"/>
                <w:lang w:eastAsia="zh-CN"/>
              </w:rPr>
              <w:t>；</w:t>
            </w:r>
          </w:p>
          <w:p w14:paraId="58CE4AAC">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响应文件</w:t>
            </w:r>
            <w:r>
              <w:rPr>
                <w:rFonts w:hint="eastAsia" w:ascii="仿宋" w:hAnsi="仿宋" w:eastAsia="仿宋" w:cs="仿宋"/>
                <w:sz w:val="24"/>
                <w:szCs w:val="24"/>
                <w:vertAlign w:val="baseline"/>
              </w:rPr>
              <w:t>中承诺的投标有效期</w:t>
            </w:r>
            <w:r>
              <w:rPr>
                <w:rFonts w:hint="eastAsia" w:ascii="仿宋" w:hAnsi="仿宋" w:eastAsia="仿宋" w:cs="仿宋"/>
                <w:sz w:val="24"/>
                <w:szCs w:val="24"/>
                <w:vertAlign w:val="baseline"/>
                <w:lang w:eastAsia="zh-CN"/>
              </w:rPr>
              <w:t>满足磋商文件</w:t>
            </w:r>
            <w:r>
              <w:rPr>
                <w:rFonts w:hint="eastAsia" w:ascii="仿宋" w:hAnsi="仿宋" w:eastAsia="仿宋" w:cs="仿宋"/>
                <w:sz w:val="24"/>
                <w:szCs w:val="24"/>
                <w:vertAlign w:val="baseline"/>
              </w:rPr>
              <w:t>投标有效期的</w:t>
            </w:r>
            <w:r>
              <w:rPr>
                <w:rFonts w:hint="eastAsia" w:ascii="仿宋" w:hAnsi="仿宋" w:eastAsia="仿宋" w:cs="仿宋"/>
                <w:sz w:val="24"/>
                <w:szCs w:val="24"/>
                <w:vertAlign w:val="baseline"/>
                <w:lang w:eastAsia="zh-CN"/>
              </w:rPr>
              <w:t>；</w:t>
            </w:r>
          </w:p>
          <w:p w14:paraId="3584D793">
            <w:pPr>
              <w:ind w:left="0" w:leftChars="0" w:firstLine="0" w:firstLine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合同履约期限满足磋商文件要求</w:t>
            </w:r>
            <w:r>
              <w:rPr>
                <w:rFonts w:hint="eastAsia" w:ascii="仿宋" w:hAnsi="仿宋" w:eastAsia="仿宋" w:cs="仿宋"/>
                <w:sz w:val="24"/>
                <w:szCs w:val="24"/>
                <w:vertAlign w:val="baseline"/>
              </w:rPr>
              <w:t>。</w:t>
            </w:r>
          </w:p>
        </w:tc>
      </w:tr>
    </w:tbl>
    <w:p w14:paraId="593B023A">
      <w:pPr>
        <w:pStyle w:val="2"/>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5.6实质审查与比较</w:t>
      </w:r>
    </w:p>
    <w:p w14:paraId="428E7667">
      <w:pPr>
        <w:bidi w:val="0"/>
        <w:rPr>
          <w:rFonts w:hint="eastAsia" w:ascii="仿宋" w:hAnsi="仿宋" w:eastAsia="仿宋" w:cs="仿宋"/>
        </w:rPr>
      </w:pPr>
      <w:r>
        <w:rPr>
          <w:rFonts w:hint="eastAsia" w:ascii="仿宋" w:hAnsi="仿宋" w:eastAsia="仿宋" w:cs="仿宋"/>
          <w:lang w:val="en-US" w:eastAsia="zh-CN"/>
        </w:rPr>
        <w:t>5.6</w:t>
      </w:r>
      <w:r>
        <w:rPr>
          <w:rFonts w:hint="eastAsia" w:ascii="仿宋" w:hAnsi="仿宋" w:eastAsia="仿宋" w:cs="仿宋"/>
        </w:rPr>
        <w:t>.1评标委员会审查</w:t>
      </w:r>
      <w:r>
        <w:rPr>
          <w:rFonts w:hint="eastAsia" w:ascii="仿宋" w:hAnsi="仿宋" w:eastAsia="仿宋" w:cs="仿宋"/>
          <w:lang w:eastAsia="zh-CN"/>
        </w:rPr>
        <w:t>响应文件</w:t>
      </w:r>
      <w:r>
        <w:rPr>
          <w:rFonts w:hint="eastAsia" w:ascii="仿宋" w:hAnsi="仿宋" w:eastAsia="仿宋" w:cs="仿宋"/>
        </w:rPr>
        <w:t>的实质性内容是否符合</w:t>
      </w:r>
      <w:r>
        <w:rPr>
          <w:rFonts w:hint="eastAsia" w:ascii="仿宋" w:hAnsi="仿宋" w:eastAsia="仿宋" w:cs="仿宋"/>
          <w:lang w:eastAsia="zh-CN"/>
        </w:rPr>
        <w:t>磋商文件</w:t>
      </w:r>
      <w:r>
        <w:rPr>
          <w:rFonts w:hint="eastAsia" w:ascii="仿宋" w:hAnsi="仿宋" w:eastAsia="仿宋" w:cs="仿宋"/>
        </w:rPr>
        <w:t>的实质性要求。</w:t>
      </w:r>
    </w:p>
    <w:p w14:paraId="27833B07">
      <w:pPr>
        <w:bidi w:val="0"/>
        <w:rPr>
          <w:rFonts w:hint="eastAsia" w:ascii="仿宋" w:hAnsi="仿宋" w:eastAsia="仿宋" w:cs="仿宋"/>
        </w:rPr>
      </w:pPr>
      <w:r>
        <w:rPr>
          <w:rFonts w:hint="eastAsia" w:ascii="仿宋" w:hAnsi="仿宋" w:eastAsia="仿宋" w:cs="仿宋"/>
          <w:lang w:val="en-US" w:eastAsia="zh-CN"/>
        </w:rPr>
        <w:t>5.6</w:t>
      </w:r>
      <w:r>
        <w:rPr>
          <w:rFonts w:hint="eastAsia" w:ascii="仿宋" w:hAnsi="仿宋" w:eastAsia="仿宋" w:cs="仿宋"/>
        </w:rPr>
        <w:t>.2评标委员会将根据投标人的</w:t>
      </w:r>
      <w:r>
        <w:rPr>
          <w:rFonts w:hint="eastAsia" w:ascii="仿宋" w:hAnsi="仿宋" w:eastAsia="仿宋" w:cs="仿宋"/>
          <w:lang w:eastAsia="zh-CN"/>
        </w:rPr>
        <w:t>响应文件</w:t>
      </w:r>
      <w:r>
        <w:rPr>
          <w:rFonts w:hint="eastAsia" w:ascii="仿宋" w:hAnsi="仿宋" w:eastAsia="仿宋" w:cs="仿宋"/>
        </w:rPr>
        <w:t>进行审查、核对,如有疑问,将对投标人进行询标,投标人要向评标委员会澄清有关问题,并最终以书面形式进行答复。</w:t>
      </w:r>
    </w:p>
    <w:p w14:paraId="1CBAC0D5">
      <w:pPr>
        <w:bidi w:val="0"/>
        <w:rPr>
          <w:rFonts w:hint="eastAsia" w:ascii="仿宋" w:hAnsi="仿宋" w:eastAsia="仿宋" w:cs="仿宋"/>
        </w:rPr>
      </w:pPr>
      <w:r>
        <w:rPr>
          <w:rFonts w:hint="eastAsia" w:ascii="仿宋" w:hAnsi="仿宋" w:eastAsia="仿宋" w:cs="仿宋"/>
        </w:rPr>
        <w:t>投标人拒绝澄清或者澄清的内容改变了</w:t>
      </w:r>
      <w:r>
        <w:rPr>
          <w:rFonts w:hint="eastAsia" w:ascii="仿宋" w:hAnsi="仿宋" w:eastAsia="仿宋" w:cs="仿宋"/>
          <w:lang w:eastAsia="zh-CN"/>
        </w:rPr>
        <w:t>响应文件</w:t>
      </w:r>
      <w:r>
        <w:rPr>
          <w:rFonts w:hint="eastAsia" w:ascii="仿宋" w:hAnsi="仿宋" w:eastAsia="仿宋" w:cs="仿宋"/>
        </w:rPr>
        <w:t>的实质性内容的，评标委员会有权对该</w:t>
      </w:r>
      <w:r>
        <w:rPr>
          <w:rFonts w:hint="eastAsia" w:ascii="仿宋" w:hAnsi="仿宋" w:eastAsia="仿宋" w:cs="仿宋"/>
          <w:lang w:eastAsia="zh-CN"/>
        </w:rPr>
        <w:t>响应文件</w:t>
      </w:r>
      <w:r>
        <w:rPr>
          <w:rFonts w:hint="eastAsia" w:ascii="仿宋" w:hAnsi="仿宋" w:eastAsia="仿宋" w:cs="仿宋"/>
        </w:rPr>
        <w:t>作出不利于投标人的评判。</w:t>
      </w:r>
    </w:p>
    <w:p w14:paraId="19275015">
      <w:pPr>
        <w:bidi w:val="0"/>
        <w:rPr>
          <w:rFonts w:hint="eastAsia" w:ascii="仿宋" w:hAnsi="仿宋" w:eastAsia="仿宋" w:cs="仿宋"/>
        </w:rPr>
      </w:pPr>
      <w:r>
        <w:rPr>
          <w:rFonts w:hint="eastAsia" w:ascii="仿宋" w:hAnsi="仿宋" w:eastAsia="仿宋" w:cs="仿宋"/>
          <w:lang w:val="en-US" w:eastAsia="zh-CN"/>
        </w:rPr>
        <w:t>5.6</w:t>
      </w:r>
      <w:r>
        <w:rPr>
          <w:rFonts w:hint="eastAsia" w:ascii="仿宋" w:hAnsi="仿宋" w:eastAsia="仿宋" w:cs="仿宋"/>
        </w:rPr>
        <w:t>.3各投标人的</w:t>
      </w:r>
      <w:r>
        <w:rPr>
          <w:rFonts w:hint="eastAsia" w:ascii="仿宋" w:hAnsi="仿宋" w:eastAsia="仿宋" w:cs="仿宋"/>
          <w:lang w:eastAsia="zh-CN"/>
        </w:rPr>
        <w:t>实质性要求通过后，</w:t>
      </w:r>
      <w:r>
        <w:rPr>
          <w:rFonts w:hint="eastAsia" w:ascii="仿宋" w:hAnsi="仿宋" w:eastAsia="仿宋" w:cs="仿宋"/>
        </w:rPr>
        <w:t>评标委员会按评标原则推荐中标候选人</w:t>
      </w:r>
      <w:r>
        <w:rPr>
          <w:rFonts w:hint="eastAsia" w:ascii="仿宋" w:hAnsi="仿宋" w:eastAsia="仿宋" w:cs="仿宋"/>
          <w:lang w:eastAsia="zh-CN"/>
        </w:rPr>
        <w:t>，</w:t>
      </w:r>
      <w:r>
        <w:rPr>
          <w:rFonts w:hint="eastAsia" w:ascii="仿宋" w:hAnsi="仿宋" w:eastAsia="仿宋" w:cs="仿宋"/>
        </w:rPr>
        <w:t>同时起草评标报告。</w:t>
      </w:r>
    </w:p>
    <w:p w14:paraId="19D2BB08">
      <w:pPr>
        <w:pStyle w:val="2"/>
        <w:bidi w:val="0"/>
        <w:rPr>
          <w:rFonts w:hint="eastAsia" w:ascii="仿宋" w:hAnsi="仿宋" w:eastAsia="仿宋" w:cs="仿宋"/>
          <w:color w:val="auto"/>
          <w:lang w:val="en-US" w:eastAsia="zh-CN"/>
        </w:rPr>
      </w:pPr>
      <w:bookmarkStart w:id="125" w:name="_Toc26304"/>
      <w:r>
        <w:rPr>
          <w:rFonts w:hint="eastAsia" w:ascii="仿宋" w:hAnsi="仿宋" w:eastAsia="仿宋" w:cs="仿宋"/>
          <w:color w:val="auto"/>
          <w:lang w:val="en-US" w:eastAsia="zh-CN"/>
        </w:rPr>
        <w:t>5.7澄清问题的形式</w:t>
      </w:r>
      <w:bookmarkEnd w:id="125"/>
    </w:p>
    <w:p w14:paraId="7669A6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中含义不明确、同类问题表述不一致或者有明显文字和计算错误的内容，评标委员会可要求投标人作出必要的澄清、说明或者纠正。投标人的澄清、说明或者补正应当采用书面形式，由其授权代表签字或盖章确认，并不得超出</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的范围或者改变</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的实质性内容。</w:t>
      </w:r>
    </w:p>
    <w:p w14:paraId="58B15C51">
      <w:pPr>
        <w:pStyle w:val="2"/>
        <w:bidi w:val="0"/>
        <w:rPr>
          <w:rFonts w:hint="eastAsia" w:ascii="仿宋" w:hAnsi="仿宋" w:eastAsia="仿宋" w:cs="仿宋"/>
          <w:color w:val="auto"/>
          <w:lang w:val="en-US" w:eastAsia="zh-CN"/>
        </w:rPr>
      </w:pPr>
      <w:bookmarkStart w:id="126" w:name="_Toc1409"/>
      <w:r>
        <w:rPr>
          <w:rFonts w:hint="eastAsia" w:ascii="仿宋" w:hAnsi="仿宋" w:eastAsia="仿宋" w:cs="仿宋"/>
          <w:color w:val="auto"/>
          <w:lang w:val="en-US" w:eastAsia="zh-CN"/>
        </w:rPr>
        <w:t>5.8错误修正</w:t>
      </w:r>
      <w:bookmarkEnd w:id="126"/>
    </w:p>
    <w:p w14:paraId="75B707E2">
      <w:pPr>
        <w:bidi w:val="0"/>
        <w:rPr>
          <w:rFonts w:hint="eastAsia" w:ascii="仿宋" w:hAnsi="仿宋" w:eastAsia="仿宋" w:cs="仿宋"/>
        </w:rPr>
      </w:pPr>
      <w:r>
        <w:rPr>
          <w:rFonts w:hint="eastAsia" w:ascii="仿宋" w:hAnsi="仿宋" w:eastAsia="仿宋" w:cs="仿宋"/>
          <w:lang w:eastAsia="zh-CN"/>
        </w:rPr>
        <w:t>响应文件</w:t>
      </w:r>
      <w:r>
        <w:rPr>
          <w:rFonts w:hint="eastAsia" w:ascii="仿宋" w:hAnsi="仿宋" w:eastAsia="仿宋" w:cs="仿宋"/>
        </w:rPr>
        <w:t>如果出现计算或表达上的错误，修正错误的原则如下：</w:t>
      </w:r>
    </w:p>
    <w:p w14:paraId="2CE1254E">
      <w:pPr>
        <w:bidi w:val="0"/>
        <w:rPr>
          <w:rFonts w:hint="eastAsia" w:ascii="仿宋" w:hAnsi="仿宋" w:eastAsia="仿宋" w:cs="仿宋"/>
        </w:rPr>
      </w:pPr>
      <w:r>
        <w:rPr>
          <w:rFonts w:hint="eastAsia" w:ascii="仿宋" w:hAnsi="仿宋" w:eastAsia="仿宋" w:cs="仿宋"/>
          <w:lang w:val="en-US" w:eastAsia="zh-CN"/>
        </w:rPr>
        <w:t>5.8</w:t>
      </w:r>
      <w:r>
        <w:rPr>
          <w:rFonts w:hint="eastAsia" w:ascii="仿宋" w:hAnsi="仿宋" w:eastAsia="仿宋" w:cs="仿宋"/>
        </w:rPr>
        <w:t>.1 开标一览表总价与投标报价明细表汇总数不一致的，以开标一览表为准；</w:t>
      </w:r>
    </w:p>
    <w:p w14:paraId="6BA91FD8">
      <w:pPr>
        <w:bidi w:val="0"/>
        <w:rPr>
          <w:rFonts w:hint="eastAsia" w:ascii="仿宋" w:hAnsi="仿宋" w:eastAsia="仿宋" w:cs="仿宋"/>
        </w:rPr>
      </w:pPr>
      <w:r>
        <w:rPr>
          <w:rFonts w:hint="eastAsia" w:ascii="仿宋" w:hAnsi="仿宋" w:eastAsia="仿宋" w:cs="仿宋"/>
          <w:lang w:val="en-US" w:eastAsia="zh-CN"/>
        </w:rPr>
        <w:t>5.8</w:t>
      </w:r>
      <w:r>
        <w:rPr>
          <w:rFonts w:hint="eastAsia" w:ascii="仿宋" w:hAnsi="仿宋" w:eastAsia="仿宋" w:cs="仿宋"/>
        </w:rPr>
        <w:t xml:space="preserve">.2 </w:t>
      </w:r>
      <w:r>
        <w:rPr>
          <w:rFonts w:hint="eastAsia" w:ascii="仿宋" w:hAnsi="仿宋" w:eastAsia="仿宋" w:cs="仿宋"/>
          <w:lang w:eastAsia="zh-CN"/>
        </w:rPr>
        <w:t>响应文件</w:t>
      </w:r>
      <w:r>
        <w:rPr>
          <w:rFonts w:hint="eastAsia" w:ascii="仿宋" w:hAnsi="仿宋" w:eastAsia="仿宋" w:cs="仿宋"/>
        </w:rPr>
        <w:t>的大写金额和小写金额不一致的，以大写金额为准；</w:t>
      </w:r>
    </w:p>
    <w:p w14:paraId="26958AE9">
      <w:pPr>
        <w:bidi w:val="0"/>
        <w:rPr>
          <w:rFonts w:hint="eastAsia" w:ascii="仿宋" w:hAnsi="仿宋" w:eastAsia="仿宋" w:cs="仿宋"/>
        </w:rPr>
      </w:pPr>
      <w:r>
        <w:rPr>
          <w:rFonts w:hint="eastAsia" w:ascii="仿宋" w:hAnsi="仿宋" w:eastAsia="仿宋" w:cs="仿宋"/>
          <w:lang w:val="en-US" w:eastAsia="zh-CN"/>
        </w:rPr>
        <w:t>5.8</w:t>
      </w:r>
      <w:r>
        <w:rPr>
          <w:rFonts w:hint="eastAsia" w:ascii="仿宋" w:hAnsi="仿宋" w:eastAsia="仿宋" w:cs="仿宋"/>
        </w:rPr>
        <w:t>.3 总价金额与按单价汇总金额不一致的，以单价金额计算结果为准；</w:t>
      </w:r>
    </w:p>
    <w:p w14:paraId="7FFA22EE">
      <w:pPr>
        <w:bidi w:val="0"/>
        <w:rPr>
          <w:rFonts w:hint="eastAsia" w:ascii="仿宋" w:hAnsi="仿宋" w:eastAsia="仿宋" w:cs="仿宋"/>
        </w:rPr>
      </w:pPr>
      <w:r>
        <w:rPr>
          <w:rFonts w:hint="eastAsia" w:ascii="仿宋" w:hAnsi="仿宋" w:eastAsia="仿宋" w:cs="仿宋"/>
          <w:lang w:val="en-US" w:eastAsia="zh-CN"/>
        </w:rPr>
        <w:t>5.8</w:t>
      </w:r>
      <w:r>
        <w:rPr>
          <w:rFonts w:hint="eastAsia" w:ascii="仿宋" w:hAnsi="仿宋" w:eastAsia="仿宋" w:cs="仿宋"/>
        </w:rPr>
        <w:t>.4 对不同文字文本</w:t>
      </w:r>
      <w:r>
        <w:rPr>
          <w:rFonts w:hint="eastAsia" w:ascii="仿宋" w:hAnsi="仿宋" w:eastAsia="仿宋" w:cs="仿宋"/>
          <w:lang w:eastAsia="zh-CN"/>
        </w:rPr>
        <w:t>响应文件</w:t>
      </w:r>
      <w:r>
        <w:rPr>
          <w:rFonts w:hint="eastAsia" w:ascii="仿宋" w:hAnsi="仿宋" w:eastAsia="仿宋" w:cs="仿宋"/>
        </w:rPr>
        <w:t>的解释发生异议的，以中文文本为准。</w:t>
      </w:r>
    </w:p>
    <w:p w14:paraId="0347F721">
      <w:pPr>
        <w:bidi w:val="0"/>
        <w:rPr>
          <w:rFonts w:hint="eastAsia" w:ascii="仿宋" w:hAnsi="仿宋" w:eastAsia="仿宋" w:cs="仿宋"/>
        </w:rPr>
      </w:pPr>
      <w:r>
        <w:rPr>
          <w:rFonts w:hint="eastAsia" w:ascii="仿宋" w:hAnsi="仿宋" w:eastAsia="仿宋" w:cs="仿宋"/>
        </w:rPr>
        <w:t>按上述修正错误的原则及方法调整或修正</w:t>
      </w:r>
      <w:r>
        <w:rPr>
          <w:rFonts w:hint="eastAsia" w:ascii="仿宋" w:hAnsi="仿宋" w:eastAsia="仿宋" w:cs="仿宋"/>
          <w:lang w:eastAsia="zh-CN"/>
        </w:rPr>
        <w:t>响应文件</w:t>
      </w:r>
      <w:r>
        <w:rPr>
          <w:rFonts w:hint="eastAsia" w:ascii="仿宋" w:hAnsi="仿宋" w:eastAsia="仿宋" w:cs="仿宋"/>
        </w:rPr>
        <w:t>的投标报价，投标人同意并签字确认后，调整后的投标报价对投标人具有约束作用。如果投标人不接受修正后的报价，则其投标将作为无效投标处理。</w:t>
      </w:r>
    </w:p>
    <w:p w14:paraId="75132AAA">
      <w:pPr>
        <w:pStyle w:val="2"/>
        <w:bidi w:val="0"/>
        <w:rPr>
          <w:rFonts w:hint="eastAsia" w:ascii="仿宋" w:hAnsi="仿宋" w:eastAsia="仿宋" w:cs="仿宋"/>
          <w:color w:val="auto"/>
          <w:lang w:val="en-US" w:eastAsia="zh-CN"/>
        </w:rPr>
      </w:pPr>
      <w:bookmarkStart w:id="127" w:name="_Toc8797"/>
      <w:r>
        <w:rPr>
          <w:rFonts w:hint="eastAsia" w:ascii="仿宋" w:hAnsi="仿宋" w:eastAsia="仿宋" w:cs="仿宋"/>
          <w:color w:val="auto"/>
          <w:lang w:val="en-US" w:eastAsia="zh-CN"/>
        </w:rPr>
        <w:t>5.9评标原则和评标办法</w:t>
      </w:r>
      <w:bookmarkEnd w:id="127"/>
    </w:p>
    <w:p w14:paraId="53D1A08D">
      <w:pPr>
        <w:bidi w:val="0"/>
        <w:rPr>
          <w:rFonts w:hint="eastAsia" w:ascii="仿宋" w:hAnsi="仿宋" w:eastAsia="仿宋" w:cs="仿宋"/>
        </w:rPr>
      </w:pPr>
      <w:r>
        <w:rPr>
          <w:rFonts w:hint="eastAsia" w:ascii="仿宋" w:hAnsi="仿宋" w:eastAsia="仿宋" w:cs="仿宋"/>
          <w:lang w:val="en-US" w:eastAsia="zh-CN"/>
        </w:rPr>
        <w:t>5.9</w:t>
      </w:r>
      <w:r>
        <w:rPr>
          <w:rFonts w:hint="eastAsia" w:ascii="仿宋" w:hAnsi="仿宋" w:eastAsia="仿宋" w:cs="仿宋"/>
        </w:rPr>
        <w:t>.1 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C110A38">
      <w:pPr>
        <w:bidi w:val="0"/>
        <w:rPr>
          <w:rFonts w:hint="eastAsia" w:ascii="仿宋" w:hAnsi="仿宋" w:eastAsia="仿宋" w:cs="仿宋"/>
        </w:rPr>
      </w:pPr>
      <w:r>
        <w:rPr>
          <w:rFonts w:hint="eastAsia" w:ascii="仿宋" w:hAnsi="仿宋" w:eastAsia="仿宋" w:cs="仿宋"/>
          <w:lang w:val="en-US" w:eastAsia="zh-CN"/>
        </w:rPr>
        <w:t>5.9</w:t>
      </w:r>
      <w:r>
        <w:rPr>
          <w:rFonts w:hint="eastAsia" w:ascii="仿宋" w:hAnsi="仿宋" w:eastAsia="仿宋" w:cs="仿宋"/>
        </w:rPr>
        <w:t>.2 评标办法。本项目评标办法是</w:t>
      </w:r>
      <w:r>
        <w:rPr>
          <w:rFonts w:hint="eastAsia" w:ascii="仿宋" w:hAnsi="仿宋" w:eastAsia="仿宋" w:cs="仿宋"/>
          <w:u w:val="single"/>
        </w:rPr>
        <w:t xml:space="preserve"> </w:t>
      </w:r>
      <w:r>
        <w:rPr>
          <w:rFonts w:hint="eastAsia" w:ascii="仿宋" w:hAnsi="仿宋" w:eastAsia="仿宋" w:cs="仿宋"/>
          <w:u w:val="single"/>
          <w:lang w:eastAsia="zh-CN"/>
        </w:rPr>
        <w:t>综合评分法</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w:t>
      </w:r>
      <w:r>
        <w:rPr>
          <w:rFonts w:hint="eastAsia" w:ascii="仿宋" w:hAnsi="仿宋" w:eastAsia="仿宋" w:cs="仿宋"/>
        </w:rPr>
        <w:t xml:space="preserve">具体评标内容及评分标准等详见《第三章 </w:t>
      </w:r>
      <w:r>
        <w:rPr>
          <w:rFonts w:hint="eastAsia" w:ascii="仿宋" w:hAnsi="仿宋" w:eastAsia="仿宋" w:cs="仿宋"/>
          <w:lang w:eastAsia="zh-CN"/>
        </w:rPr>
        <w:t>评标办法</w:t>
      </w:r>
      <w:r>
        <w:rPr>
          <w:rFonts w:hint="eastAsia" w:ascii="仿宋" w:hAnsi="仿宋" w:eastAsia="仿宋" w:cs="仿宋"/>
        </w:rPr>
        <w:t>》。</w:t>
      </w:r>
    </w:p>
    <w:p w14:paraId="78D10FF0">
      <w:pPr>
        <w:bidi w:val="0"/>
        <w:rPr>
          <w:rFonts w:hint="eastAsia" w:ascii="仿宋" w:hAnsi="仿宋" w:eastAsia="仿宋" w:cs="仿宋"/>
        </w:rPr>
      </w:pPr>
      <w:r>
        <w:rPr>
          <w:rFonts w:hint="eastAsia" w:ascii="仿宋" w:hAnsi="仿宋" w:eastAsia="仿宋" w:cs="仿宋"/>
          <w:lang w:val="en-US" w:eastAsia="zh-CN"/>
        </w:rPr>
        <w:t>5.9</w:t>
      </w:r>
      <w:r>
        <w:rPr>
          <w:rFonts w:hint="eastAsia" w:ascii="仿宋" w:hAnsi="仿宋" w:eastAsia="仿宋" w:cs="仿宋"/>
        </w:rPr>
        <w:t>.3废标</w:t>
      </w:r>
    </w:p>
    <w:p w14:paraId="1240A05E">
      <w:pPr>
        <w:bidi w:val="0"/>
        <w:rPr>
          <w:rFonts w:hint="eastAsia" w:ascii="仿宋" w:hAnsi="仿宋" w:eastAsia="仿宋" w:cs="仿宋"/>
        </w:rPr>
      </w:pPr>
      <w:r>
        <w:rPr>
          <w:rFonts w:hint="eastAsia" w:ascii="仿宋" w:hAnsi="仿宋" w:eastAsia="仿宋" w:cs="仿宋"/>
        </w:rPr>
        <w:t>在采购中，出现下列情形之一的，本项目应予废标：</w:t>
      </w:r>
    </w:p>
    <w:p w14:paraId="384953E5">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出现影响采购公正的违法、违规行为的；</w:t>
      </w:r>
    </w:p>
    <w:p w14:paraId="2C85D3C0">
      <w:pPr>
        <w:bidi w:val="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lang w:val="en-US" w:eastAsia="zh-CN"/>
        </w:rPr>
        <w:t>有效供应商不足三家的；</w:t>
      </w:r>
    </w:p>
    <w:p w14:paraId="7DA1C05E">
      <w:pPr>
        <w:bidi w:val="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因重大变故，采购任务取消的。</w:t>
      </w:r>
    </w:p>
    <w:p w14:paraId="4D56E486">
      <w:pPr>
        <w:pStyle w:val="6"/>
        <w:bidi w:val="0"/>
        <w:jc w:val="center"/>
        <w:rPr>
          <w:rFonts w:hint="eastAsia" w:ascii="仿宋" w:hAnsi="仿宋" w:eastAsia="仿宋" w:cs="仿宋"/>
          <w:lang w:val="en-US" w:eastAsia="zh-CN"/>
        </w:rPr>
      </w:pPr>
      <w:r>
        <w:rPr>
          <w:rFonts w:hint="eastAsia" w:ascii="仿宋" w:hAnsi="仿宋" w:eastAsia="仿宋" w:cs="仿宋"/>
          <w:lang w:val="en-US" w:eastAsia="zh-CN"/>
        </w:rPr>
        <w:t>（六）、定标及合同授予</w:t>
      </w:r>
      <w:bookmarkEnd w:id="121"/>
      <w:bookmarkEnd w:id="122"/>
      <w:bookmarkEnd w:id="123"/>
      <w:bookmarkEnd w:id="124"/>
    </w:p>
    <w:p w14:paraId="7D35E5FF">
      <w:pPr>
        <w:pStyle w:val="2"/>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6.1确定中标人</w:t>
      </w:r>
    </w:p>
    <w:p w14:paraId="0AEEFFBE">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6.1</w:t>
      </w:r>
      <w:r>
        <w:rPr>
          <w:rFonts w:hint="eastAsia" w:ascii="仿宋" w:hAnsi="仿宋" w:eastAsia="仿宋" w:cs="仿宋"/>
          <w:bCs/>
          <w:color w:val="auto"/>
          <w:sz w:val="24"/>
        </w:rPr>
        <w:t>.1本项目由评标委员会以打分的方法，以得分高低先后顺序，原则上选定综合得分最高的为中标人。如排名第一中标投标人因不可抗力或者自身原因不能履行合同的，根据相关办法规定，可以确定排名第二的中标候选人为中标人，或认定中标无效，中标无效的重新组织招标。</w:t>
      </w:r>
    </w:p>
    <w:p w14:paraId="531D9C41">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6.1</w:t>
      </w:r>
      <w:r>
        <w:rPr>
          <w:rFonts w:hint="eastAsia" w:ascii="仿宋" w:hAnsi="仿宋" w:eastAsia="仿宋" w:cs="仿宋"/>
          <w:bCs/>
          <w:color w:val="auto"/>
          <w:sz w:val="24"/>
        </w:rPr>
        <w:t>.2中标人确定之日起2个工作日内，采购人或者采购代理机构应将中标结果在规定的公告媒体上公布。投标人如对评审结果有质疑的，按照《中华人民共和国政府采购法》、《中华人民共和国政府采购法实施条例》等有关程序办理。</w:t>
      </w:r>
    </w:p>
    <w:p w14:paraId="1D557CF6">
      <w:pPr>
        <w:pStyle w:val="2"/>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6.2签订合同</w:t>
      </w:r>
    </w:p>
    <w:p w14:paraId="0915D4B8">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6.2</w:t>
      </w:r>
      <w:r>
        <w:rPr>
          <w:rFonts w:hint="eastAsia" w:ascii="仿宋" w:hAnsi="仿宋" w:eastAsia="仿宋" w:cs="仿宋"/>
          <w:bCs/>
          <w:color w:val="auto"/>
          <w:sz w:val="24"/>
        </w:rPr>
        <w:t>.1</w:t>
      </w:r>
      <w:r>
        <w:rPr>
          <w:rFonts w:hint="eastAsia" w:ascii="仿宋" w:hAnsi="仿宋" w:eastAsia="仿宋" w:cs="仿宋"/>
          <w:bCs/>
          <w:color w:val="auto"/>
          <w:sz w:val="24"/>
          <w:lang w:eastAsia="zh-CN"/>
        </w:rPr>
        <w:t>磋商文件</w:t>
      </w:r>
      <w:r>
        <w:rPr>
          <w:rFonts w:hint="eastAsia" w:ascii="仿宋" w:hAnsi="仿宋" w:eastAsia="仿宋" w:cs="仿宋"/>
          <w:bCs/>
          <w:color w:val="auto"/>
          <w:sz w:val="24"/>
        </w:rPr>
        <w:t>和中标人的</w:t>
      </w:r>
      <w:r>
        <w:rPr>
          <w:rFonts w:hint="eastAsia" w:ascii="仿宋" w:hAnsi="仿宋" w:eastAsia="仿宋" w:cs="仿宋"/>
          <w:bCs/>
          <w:color w:val="auto"/>
          <w:sz w:val="24"/>
          <w:lang w:eastAsia="zh-CN"/>
        </w:rPr>
        <w:t>响应文件</w:t>
      </w:r>
      <w:r>
        <w:rPr>
          <w:rFonts w:hint="eastAsia" w:ascii="仿宋" w:hAnsi="仿宋" w:eastAsia="仿宋" w:cs="仿宋"/>
          <w:bCs/>
          <w:color w:val="auto"/>
          <w:sz w:val="24"/>
        </w:rPr>
        <w:t>均为签订采购合同的依据。</w:t>
      </w:r>
    </w:p>
    <w:p w14:paraId="7C74591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6.2</w:t>
      </w:r>
      <w:r>
        <w:rPr>
          <w:rFonts w:hint="eastAsia" w:ascii="仿宋" w:hAnsi="仿宋" w:eastAsia="仿宋" w:cs="仿宋"/>
          <w:bCs/>
          <w:color w:val="auto"/>
          <w:sz w:val="24"/>
        </w:rPr>
        <w:t>.2中标人应当在中标通知书发出之日起30日内，与采购人签订采购合同。</w:t>
      </w:r>
    </w:p>
    <w:p w14:paraId="3189BC53">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6.2</w:t>
      </w:r>
      <w:r>
        <w:rPr>
          <w:rFonts w:hint="eastAsia" w:ascii="仿宋" w:hAnsi="仿宋" w:eastAsia="仿宋" w:cs="仿宋"/>
          <w:bCs/>
          <w:color w:val="auto"/>
          <w:sz w:val="24"/>
        </w:rPr>
        <w:t>.3采购人不得与中标投标人订立背离</w:t>
      </w:r>
      <w:r>
        <w:rPr>
          <w:rFonts w:hint="eastAsia" w:ascii="仿宋" w:hAnsi="仿宋" w:eastAsia="仿宋" w:cs="仿宋"/>
          <w:bCs/>
          <w:color w:val="auto"/>
          <w:sz w:val="24"/>
          <w:lang w:eastAsia="zh-CN"/>
        </w:rPr>
        <w:t>磋商文件</w:t>
      </w:r>
      <w:r>
        <w:rPr>
          <w:rFonts w:hint="eastAsia" w:ascii="仿宋" w:hAnsi="仿宋" w:eastAsia="仿宋" w:cs="仿宋"/>
          <w:bCs/>
          <w:color w:val="auto"/>
          <w:sz w:val="24"/>
        </w:rPr>
        <w:t>确定的合同文本以及采购标的、规格型号、采购金额、采购数量、技术和服务要求等实质性内容的协议。</w:t>
      </w:r>
    </w:p>
    <w:p w14:paraId="3A58C86C">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6.2</w:t>
      </w:r>
      <w:r>
        <w:rPr>
          <w:rFonts w:hint="eastAsia" w:ascii="仿宋" w:hAnsi="仿宋" w:eastAsia="仿宋" w:cs="仿宋"/>
          <w:bCs/>
          <w:color w:val="auto"/>
          <w:sz w:val="24"/>
        </w:rPr>
        <w:t>.4自政府采购合同签订之日起2个工作日内，本项目政府采购合同在投标人须知前附表规定的媒体上公告，但政府采购合同中涉及国家秘密、商业秘密的内容除外。</w:t>
      </w:r>
    </w:p>
    <w:p w14:paraId="36FA9A6A">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6.2</w:t>
      </w:r>
      <w:r>
        <w:rPr>
          <w:rFonts w:hint="eastAsia" w:ascii="仿宋" w:hAnsi="仿宋" w:eastAsia="仿宋" w:cs="仿宋"/>
          <w:bCs/>
          <w:color w:val="auto"/>
          <w:sz w:val="24"/>
        </w:rPr>
        <w:t>.5中标或者中标</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拒绝与采购人签订合同的，采购人可以按照评审报告推荐的中标或者中标候选人名单排序，确定下一候选人为中标或者中标</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，也可以重新开展政府采购活动。</w:t>
      </w:r>
    </w:p>
    <w:p w14:paraId="64AFF41D">
      <w:pPr>
        <w:pStyle w:val="6"/>
        <w:bidi w:val="0"/>
        <w:ind w:left="0" w:leftChars="0" w:right="0" w:rightChars="0" w:firstLine="0" w:firstLineChars="0"/>
        <w:jc w:val="center"/>
        <w:rPr>
          <w:rFonts w:hint="eastAsia" w:ascii="仿宋" w:hAnsi="仿宋" w:eastAsia="仿宋" w:cs="仿宋"/>
          <w:color w:val="auto"/>
        </w:rPr>
      </w:pPr>
      <w:bookmarkStart w:id="128" w:name="_Toc32267"/>
      <w:bookmarkStart w:id="129" w:name="_Toc10058"/>
      <w:bookmarkStart w:id="130" w:name="_Toc19997"/>
      <w:bookmarkStart w:id="131" w:name="_Toc1800"/>
      <w:r>
        <w:rPr>
          <w:rFonts w:hint="eastAsia" w:ascii="仿宋" w:hAnsi="仿宋" w:eastAsia="仿宋" w:cs="仿宋"/>
          <w:color w:val="auto"/>
          <w:lang w:eastAsia="zh-CN"/>
        </w:rPr>
        <w:t>（</w:t>
      </w:r>
      <w:r>
        <w:rPr>
          <w:rFonts w:hint="eastAsia" w:ascii="仿宋" w:hAnsi="仿宋" w:eastAsia="仿宋" w:cs="仿宋"/>
          <w:color w:val="auto"/>
        </w:rPr>
        <w:t>七</w:t>
      </w:r>
      <w:r>
        <w:rPr>
          <w:rFonts w:hint="eastAsia" w:ascii="仿宋" w:hAnsi="仿宋" w:eastAsia="仿宋" w:cs="仿宋"/>
          <w:color w:val="auto"/>
          <w:lang w:eastAsia="zh-CN"/>
        </w:rPr>
        <w:t>）</w:t>
      </w:r>
      <w:r>
        <w:rPr>
          <w:rFonts w:hint="eastAsia" w:ascii="仿宋" w:hAnsi="仿宋" w:eastAsia="仿宋" w:cs="仿宋"/>
          <w:color w:val="auto"/>
        </w:rPr>
        <w:t>、质疑与投诉</w:t>
      </w:r>
      <w:bookmarkEnd w:id="128"/>
      <w:bookmarkEnd w:id="129"/>
      <w:bookmarkEnd w:id="130"/>
      <w:bookmarkEnd w:id="131"/>
    </w:p>
    <w:p w14:paraId="056FF035">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7.1 </w:t>
      </w:r>
      <w:r>
        <w:rPr>
          <w:rFonts w:hint="eastAsia" w:ascii="仿宋" w:hAnsi="仿宋" w:eastAsia="仿宋" w:cs="仿宋"/>
          <w:color w:val="auto"/>
          <w:sz w:val="24"/>
          <w:lang w:eastAsia="zh-CN"/>
        </w:rPr>
        <w:t>供应商</w:t>
      </w:r>
      <w:r>
        <w:rPr>
          <w:rFonts w:hint="eastAsia" w:ascii="仿宋" w:hAnsi="仿宋" w:eastAsia="仿宋" w:cs="仿宋"/>
          <w:color w:val="auto"/>
          <w:sz w:val="24"/>
        </w:rPr>
        <w:t>认为采购文件、采购过程</w:t>
      </w:r>
      <w:r>
        <w:rPr>
          <w:rFonts w:hint="eastAsia" w:ascii="仿宋" w:hAnsi="仿宋" w:eastAsia="仿宋" w:cs="仿宋"/>
          <w:color w:val="auto"/>
          <w:sz w:val="24"/>
          <w:lang w:eastAsia="zh-CN"/>
        </w:rPr>
        <w:t>和</w:t>
      </w:r>
      <w:r>
        <w:rPr>
          <w:rFonts w:hint="eastAsia" w:ascii="仿宋" w:hAnsi="仿宋" w:eastAsia="仿宋" w:cs="仿宋"/>
          <w:color w:val="auto"/>
          <w:sz w:val="24"/>
        </w:rPr>
        <w:t>中标结果使自己的权益受到损害的，可以在知道或者应知其权益受到损害之日起</w:t>
      </w:r>
      <w:r>
        <w:rPr>
          <w:rFonts w:hint="eastAsia" w:ascii="仿宋" w:hAnsi="仿宋" w:eastAsia="仿宋" w:cs="仿宋"/>
          <w:color w:val="auto"/>
          <w:sz w:val="24"/>
          <w:lang w:val="en-US" w:eastAsia="zh-CN"/>
        </w:rPr>
        <w:t>7</w:t>
      </w:r>
      <w:r>
        <w:rPr>
          <w:rFonts w:hint="eastAsia" w:ascii="仿宋" w:hAnsi="仿宋" w:eastAsia="仿宋" w:cs="仿宋"/>
          <w:color w:val="auto"/>
          <w:sz w:val="24"/>
        </w:rPr>
        <w:t>个工作日内，以书面形式向采购人、采购代理机构提出质疑。</w:t>
      </w:r>
      <w:r>
        <w:rPr>
          <w:rFonts w:hint="eastAsia" w:ascii="仿宋" w:hAnsi="仿宋" w:eastAsia="仿宋" w:cs="仿宋"/>
          <w:b/>
          <w:bCs/>
          <w:color w:val="auto"/>
          <w:sz w:val="24"/>
          <w:lang w:eastAsia="zh-CN"/>
        </w:rPr>
        <w:t>供应商</w:t>
      </w:r>
      <w:r>
        <w:rPr>
          <w:rFonts w:hint="eastAsia" w:ascii="仿宋" w:hAnsi="仿宋" w:eastAsia="仿宋" w:cs="仿宋"/>
          <w:b/>
          <w:bCs/>
          <w:color w:val="auto"/>
          <w:sz w:val="24"/>
        </w:rPr>
        <w:t>在法定质疑期内一次性提出针对同一采购程序环节的质疑。</w:t>
      </w:r>
    </w:p>
    <w:p w14:paraId="5530534E">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7.2</w:t>
      </w:r>
      <w:r>
        <w:rPr>
          <w:rFonts w:hint="eastAsia" w:ascii="仿宋" w:hAnsi="仿宋" w:eastAsia="仿宋" w:cs="仿宋"/>
          <w:color w:val="auto"/>
          <w:sz w:val="24"/>
          <w:lang w:eastAsia="zh-CN"/>
        </w:rPr>
        <w:t>供应商</w:t>
      </w:r>
      <w:r>
        <w:rPr>
          <w:rFonts w:hint="eastAsia" w:ascii="仿宋" w:hAnsi="仿宋" w:eastAsia="仿宋" w:cs="仿宋"/>
          <w:color w:val="auto"/>
          <w:sz w:val="24"/>
        </w:rPr>
        <w:t>若认为</w:t>
      </w:r>
      <w:r>
        <w:rPr>
          <w:rFonts w:hint="eastAsia" w:ascii="仿宋" w:hAnsi="仿宋" w:eastAsia="仿宋" w:cs="仿宋"/>
          <w:color w:val="auto"/>
          <w:sz w:val="24"/>
          <w:lang w:eastAsia="zh-CN"/>
        </w:rPr>
        <w:t>磋商文件</w:t>
      </w:r>
      <w:r>
        <w:rPr>
          <w:rFonts w:hint="eastAsia" w:ascii="仿宋" w:hAnsi="仿宋" w:eastAsia="仿宋" w:cs="仿宋"/>
          <w:color w:val="auto"/>
          <w:sz w:val="24"/>
        </w:rPr>
        <w:t>、</w:t>
      </w:r>
      <w:r>
        <w:rPr>
          <w:rFonts w:hint="eastAsia" w:ascii="仿宋" w:hAnsi="仿宋" w:eastAsia="仿宋" w:cs="仿宋"/>
          <w:color w:val="auto"/>
          <w:sz w:val="24"/>
          <w:lang w:eastAsia="zh-CN"/>
        </w:rPr>
        <w:t>评审</w:t>
      </w:r>
      <w:r>
        <w:rPr>
          <w:rFonts w:hint="eastAsia" w:ascii="仿宋" w:hAnsi="仿宋" w:eastAsia="仿宋" w:cs="仿宋"/>
          <w:color w:val="auto"/>
          <w:sz w:val="24"/>
        </w:rPr>
        <w:t>过程和</w:t>
      </w:r>
      <w:r>
        <w:rPr>
          <w:rFonts w:hint="eastAsia" w:ascii="仿宋" w:hAnsi="仿宋" w:eastAsia="仿宋" w:cs="仿宋"/>
          <w:color w:val="auto"/>
          <w:sz w:val="24"/>
          <w:lang w:eastAsia="zh-CN"/>
        </w:rPr>
        <w:t>中标</w:t>
      </w:r>
      <w:r>
        <w:rPr>
          <w:rFonts w:hint="eastAsia" w:ascii="仿宋" w:hAnsi="仿宋" w:eastAsia="仿宋" w:cs="仿宋"/>
          <w:color w:val="auto"/>
          <w:sz w:val="24"/>
        </w:rPr>
        <w:t>结果使自己的权益受到损害，应在以下规定时间内以书面形式向采购机构提出：</w:t>
      </w:r>
    </w:p>
    <w:p w14:paraId="4D1BB2DB">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（1）对可以质疑的</w:t>
      </w:r>
      <w:r>
        <w:rPr>
          <w:rFonts w:hint="eastAsia" w:ascii="仿宋" w:hAnsi="仿宋" w:eastAsia="仿宋" w:cs="仿宋"/>
          <w:color w:val="auto"/>
          <w:sz w:val="24"/>
          <w:lang w:eastAsia="zh-CN"/>
        </w:rPr>
        <w:t>磋商文件</w:t>
      </w:r>
      <w:r>
        <w:rPr>
          <w:rFonts w:hint="eastAsia" w:ascii="仿宋" w:hAnsi="仿宋" w:eastAsia="仿宋" w:cs="仿宋"/>
          <w:color w:val="auto"/>
          <w:sz w:val="24"/>
        </w:rPr>
        <w:t>提出质疑的，应当自收到</w:t>
      </w:r>
      <w:r>
        <w:rPr>
          <w:rFonts w:hint="eastAsia" w:ascii="仿宋" w:hAnsi="仿宋" w:eastAsia="仿宋" w:cs="仿宋"/>
          <w:color w:val="auto"/>
          <w:sz w:val="24"/>
          <w:lang w:eastAsia="zh-CN"/>
        </w:rPr>
        <w:t>磋商文件</w:t>
      </w:r>
      <w:r>
        <w:rPr>
          <w:rFonts w:hint="eastAsia" w:ascii="仿宋" w:hAnsi="仿宋" w:eastAsia="仿宋" w:cs="仿宋"/>
          <w:color w:val="auto"/>
          <w:sz w:val="24"/>
        </w:rPr>
        <w:t>之日或者</w:t>
      </w:r>
      <w:r>
        <w:rPr>
          <w:rFonts w:hint="eastAsia" w:ascii="仿宋" w:hAnsi="仿宋" w:eastAsia="仿宋" w:cs="仿宋"/>
          <w:color w:val="auto"/>
          <w:sz w:val="24"/>
          <w:lang w:eastAsia="zh-CN"/>
        </w:rPr>
        <w:t>磋商文件</w:t>
      </w:r>
      <w:r>
        <w:rPr>
          <w:rFonts w:hint="eastAsia" w:ascii="仿宋" w:hAnsi="仿宋" w:eastAsia="仿宋" w:cs="仿宋"/>
          <w:color w:val="auto"/>
          <w:sz w:val="24"/>
        </w:rPr>
        <w:t>公告期限届满之日起七个工作日内；</w:t>
      </w:r>
    </w:p>
    <w:p w14:paraId="3992587B">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（2）对</w:t>
      </w:r>
      <w:r>
        <w:rPr>
          <w:rFonts w:hint="eastAsia" w:ascii="仿宋" w:hAnsi="仿宋" w:eastAsia="仿宋" w:cs="仿宋"/>
          <w:color w:val="auto"/>
          <w:sz w:val="24"/>
          <w:lang w:eastAsia="zh-CN"/>
        </w:rPr>
        <w:t>评审</w:t>
      </w:r>
      <w:r>
        <w:rPr>
          <w:rFonts w:hint="eastAsia" w:ascii="仿宋" w:hAnsi="仿宋" w:eastAsia="仿宋" w:cs="仿宋"/>
          <w:color w:val="auto"/>
          <w:sz w:val="24"/>
        </w:rPr>
        <w:t>过程提出质疑的，应当在各</w:t>
      </w:r>
      <w:r>
        <w:rPr>
          <w:rFonts w:hint="eastAsia" w:ascii="仿宋" w:hAnsi="仿宋" w:eastAsia="仿宋" w:cs="仿宋"/>
          <w:color w:val="auto"/>
          <w:sz w:val="24"/>
          <w:lang w:eastAsia="zh-CN"/>
        </w:rPr>
        <w:t>开标</w:t>
      </w:r>
      <w:r>
        <w:rPr>
          <w:rFonts w:hint="eastAsia" w:ascii="仿宋" w:hAnsi="仿宋" w:eastAsia="仿宋" w:cs="仿宋"/>
          <w:color w:val="auto"/>
          <w:sz w:val="24"/>
        </w:rPr>
        <w:t>程序环节结束之日起七个工作日内；</w:t>
      </w:r>
    </w:p>
    <w:p w14:paraId="6EC6CEC5">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（3）对</w:t>
      </w:r>
      <w:r>
        <w:rPr>
          <w:rFonts w:hint="eastAsia" w:ascii="仿宋" w:hAnsi="仿宋" w:eastAsia="仿宋" w:cs="仿宋"/>
          <w:color w:val="auto"/>
          <w:sz w:val="24"/>
          <w:lang w:eastAsia="zh-CN"/>
        </w:rPr>
        <w:t>中标</w:t>
      </w:r>
      <w:r>
        <w:rPr>
          <w:rFonts w:hint="eastAsia" w:ascii="仿宋" w:hAnsi="仿宋" w:eastAsia="仿宋" w:cs="仿宋"/>
          <w:color w:val="auto"/>
          <w:sz w:val="24"/>
        </w:rPr>
        <w:t>结果提出质疑的，应当在</w:t>
      </w:r>
      <w:r>
        <w:rPr>
          <w:rFonts w:hint="eastAsia" w:ascii="仿宋" w:hAnsi="仿宋" w:eastAsia="仿宋" w:cs="仿宋"/>
          <w:color w:val="auto"/>
          <w:sz w:val="24"/>
          <w:lang w:eastAsia="zh-CN"/>
        </w:rPr>
        <w:t>中标</w:t>
      </w:r>
      <w:r>
        <w:rPr>
          <w:rFonts w:hint="eastAsia" w:ascii="仿宋" w:hAnsi="仿宋" w:eastAsia="仿宋" w:cs="仿宋"/>
          <w:color w:val="auto"/>
          <w:sz w:val="24"/>
        </w:rPr>
        <w:t>结果公告期限届满之日起七个工作日内提出；</w:t>
      </w:r>
    </w:p>
    <w:p w14:paraId="484B886C">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磋商文件</w:t>
      </w:r>
      <w:r>
        <w:rPr>
          <w:rFonts w:hint="eastAsia" w:ascii="仿宋" w:hAnsi="仿宋" w:eastAsia="仿宋" w:cs="仿宋"/>
          <w:color w:val="auto"/>
          <w:sz w:val="24"/>
        </w:rPr>
        <w:t>或法律法规规定的其他时间内。</w:t>
      </w:r>
    </w:p>
    <w:p w14:paraId="5FF12666">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7.3 </w:t>
      </w:r>
      <w:r>
        <w:rPr>
          <w:rFonts w:hint="eastAsia" w:ascii="仿宋" w:hAnsi="仿宋" w:eastAsia="仿宋" w:cs="仿宋"/>
          <w:color w:val="auto"/>
          <w:sz w:val="24"/>
          <w:lang w:eastAsia="zh-CN"/>
        </w:rPr>
        <w:t>供应商</w:t>
      </w:r>
      <w:r>
        <w:rPr>
          <w:rFonts w:hint="eastAsia" w:ascii="仿宋" w:hAnsi="仿宋" w:eastAsia="仿宋" w:cs="仿宋"/>
          <w:color w:val="auto"/>
          <w:sz w:val="24"/>
        </w:rPr>
        <w:t>提出质疑的，应当有明确的请求和必要的证明材料，并提供质疑书原件。招标采购单位向质疑</w:t>
      </w:r>
      <w:r>
        <w:rPr>
          <w:rFonts w:hint="eastAsia" w:ascii="仿宋" w:hAnsi="仿宋" w:eastAsia="仿宋" w:cs="仿宋"/>
          <w:color w:val="auto"/>
          <w:sz w:val="24"/>
          <w:lang w:eastAsia="zh-CN"/>
        </w:rPr>
        <w:t>供应商</w:t>
      </w:r>
      <w:r>
        <w:rPr>
          <w:rFonts w:hint="eastAsia" w:ascii="仿宋" w:hAnsi="仿宋" w:eastAsia="仿宋" w:cs="仿宋"/>
          <w:color w:val="auto"/>
          <w:sz w:val="24"/>
        </w:rPr>
        <w:t>签收回执。</w:t>
      </w:r>
    </w:p>
    <w:p w14:paraId="6961147B">
      <w:pPr>
        <w:adjustRightInd w:val="0"/>
        <w:snapToGrid w:val="0"/>
        <w:spacing w:line="36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7.4 质疑书应当由质疑</w:t>
      </w:r>
      <w:r>
        <w:rPr>
          <w:rFonts w:hint="eastAsia" w:ascii="仿宋" w:hAnsi="仿宋" w:eastAsia="仿宋" w:cs="仿宋"/>
          <w:color w:val="auto"/>
          <w:sz w:val="24"/>
          <w:lang w:eastAsia="zh-CN"/>
        </w:rPr>
        <w:t>供应商</w:t>
      </w:r>
      <w:r>
        <w:rPr>
          <w:rFonts w:hint="eastAsia" w:ascii="仿宋" w:hAnsi="仿宋" w:eastAsia="仿宋" w:cs="仿宋"/>
          <w:color w:val="auto"/>
          <w:sz w:val="24"/>
        </w:rPr>
        <w:t>法定代表人或授权代表人签字并加盖公章，质疑书由授权代表人签字的应附法定代表人授权书。</w:t>
      </w:r>
      <w:r>
        <w:rPr>
          <w:rFonts w:hint="eastAsia" w:ascii="仿宋" w:hAnsi="仿宋" w:eastAsia="仿宋" w:cs="仿宋"/>
          <w:color w:val="auto"/>
          <w:sz w:val="24"/>
          <w:lang w:eastAsia="zh-CN"/>
        </w:rPr>
        <w:t>（质疑函详见后附）</w:t>
      </w:r>
    </w:p>
    <w:p w14:paraId="0EE5C2C4">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7.5 采购机构将在签收回执之日起七个工作日内作出书面答复，并以书面形式通知与质疑处理结果有关的</w:t>
      </w:r>
      <w:r>
        <w:rPr>
          <w:rFonts w:hint="eastAsia" w:ascii="仿宋" w:hAnsi="仿宋" w:eastAsia="仿宋" w:cs="仿宋"/>
          <w:color w:val="auto"/>
          <w:sz w:val="24"/>
          <w:lang w:eastAsia="zh-CN"/>
        </w:rPr>
        <w:t>供应商</w:t>
      </w:r>
      <w:r>
        <w:rPr>
          <w:rFonts w:hint="eastAsia" w:ascii="仿宋" w:hAnsi="仿宋" w:eastAsia="仿宋" w:cs="仿宋"/>
          <w:color w:val="auto"/>
          <w:sz w:val="24"/>
        </w:rPr>
        <w:t>。</w:t>
      </w:r>
    </w:p>
    <w:p w14:paraId="5027121A">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sz w:val="24"/>
        </w:rPr>
      </w:pPr>
      <w:r>
        <w:rPr>
          <w:rFonts w:hint="eastAsia" w:ascii="仿宋" w:hAnsi="仿宋" w:eastAsia="仿宋" w:cs="仿宋"/>
          <w:color w:val="auto"/>
          <w:sz w:val="24"/>
        </w:rPr>
        <w:t xml:space="preserve">7.6 </w:t>
      </w:r>
      <w:r>
        <w:rPr>
          <w:rFonts w:hint="eastAsia" w:ascii="仿宋" w:hAnsi="仿宋" w:eastAsia="仿宋" w:cs="仿宋"/>
          <w:color w:val="auto"/>
          <w:sz w:val="24"/>
          <w:lang w:eastAsia="zh-CN"/>
        </w:rPr>
        <w:t>供应商</w:t>
      </w:r>
      <w:r>
        <w:rPr>
          <w:rFonts w:hint="eastAsia" w:ascii="仿宋" w:hAnsi="仿宋" w:eastAsia="仿宋" w:cs="仿宋"/>
          <w:color w:val="auto"/>
          <w:sz w:val="24"/>
        </w:rPr>
        <w:t>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2574F0DF">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4F9C82A5">
      <w:pPr>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附件：</w:t>
      </w:r>
      <w:r>
        <w:rPr>
          <w:rFonts w:hint="eastAsia" w:ascii="仿宋" w:hAnsi="仿宋" w:eastAsia="仿宋" w:cs="仿宋"/>
          <w:b/>
          <w:bCs/>
          <w:color w:val="auto"/>
          <w:sz w:val="28"/>
          <w:szCs w:val="28"/>
          <w:lang w:val="en-US" w:eastAsia="zh-CN"/>
        </w:rPr>
        <w:t xml:space="preserve">        </w:t>
      </w:r>
    </w:p>
    <w:p w14:paraId="7AB5C0BA">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质疑函范本</w:t>
      </w:r>
    </w:p>
    <w:p w14:paraId="0ACF2CED">
      <w:pPr>
        <w:adjustRightInd w:val="0"/>
        <w:snapToGrid w:val="0"/>
        <w:spacing w:before="240" w:beforeLines="100"/>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一、质疑</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基本信息</w:t>
      </w:r>
    </w:p>
    <w:p w14:paraId="35647047">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dotted"/>
        </w:rPr>
        <w:t xml:space="preserve">                                        </w:t>
      </w:r>
    </w:p>
    <w:p w14:paraId="700C38C4">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dotted"/>
        </w:rPr>
        <w:t xml:space="preserve">                                </w:t>
      </w:r>
    </w:p>
    <w:p w14:paraId="1E20ACD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14:paraId="2BC5AA1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p>
    <w:p w14:paraId="049502B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14:paraId="2415FB17">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14:paraId="180AEA9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14:paraId="68B8AA17">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dotted"/>
        </w:rPr>
        <w:t xml:space="preserve">                                      </w:t>
      </w:r>
    </w:p>
    <w:p w14:paraId="19B60BB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14:paraId="04025B1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p>
    <w:p w14:paraId="6D73F4C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dotted"/>
        </w:rPr>
        <w:t xml:space="preserve">                                           </w:t>
      </w:r>
    </w:p>
    <w:p w14:paraId="6486302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14:paraId="0D4FB626">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dotted"/>
        </w:rPr>
        <w:t xml:space="preserve">                                         </w:t>
      </w:r>
    </w:p>
    <w:p w14:paraId="4A3C674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14:paraId="0B486EA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14:paraId="74A43414">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14:paraId="3633208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DEAB88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14:paraId="2FC9C10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p>
    <w:p w14:paraId="337428D5">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14:paraId="073FD9A6">
      <w:pPr>
        <w:bidi w:val="0"/>
        <w:rPr>
          <w:rFonts w:hint="eastAsia" w:ascii="仿宋" w:hAnsi="仿宋" w:eastAsia="仿宋" w:cs="仿宋"/>
          <w:color w:val="auto"/>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日期：    </w:t>
      </w:r>
      <w:r>
        <w:rPr>
          <w:rFonts w:hint="eastAsia" w:ascii="仿宋" w:hAnsi="仿宋" w:eastAsia="仿宋" w:cs="仿宋"/>
          <w:b/>
          <w:color w:val="auto"/>
          <w:sz w:val="36"/>
        </w:rPr>
        <w:br w:type="page"/>
      </w:r>
    </w:p>
    <w:p w14:paraId="4274FF36">
      <w:pPr>
        <w:pStyle w:val="4"/>
        <w:bidi w:val="0"/>
        <w:rPr>
          <w:rFonts w:hint="eastAsia" w:ascii="仿宋" w:hAnsi="仿宋" w:eastAsia="仿宋" w:cs="仿宋"/>
          <w:color w:val="auto"/>
          <w:lang w:val="en-US" w:eastAsia="zh-CN"/>
        </w:rPr>
      </w:pPr>
      <w:bookmarkStart w:id="132" w:name="_Toc15774"/>
      <w:bookmarkStart w:id="133" w:name="_Toc19984"/>
      <w:bookmarkStart w:id="134" w:name="_Toc32046"/>
      <w:bookmarkStart w:id="135" w:name="_Toc21601"/>
      <w:bookmarkStart w:id="136" w:name="_Toc3185"/>
      <w:bookmarkStart w:id="137" w:name="_Toc19471"/>
      <w:bookmarkStart w:id="138" w:name="_Toc30047"/>
      <w:bookmarkStart w:id="139" w:name="_Toc9156"/>
      <w:bookmarkStart w:id="140" w:name="_Toc27549"/>
      <w:bookmarkStart w:id="141" w:name="_Toc16820"/>
      <w:bookmarkStart w:id="142" w:name="_Toc5514"/>
      <w:r>
        <w:rPr>
          <w:rFonts w:hint="eastAsia" w:ascii="仿宋" w:hAnsi="仿宋" w:eastAsia="仿宋" w:cs="仿宋"/>
          <w:color w:val="auto"/>
          <w:lang w:val="en-US" w:eastAsia="zh-CN"/>
        </w:rPr>
        <w:t>第三章 评标办法</w:t>
      </w:r>
      <w:bookmarkEnd w:id="132"/>
      <w:bookmarkEnd w:id="133"/>
      <w:bookmarkEnd w:id="134"/>
      <w:bookmarkEnd w:id="135"/>
      <w:bookmarkEnd w:id="136"/>
      <w:bookmarkEnd w:id="137"/>
      <w:bookmarkEnd w:id="138"/>
      <w:bookmarkEnd w:id="139"/>
      <w:bookmarkEnd w:id="140"/>
      <w:bookmarkEnd w:id="141"/>
      <w:bookmarkEnd w:id="142"/>
    </w:p>
    <w:p w14:paraId="0FAA5633">
      <w:pPr>
        <w:pStyle w:val="5"/>
        <w:bidi w:val="0"/>
        <w:rPr>
          <w:rFonts w:hint="eastAsia" w:ascii="仿宋" w:hAnsi="仿宋" w:eastAsia="仿宋" w:cs="仿宋"/>
          <w:color w:val="auto"/>
          <w:lang w:val="en-US" w:eastAsia="zh-CN"/>
        </w:rPr>
      </w:pPr>
      <w:bookmarkStart w:id="143" w:name="_Toc23702"/>
      <w:bookmarkStart w:id="144" w:name="_Toc9178"/>
      <w:bookmarkStart w:id="145" w:name="_Toc28615"/>
      <w:bookmarkStart w:id="146" w:name="_Toc23137"/>
      <w:bookmarkStart w:id="147" w:name="_Toc19277"/>
      <w:bookmarkStart w:id="148" w:name="_Toc14492"/>
      <w:bookmarkStart w:id="149" w:name="_Toc21519"/>
      <w:bookmarkStart w:id="150" w:name="_Toc17071"/>
      <w:bookmarkStart w:id="151" w:name="_Toc22713"/>
      <w:r>
        <w:rPr>
          <w:rFonts w:hint="eastAsia" w:ascii="仿宋" w:hAnsi="仿宋" w:eastAsia="仿宋" w:cs="仿宋"/>
          <w:color w:val="auto"/>
          <w:lang w:val="en-US" w:eastAsia="zh-CN"/>
        </w:rPr>
        <w:t>一、综合评分</w:t>
      </w:r>
      <w:bookmarkEnd w:id="143"/>
      <w:bookmarkEnd w:id="144"/>
      <w:bookmarkEnd w:id="145"/>
      <w:bookmarkEnd w:id="146"/>
      <w:bookmarkEnd w:id="147"/>
      <w:bookmarkEnd w:id="148"/>
      <w:bookmarkEnd w:id="149"/>
      <w:bookmarkEnd w:id="150"/>
      <w:bookmarkEnd w:id="151"/>
    </w:p>
    <w:p w14:paraId="6A00CA58">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1.评标组织</w:t>
      </w:r>
      <w:r>
        <w:rPr>
          <w:rFonts w:hint="eastAsia" w:ascii="仿宋" w:hAnsi="仿宋" w:eastAsia="仿宋" w:cs="仿宋"/>
          <w:color w:val="auto"/>
          <w:sz w:val="24"/>
          <w:lang w:eastAsia="zh-CN"/>
        </w:rPr>
        <w:t>：</w:t>
      </w:r>
      <w:r>
        <w:rPr>
          <w:rFonts w:hint="eastAsia" w:ascii="仿宋" w:hAnsi="仿宋" w:eastAsia="仿宋" w:cs="仿宋"/>
          <w:color w:val="auto"/>
          <w:sz w:val="24"/>
        </w:rPr>
        <w:t>评标工作由采购代理机构负责组织，具体评标事务由依法组建的评标委员会负责。</w:t>
      </w:r>
    </w:p>
    <w:p w14:paraId="3F55632E">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综合评分法，是指</w:t>
      </w:r>
      <w:r>
        <w:rPr>
          <w:rFonts w:hint="eastAsia" w:ascii="仿宋" w:hAnsi="仿宋" w:eastAsia="仿宋" w:cs="仿宋"/>
          <w:color w:val="auto"/>
          <w:sz w:val="24"/>
          <w:lang w:eastAsia="zh-CN"/>
        </w:rPr>
        <w:t>响应文件</w:t>
      </w:r>
      <w:r>
        <w:rPr>
          <w:rFonts w:hint="eastAsia" w:ascii="仿宋" w:hAnsi="仿宋" w:eastAsia="仿宋" w:cs="仿宋"/>
          <w:color w:val="auto"/>
          <w:sz w:val="24"/>
        </w:rPr>
        <w:t>满足</w:t>
      </w:r>
      <w:r>
        <w:rPr>
          <w:rFonts w:hint="eastAsia" w:ascii="仿宋" w:hAnsi="仿宋" w:eastAsia="仿宋" w:cs="仿宋"/>
          <w:color w:val="auto"/>
          <w:sz w:val="24"/>
          <w:lang w:eastAsia="zh-CN"/>
        </w:rPr>
        <w:t>磋商文件</w:t>
      </w:r>
      <w:r>
        <w:rPr>
          <w:rFonts w:hint="eastAsia" w:ascii="仿宋" w:hAnsi="仿宋" w:eastAsia="仿宋" w:cs="仿宋"/>
          <w:color w:val="auto"/>
          <w:sz w:val="24"/>
        </w:rPr>
        <w:t>全部实质性要求且按评审因素的量化指标评审得分最高的</w:t>
      </w:r>
      <w:r>
        <w:rPr>
          <w:rFonts w:hint="eastAsia" w:ascii="仿宋" w:hAnsi="仿宋" w:eastAsia="仿宋" w:cs="仿宋"/>
          <w:color w:val="auto"/>
          <w:sz w:val="24"/>
          <w:lang w:eastAsia="zh-CN"/>
        </w:rPr>
        <w:t>供应商</w:t>
      </w:r>
      <w:r>
        <w:rPr>
          <w:rFonts w:hint="eastAsia" w:ascii="仿宋" w:hAnsi="仿宋" w:eastAsia="仿宋" w:cs="仿宋"/>
          <w:color w:val="auto"/>
          <w:sz w:val="24"/>
        </w:rPr>
        <w:t>为</w:t>
      </w:r>
      <w:r>
        <w:rPr>
          <w:rFonts w:hint="eastAsia" w:ascii="仿宋" w:hAnsi="仿宋" w:eastAsia="仿宋" w:cs="仿宋"/>
          <w:color w:val="auto"/>
          <w:sz w:val="24"/>
          <w:lang w:eastAsia="zh-CN"/>
        </w:rPr>
        <w:t>中标人</w:t>
      </w:r>
      <w:r>
        <w:rPr>
          <w:rFonts w:hint="eastAsia" w:ascii="仿宋" w:hAnsi="仿宋" w:eastAsia="仿宋" w:cs="仿宋"/>
          <w:color w:val="auto"/>
          <w:sz w:val="24"/>
        </w:rPr>
        <w:t>的评审方法。</w:t>
      </w:r>
    </w:p>
    <w:p w14:paraId="052DAB6D">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.评审时，</w:t>
      </w:r>
      <w:r>
        <w:rPr>
          <w:rFonts w:hint="eastAsia" w:ascii="仿宋" w:hAnsi="仿宋" w:eastAsia="仿宋" w:cs="仿宋"/>
          <w:color w:val="auto"/>
          <w:sz w:val="24"/>
          <w:lang w:eastAsia="zh-CN"/>
        </w:rPr>
        <w:t>评标小组</w:t>
      </w:r>
      <w:r>
        <w:rPr>
          <w:rFonts w:hint="eastAsia" w:ascii="仿宋" w:hAnsi="仿宋" w:eastAsia="仿宋" w:cs="仿宋"/>
          <w:color w:val="auto"/>
          <w:sz w:val="24"/>
        </w:rPr>
        <w:t>各成员应当独立对每个有效响应的文件进行评价、打分，然后汇总每个</w:t>
      </w:r>
      <w:r>
        <w:rPr>
          <w:rFonts w:hint="eastAsia" w:ascii="仿宋" w:hAnsi="仿宋" w:eastAsia="仿宋" w:cs="仿宋"/>
          <w:color w:val="auto"/>
          <w:sz w:val="24"/>
          <w:lang w:eastAsia="zh-CN"/>
        </w:rPr>
        <w:t>供应商</w:t>
      </w:r>
      <w:r>
        <w:rPr>
          <w:rFonts w:hint="eastAsia" w:ascii="仿宋" w:hAnsi="仿宋" w:eastAsia="仿宋" w:cs="仿宋"/>
          <w:color w:val="auto"/>
          <w:sz w:val="24"/>
        </w:rPr>
        <w:t>每项评分因素的得分。</w:t>
      </w:r>
    </w:p>
    <w:p w14:paraId="0C2EE2DE">
      <w:pPr>
        <w:pStyle w:val="5"/>
        <w:bidi w:val="0"/>
        <w:rPr>
          <w:rFonts w:hint="eastAsia" w:ascii="仿宋" w:hAnsi="仿宋" w:eastAsia="仿宋" w:cs="仿宋"/>
          <w:color w:val="auto"/>
          <w:lang w:val="en-US" w:eastAsia="zh-CN"/>
        </w:rPr>
      </w:pPr>
      <w:bookmarkStart w:id="152" w:name="_Toc7179"/>
      <w:bookmarkStart w:id="153" w:name="_Toc6769"/>
      <w:bookmarkStart w:id="154" w:name="_Toc23550"/>
      <w:bookmarkStart w:id="155" w:name="_Toc10981"/>
      <w:bookmarkStart w:id="156" w:name="_Toc32562"/>
      <w:bookmarkStart w:id="157" w:name="_Toc7295"/>
      <w:bookmarkStart w:id="158" w:name="_Toc17578"/>
      <w:bookmarkStart w:id="159" w:name="_Toc7174"/>
      <w:bookmarkStart w:id="160" w:name="_Toc22468"/>
      <w:bookmarkStart w:id="161" w:name="_Toc2923"/>
      <w:bookmarkStart w:id="162" w:name="_Toc3194"/>
      <w:bookmarkStart w:id="163" w:name="_Toc197"/>
      <w:bookmarkStart w:id="164" w:name="_Toc22806"/>
      <w:bookmarkStart w:id="165" w:name="_Toc30099"/>
      <w:bookmarkStart w:id="166" w:name="_Toc24798"/>
      <w:bookmarkStart w:id="167" w:name="_Toc26100"/>
      <w:bookmarkStart w:id="168" w:name="_Toc16592"/>
      <w:bookmarkStart w:id="169" w:name="_Toc17461"/>
      <w:bookmarkStart w:id="170" w:name="_Toc183682377"/>
      <w:bookmarkStart w:id="171" w:name="_Toc183582240"/>
      <w:bookmarkStart w:id="172" w:name="_Toc217446064"/>
      <w:r>
        <w:rPr>
          <w:rFonts w:hint="eastAsia" w:ascii="仿宋" w:hAnsi="仿宋" w:eastAsia="仿宋" w:cs="仿宋"/>
          <w:color w:val="auto"/>
          <w:lang w:val="en-US" w:eastAsia="zh-CN"/>
        </w:rPr>
        <w:t>二、综合评分细则表</w:t>
      </w:r>
      <w:bookmarkEnd w:id="152"/>
      <w:bookmarkEnd w:id="153"/>
      <w:bookmarkEnd w:id="154"/>
      <w:bookmarkEnd w:id="155"/>
      <w:bookmarkEnd w:id="156"/>
      <w:bookmarkEnd w:id="157"/>
      <w:bookmarkEnd w:id="158"/>
      <w:bookmarkEnd w:id="159"/>
      <w:bookmarkEnd w:id="160"/>
    </w:p>
    <w:p w14:paraId="0B49D9EF">
      <w:pPr>
        <w:adjustRightInd w:val="0"/>
        <w:snapToGrid w:val="0"/>
        <w:spacing w:line="360" w:lineRule="auto"/>
        <w:ind w:left="0" w:leftChars="0" w:firstLine="0" w:firstLine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.综合评</w:t>
      </w:r>
      <w:r>
        <w:rPr>
          <w:rFonts w:hint="eastAsia" w:ascii="仿宋" w:hAnsi="仿宋" w:eastAsia="仿宋" w:cs="仿宋"/>
          <w:color w:val="auto"/>
          <w:sz w:val="24"/>
          <w:lang w:eastAsia="zh-CN"/>
        </w:rPr>
        <w:t>分</w:t>
      </w:r>
      <w:r>
        <w:rPr>
          <w:rFonts w:hint="eastAsia" w:ascii="仿宋" w:hAnsi="仿宋" w:eastAsia="仿宋" w:cs="仿宋"/>
          <w:color w:val="auto"/>
          <w:sz w:val="24"/>
        </w:rPr>
        <w:t>法</w:t>
      </w:r>
      <w:r>
        <w:rPr>
          <w:rFonts w:hint="eastAsia" w:ascii="仿宋" w:hAnsi="仿宋" w:eastAsia="仿宋" w:cs="仿宋"/>
          <w:color w:val="auto"/>
          <w:sz w:val="24"/>
          <w:lang w:eastAsia="zh-CN"/>
        </w:rPr>
        <w:t>：</w:t>
      </w:r>
      <w:r>
        <w:rPr>
          <w:rFonts w:hint="eastAsia" w:ascii="仿宋" w:hAnsi="仿宋" w:eastAsia="仿宋" w:cs="仿宋"/>
          <w:color w:val="auto"/>
          <w:sz w:val="24"/>
        </w:rPr>
        <w:t>满分为100分。按报价分</w:t>
      </w:r>
      <w:r>
        <w:rPr>
          <w:rFonts w:hint="eastAsia" w:ascii="仿宋" w:hAnsi="仿宋" w:eastAsia="仿宋" w:cs="仿宋"/>
          <w:color w:val="auto"/>
          <w:sz w:val="24"/>
          <w:lang w:val="en-US" w:eastAsia="zh-CN"/>
        </w:rPr>
        <w:t>20</w:t>
      </w:r>
      <w:r>
        <w:rPr>
          <w:rFonts w:hint="eastAsia" w:ascii="仿宋" w:hAnsi="仿宋" w:eastAsia="仿宋" w:cs="仿宋"/>
          <w:color w:val="auto"/>
          <w:sz w:val="24"/>
        </w:rPr>
        <w:t>分，</w:t>
      </w:r>
      <w:r>
        <w:rPr>
          <w:rFonts w:hint="eastAsia" w:ascii="仿宋" w:hAnsi="仿宋" w:eastAsia="仿宋" w:cs="仿宋"/>
          <w:color w:val="auto"/>
          <w:sz w:val="24"/>
          <w:lang w:val="en-US" w:eastAsia="zh-CN"/>
        </w:rPr>
        <w:t>商务技术80</w:t>
      </w:r>
      <w:r>
        <w:rPr>
          <w:rFonts w:hint="eastAsia" w:ascii="仿宋" w:hAnsi="仿宋" w:eastAsia="仿宋" w:cs="仿宋"/>
          <w:color w:val="auto"/>
          <w:sz w:val="24"/>
        </w:rPr>
        <w:t>分。</w:t>
      </w:r>
    </w:p>
    <w:p w14:paraId="4277F88E">
      <w:pPr>
        <w:adjustRightInd w:val="0"/>
        <w:snapToGrid w:val="0"/>
        <w:spacing w:line="360" w:lineRule="auto"/>
        <w:ind w:left="0" w:leftChars="0" w:firstLine="0" w:firstLineChars="0"/>
        <w:jc w:val="left"/>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具体评分分值如下：</w:t>
      </w:r>
    </w:p>
    <w:p w14:paraId="3DAEA8D6">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  价格评审（</w:t>
      </w:r>
      <w:r>
        <w:rPr>
          <w:rFonts w:hint="eastAsia" w:ascii="仿宋" w:hAnsi="仿宋" w:eastAsia="仿宋" w:cs="仿宋"/>
          <w:color w:val="auto"/>
          <w:sz w:val="24"/>
          <w:lang w:val="en-US" w:eastAsia="zh-CN"/>
        </w:rPr>
        <w:t>20</w:t>
      </w:r>
      <w:r>
        <w:rPr>
          <w:rFonts w:hint="eastAsia" w:ascii="仿宋" w:hAnsi="仿宋" w:eastAsia="仿宋" w:cs="仿宋"/>
          <w:color w:val="auto"/>
          <w:sz w:val="24"/>
        </w:rPr>
        <w:t>分）</w:t>
      </w:r>
      <w:r>
        <w:rPr>
          <w:rFonts w:hint="eastAsia" w:ascii="仿宋" w:hAnsi="仿宋" w:eastAsia="仿宋" w:cs="仿宋"/>
          <w:color w:val="auto"/>
          <w:sz w:val="24"/>
          <w:lang w:eastAsia="zh-CN"/>
        </w:rPr>
        <w:t>：供应商</w:t>
      </w:r>
      <w:r>
        <w:rPr>
          <w:rFonts w:hint="eastAsia" w:ascii="仿宋" w:hAnsi="仿宋" w:eastAsia="仿宋" w:cs="仿宋"/>
          <w:color w:val="auto"/>
          <w:sz w:val="24"/>
        </w:rPr>
        <w:t>的价格分统一按照下列公式计算：</w:t>
      </w:r>
    </w:p>
    <w:tbl>
      <w:tblPr>
        <w:tblStyle w:val="2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60"/>
        <w:gridCol w:w="1335"/>
        <w:gridCol w:w="5482"/>
      </w:tblGrid>
      <w:tr w14:paraId="63CD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3" w:type="dxa"/>
            <w:noWrap w:val="0"/>
            <w:vAlign w:val="center"/>
          </w:tcPr>
          <w:p w14:paraId="744EB688">
            <w:pPr>
              <w:spacing w:line="440" w:lineRule="exact"/>
              <w:ind w:left="0" w:leftChars="0" w:firstLine="0" w:firstLineChars="0"/>
              <w:jc w:val="both"/>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eastAsia="zh-CN"/>
              </w:rPr>
              <w:t>序</w:t>
            </w:r>
            <w:r>
              <w:rPr>
                <w:rFonts w:hint="eastAsia" w:ascii="仿宋" w:hAnsi="仿宋" w:eastAsia="仿宋" w:cs="仿宋"/>
                <w:b/>
                <w:bCs w:val="0"/>
                <w:color w:val="auto"/>
                <w:kern w:val="0"/>
                <w:sz w:val="24"/>
                <w:szCs w:val="24"/>
              </w:rPr>
              <w:t>号</w:t>
            </w:r>
          </w:p>
        </w:tc>
        <w:tc>
          <w:tcPr>
            <w:tcW w:w="1260" w:type="dxa"/>
            <w:noWrap w:val="0"/>
            <w:vAlign w:val="center"/>
          </w:tcPr>
          <w:p w14:paraId="5F50C9DA">
            <w:pPr>
              <w:spacing w:line="440" w:lineRule="exact"/>
              <w:ind w:left="0" w:leftChars="0" w:firstLine="0" w:firstLineChars="0"/>
              <w:jc w:val="both"/>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rPr>
              <w:t>评标项目</w:t>
            </w:r>
          </w:p>
        </w:tc>
        <w:tc>
          <w:tcPr>
            <w:tcW w:w="1335" w:type="dxa"/>
            <w:noWrap w:val="0"/>
            <w:vAlign w:val="center"/>
          </w:tcPr>
          <w:p w14:paraId="170EFAD0">
            <w:pPr>
              <w:spacing w:line="440" w:lineRule="exact"/>
              <w:ind w:left="0" w:leftChars="0" w:firstLine="0" w:firstLineChars="0"/>
              <w:jc w:val="center"/>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价格权重</w:t>
            </w:r>
          </w:p>
        </w:tc>
        <w:tc>
          <w:tcPr>
            <w:tcW w:w="5482" w:type="dxa"/>
            <w:noWrap w:val="0"/>
            <w:vAlign w:val="center"/>
          </w:tcPr>
          <w:p w14:paraId="0632D691">
            <w:pPr>
              <w:tabs>
                <w:tab w:val="left" w:pos="2323"/>
              </w:tabs>
              <w:spacing w:line="440" w:lineRule="exact"/>
              <w:ind w:right="619" w:rightChars="258"/>
              <w:jc w:val="center"/>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rPr>
              <w:t>评标内容</w:t>
            </w:r>
          </w:p>
        </w:tc>
      </w:tr>
      <w:tr w14:paraId="1C95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43" w:type="dxa"/>
            <w:noWrap w:val="0"/>
            <w:vAlign w:val="center"/>
          </w:tcPr>
          <w:p w14:paraId="77394D67">
            <w:pPr>
              <w:spacing w:line="440" w:lineRule="exact"/>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w:t>
            </w:r>
          </w:p>
          <w:p w14:paraId="5C1D3819">
            <w:pPr>
              <w:jc w:val="center"/>
              <w:rPr>
                <w:rFonts w:hint="eastAsia" w:ascii="仿宋" w:hAnsi="仿宋" w:eastAsia="仿宋" w:cs="仿宋"/>
                <w:bCs/>
                <w:color w:val="auto"/>
                <w:kern w:val="0"/>
                <w:sz w:val="24"/>
                <w:szCs w:val="24"/>
                <w:lang w:val="en-US" w:eastAsia="zh-CN"/>
              </w:rPr>
            </w:pPr>
          </w:p>
        </w:tc>
        <w:tc>
          <w:tcPr>
            <w:tcW w:w="1260" w:type="dxa"/>
            <w:noWrap w:val="0"/>
            <w:vAlign w:val="center"/>
          </w:tcPr>
          <w:p w14:paraId="05B29486">
            <w:pPr>
              <w:spacing w:line="440" w:lineRule="exact"/>
              <w:ind w:left="0" w:leftChars="0" w:firstLine="0" w:firstLineChars="0"/>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报价</w:t>
            </w:r>
          </w:p>
        </w:tc>
        <w:tc>
          <w:tcPr>
            <w:tcW w:w="1335" w:type="dxa"/>
            <w:noWrap w:val="0"/>
            <w:vAlign w:val="center"/>
          </w:tcPr>
          <w:p w14:paraId="2BA201D2">
            <w:pPr>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sz w:val="24"/>
                <w:szCs w:val="24"/>
                <w:highlight w:val="none"/>
                <w:lang w:val="en-US" w:eastAsia="zh-CN"/>
              </w:rPr>
              <w:t>％</w:t>
            </w:r>
          </w:p>
        </w:tc>
        <w:tc>
          <w:tcPr>
            <w:tcW w:w="5482" w:type="dxa"/>
            <w:noWrap w:val="0"/>
            <w:vAlign w:val="center"/>
          </w:tcPr>
          <w:p w14:paraId="5266A983">
            <w:pPr>
              <w:snapToGrid w:val="0"/>
              <w:spacing w:line="360" w:lineRule="exact"/>
              <w:ind w:left="0" w:leftChars="0" w:firstLine="476" w:firstLineChars="200"/>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pacing w:val="-1"/>
                <w:sz w:val="24"/>
                <w:szCs w:val="24"/>
                <w:highlight w:val="none"/>
              </w:rPr>
              <w:t>综合评分法中的价格分统一采用低价优先法计算，即满足</w:t>
            </w:r>
            <w:r>
              <w:rPr>
                <w:rFonts w:hint="eastAsia" w:ascii="仿宋" w:hAnsi="仿宋" w:eastAsia="仿宋" w:cs="仿宋"/>
                <w:color w:val="auto"/>
                <w:spacing w:val="-1"/>
                <w:sz w:val="24"/>
                <w:szCs w:val="24"/>
                <w:highlight w:val="none"/>
                <w:lang w:eastAsia="zh-CN"/>
              </w:rPr>
              <w:t>采购</w:t>
            </w:r>
            <w:r>
              <w:rPr>
                <w:rFonts w:hint="eastAsia" w:ascii="仿宋" w:hAnsi="仿宋" w:eastAsia="仿宋" w:cs="仿宋"/>
                <w:color w:val="auto"/>
                <w:spacing w:val="-1"/>
                <w:sz w:val="24"/>
                <w:szCs w:val="24"/>
                <w:highlight w:val="none"/>
              </w:rPr>
              <w:t>文件要求且投标价格最低的投标报价为评标基准价，其价格分</w:t>
            </w:r>
            <w:r>
              <w:rPr>
                <w:rFonts w:hint="eastAsia" w:ascii="仿宋" w:hAnsi="仿宋" w:eastAsia="仿宋" w:cs="仿宋"/>
                <w:color w:val="auto"/>
                <w:spacing w:val="5"/>
                <w:sz w:val="24"/>
                <w:szCs w:val="24"/>
                <w:highlight w:val="none"/>
              </w:rPr>
              <w:t>为满分</w:t>
            </w:r>
            <w:r>
              <w:rPr>
                <w:rFonts w:hint="eastAsia" w:ascii="仿宋" w:hAnsi="仿宋" w:eastAsia="仿宋" w:cs="仿宋"/>
                <w:color w:val="auto"/>
                <w:spacing w:val="5"/>
                <w:sz w:val="24"/>
                <w:szCs w:val="24"/>
                <w:highlight w:val="none"/>
                <w:lang w:val="en-US" w:eastAsia="zh-CN"/>
              </w:rPr>
              <w:t>2</w:t>
            </w:r>
            <w:r>
              <w:rPr>
                <w:rFonts w:hint="eastAsia" w:ascii="仿宋" w:hAnsi="仿宋" w:eastAsia="仿宋" w:cs="仿宋"/>
                <w:color w:val="auto"/>
                <w:spacing w:val="5"/>
                <w:sz w:val="24"/>
                <w:szCs w:val="24"/>
                <w:highlight w:val="none"/>
              </w:rPr>
              <w:t>0分</w:t>
            </w:r>
            <w:r>
              <w:rPr>
                <w:rFonts w:hint="eastAsia" w:ascii="仿宋" w:hAnsi="仿宋" w:eastAsia="仿宋" w:cs="仿宋"/>
                <w:color w:val="auto"/>
                <w:spacing w:val="5"/>
                <w:sz w:val="24"/>
                <w:szCs w:val="24"/>
                <w:highlight w:val="none"/>
                <w:lang w:eastAsia="zh-CN"/>
              </w:rPr>
              <w:t>；</w:t>
            </w:r>
          </w:p>
          <w:p w14:paraId="27DCB0FF">
            <w:pPr>
              <w:snapToGrid w:val="0"/>
              <w:spacing w:line="360" w:lineRule="exact"/>
              <w:ind w:left="0" w:leftChars="0" w:firstLine="500"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其它投标报价得分=评标基准</w:t>
            </w:r>
            <w:r>
              <w:rPr>
                <w:rFonts w:hint="eastAsia" w:ascii="仿宋" w:hAnsi="仿宋" w:eastAsia="仿宋" w:cs="仿宋"/>
                <w:color w:val="auto"/>
                <w:spacing w:val="4"/>
                <w:sz w:val="24"/>
                <w:szCs w:val="24"/>
                <w:highlight w:val="none"/>
              </w:rPr>
              <w:t>价/投标报价*</w:t>
            </w:r>
            <w:r>
              <w:rPr>
                <w:rFonts w:hint="eastAsia" w:ascii="仿宋" w:hAnsi="仿宋" w:eastAsia="仿宋" w:cs="仿宋"/>
                <w:color w:val="auto"/>
                <w:spacing w:val="4"/>
                <w:sz w:val="24"/>
                <w:szCs w:val="24"/>
                <w:highlight w:val="none"/>
                <w:lang w:val="en-US" w:eastAsia="zh-CN"/>
              </w:rPr>
              <w:t>2</w:t>
            </w:r>
            <w:r>
              <w:rPr>
                <w:rFonts w:hint="eastAsia" w:ascii="仿宋" w:hAnsi="仿宋" w:eastAsia="仿宋" w:cs="仿宋"/>
                <w:color w:val="auto"/>
                <w:spacing w:val="4"/>
                <w:sz w:val="24"/>
                <w:szCs w:val="24"/>
                <w:highlight w:val="none"/>
              </w:rPr>
              <w:t>0</w:t>
            </w:r>
          </w:p>
          <w:p w14:paraId="6112B318">
            <w:pPr>
              <w:snapToGrid w:val="0"/>
              <w:spacing w:line="360" w:lineRule="exact"/>
              <w:ind w:left="0" w:leftChars="0" w:firstLine="47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pacing w:val="-1"/>
                <w:sz w:val="24"/>
                <w:szCs w:val="24"/>
                <w:highlight w:val="none"/>
              </w:rPr>
              <w:t>计算公式的计算结果值在小数点后均保留两位小数，后余位数</w:t>
            </w:r>
            <w:r>
              <w:rPr>
                <w:rFonts w:hint="eastAsia" w:ascii="仿宋" w:hAnsi="仿宋" w:eastAsia="仿宋" w:cs="仿宋"/>
                <w:color w:val="auto"/>
                <w:spacing w:val="17"/>
                <w:sz w:val="24"/>
                <w:szCs w:val="24"/>
                <w:highlight w:val="none"/>
              </w:rPr>
              <w:t>四舍五入计。</w:t>
            </w:r>
          </w:p>
        </w:tc>
      </w:tr>
      <w:tr w14:paraId="5161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820" w:type="dxa"/>
            <w:gridSpan w:val="4"/>
            <w:noWrap w:val="0"/>
            <w:vAlign w:val="center"/>
          </w:tcPr>
          <w:p w14:paraId="3049D69F">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属于中小企业评标优惠内容及价格扣除幅度，本项目的价格扣除为</w:t>
            </w:r>
            <w:r>
              <w:rPr>
                <w:rFonts w:hint="eastAsia" w:ascii="仿宋" w:hAnsi="仿宋" w:eastAsia="仿宋" w:cs="仿宋"/>
                <w:color w:val="auto"/>
                <w:spacing w:val="-1"/>
                <w:sz w:val="24"/>
                <w:szCs w:val="24"/>
                <w:highlight w:val="none"/>
                <w:lang w:val="en-US" w:eastAsia="zh-CN"/>
              </w:rPr>
              <w:t>10</w:t>
            </w:r>
            <w:r>
              <w:rPr>
                <w:rFonts w:hint="eastAsia" w:ascii="仿宋" w:hAnsi="仿宋" w:eastAsia="仿宋" w:cs="仿宋"/>
                <w:color w:val="auto"/>
                <w:spacing w:val="-1"/>
                <w:sz w:val="24"/>
                <w:szCs w:val="24"/>
                <w:highlight w:val="none"/>
              </w:rPr>
              <w:t>%</w:t>
            </w:r>
          </w:p>
          <w:p w14:paraId="0ACCD737">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根据中华人民共和国财政部、中华人民共和国工业和信息化部《政府采购促进中小企业发展管理办法》（财库〔2020〕46号）文件的规定，属于中小企业评标优惠内容及幅度如下：</w:t>
            </w:r>
          </w:p>
          <w:p w14:paraId="0492ABAC">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（一）中小企业（含中型、小型、微型企业）应当同时符合以下条件：</w:t>
            </w:r>
          </w:p>
          <w:p w14:paraId="1DAB652F">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 xml:space="preserve">    ①符合中小企业划分标准(按《关于印发中小企业划型标准规定的通知》（工信部联企业[2011]300号））执行）；</w:t>
            </w:r>
          </w:p>
          <w:p w14:paraId="75E0EDAD">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 xml:space="preserve">    ②提供本企业制造的货物、承担的项目或者服务，或者提供其他中小企业制造的货物。本项所称货物不包括使用大型企业注册商标的货物；</w:t>
            </w:r>
          </w:p>
          <w:p w14:paraId="5E234C48">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 xml:space="preserve">    ③小型、微型企业提供中型企业制造的货物的，视同为中型企业。</w:t>
            </w:r>
          </w:p>
          <w:p w14:paraId="10BD7811">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（二）价格扣除办法：</w:t>
            </w:r>
          </w:p>
          <w:p w14:paraId="5F008C3F">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①对于非专门面向中小企业的项目，对小型和微型企业（或联合体各方均为小型、微型企业的）产品的价格给予</w:t>
            </w:r>
            <w:r>
              <w:rPr>
                <w:rFonts w:hint="eastAsia" w:ascii="仿宋" w:hAnsi="仿宋" w:eastAsia="仿宋" w:cs="仿宋"/>
                <w:color w:val="auto"/>
                <w:spacing w:val="-1"/>
                <w:sz w:val="24"/>
                <w:szCs w:val="24"/>
                <w:highlight w:val="none"/>
                <w:lang w:val="en-US" w:eastAsia="zh-CN"/>
              </w:rPr>
              <w:t>10</w:t>
            </w:r>
            <w:r>
              <w:rPr>
                <w:rFonts w:hint="eastAsia" w:ascii="仿宋" w:hAnsi="仿宋" w:eastAsia="仿宋" w:cs="仿宋"/>
                <w:color w:val="auto"/>
                <w:spacing w:val="-1"/>
                <w:sz w:val="24"/>
                <w:szCs w:val="24"/>
                <w:highlight w:val="none"/>
              </w:rPr>
              <w:t>%的扣除，用扣除后的价格参与价格分的评标。</w:t>
            </w:r>
          </w:p>
          <w:p w14:paraId="0EBE495B">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 xml:space="preserve">②大中型企业和其他自然人、法人或者其他组织与小型、微型企业组成联合体，联合体协议中约定，小型、微型企业的协议合同金额占到联合体协议合同总金额30%以上的，可给予联合体2%的价格扣除。联合体各方均为小型、微型企业的，联合体视同为小型、微型企业享受扶持政策。组成联合体的大中型企业和其他自然人、法人或者其他组织，与小型、微型企业之间不得存在投资关系，并附协议书。  </w:t>
            </w:r>
          </w:p>
          <w:p w14:paraId="6C8412E6">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（三）小型和微型企业适用价格扣除办法时应提供的相关资料：</w:t>
            </w:r>
          </w:p>
          <w:p w14:paraId="617D0449">
            <w:pPr>
              <w:snapToGrid w:val="0"/>
              <w:spacing w:line="360" w:lineRule="exact"/>
              <w:ind w:left="0" w:leftChars="0" w:firstLine="476"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 xml:space="preserve">    ①《中小企业声明函》；</w:t>
            </w:r>
          </w:p>
        </w:tc>
      </w:tr>
    </w:tbl>
    <w:p w14:paraId="16D1E0A5">
      <w:pPr>
        <w:pStyle w:val="11"/>
        <w:ind w:left="0" w:leftChars="0" w:firstLine="0" w:firstLineChars="0"/>
        <w:rPr>
          <w:rFonts w:hint="eastAsia" w:ascii="仿宋" w:hAnsi="仿宋" w:eastAsia="仿宋" w:cs="仿宋"/>
          <w:color w:val="auto"/>
        </w:rPr>
      </w:pPr>
    </w:p>
    <w:p w14:paraId="1DE40112">
      <w:pPr>
        <w:pageBreakBefore w:val="0"/>
        <w:widowControl w:val="0"/>
        <w:numPr>
          <w:ilvl w:val="0"/>
          <w:numId w:val="1"/>
        </w:numPr>
        <w:kinsoku/>
        <w:wordWrap/>
        <w:overflowPunct/>
        <w:topLinePunct w:val="0"/>
        <w:autoSpaceDE/>
        <w:autoSpaceDN/>
        <w:bidi w:val="0"/>
        <w:adjustRightInd w:val="0"/>
        <w:snapToGrid w:val="0"/>
        <w:spacing w:line="500" w:lineRule="exact"/>
        <w:ind w:firstLine="240" w:firstLineChars="100"/>
        <w:textAlignment w:val="auto"/>
        <w:rPr>
          <w:rFonts w:hint="eastAsia" w:ascii="仿宋" w:hAnsi="仿宋" w:eastAsia="仿宋" w:cs="仿宋"/>
          <w:color w:val="auto"/>
        </w:rPr>
      </w:pPr>
      <w:r>
        <w:rPr>
          <w:rFonts w:hint="eastAsia" w:ascii="仿宋" w:hAnsi="仿宋" w:eastAsia="仿宋" w:cs="仿宋"/>
          <w:color w:val="auto"/>
          <w:kern w:val="2"/>
          <w:sz w:val="24"/>
          <w:szCs w:val="24"/>
        </w:rPr>
        <w:t>商务</w:t>
      </w:r>
      <w:r>
        <w:rPr>
          <w:rFonts w:hint="eastAsia" w:ascii="仿宋" w:hAnsi="仿宋" w:eastAsia="仿宋" w:cs="仿宋"/>
          <w:color w:val="auto"/>
          <w:kern w:val="2"/>
          <w:sz w:val="24"/>
          <w:szCs w:val="24"/>
          <w:lang w:eastAsia="zh-CN"/>
        </w:rPr>
        <w:t>、技术</w:t>
      </w:r>
      <w:r>
        <w:rPr>
          <w:rFonts w:hint="eastAsia" w:ascii="仿宋" w:hAnsi="仿宋" w:eastAsia="仿宋" w:cs="仿宋"/>
          <w:color w:val="auto"/>
          <w:kern w:val="2"/>
          <w:sz w:val="24"/>
          <w:szCs w:val="24"/>
        </w:rPr>
        <w:t>具体评分分值如下</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80分</w:t>
      </w:r>
      <w:r>
        <w:rPr>
          <w:rFonts w:hint="eastAsia" w:ascii="仿宋" w:hAnsi="仿宋" w:eastAsia="仿宋" w:cs="仿宋"/>
          <w:color w:val="auto"/>
          <w:kern w:val="2"/>
          <w:sz w:val="24"/>
          <w:szCs w:val="24"/>
          <w:lang w:eastAsia="zh-CN"/>
        </w:rPr>
        <w:t>）：</w:t>
      </w:r>
    </w:p>
    <w:tbl>
      <w:tblPr>
        <w:tblStyle w:val="26"/>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085"/>
        <w:gridCol w:w="727"/>
        <w:gridCol w:w="6419"/>
      </w:tblGrid>
      <w:tr w14:paraId="04FA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0" w:type="pct"/>
            <w:gridSpan w:val="2"/>
            <w:tcBorders>
              <w:tl2br w:val="nil"/>
              <w:tr2bl w:val="nil"/>
            </w:tcBorders>
            <w:noWrap w:val="0"/>
            <w:vAlign w:val="center"/>
          </w:tcPr>
          <w:p w14:paraId="50E01C86">
            <w:pPr>
              <w:pStyle w:val="85"/>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评审因素</w:t>
            </w:r>
          </w:p>
        </w:tc>
        <w:tc>
          <w:tcPr>
            <w:tcW w:w="405" w:type="pct"/>
            <w:tcBorders>
              <w:tl2br w:val="nil"/>
              <w:tr2bl w:val="nil"/>
            </w:tcBorders>
            <w:noWrap w:val="0"/>
            <w:vAlign w:val="center"/>
          </w:tcPr>
          <w:p w14:paraId="3C0BB0F9">
            <w:pPr>
              <w:pStyle w:val="85"/>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分值</w:t>
            </w:r>
          </w:p>
        </w:tc>
        <w:tc>
          <w:tcPr>
            <w:tcW w:w="3574" w:type="pct"/>
            <w:tcBorders>
              <w:tl2br w:val="nil"/>
              <w:tr2bl w:val="nil"/>
            </w:tcBorders>
            <w:noWrap w:val="0"/>
            <w:vAlign w:val="center"/>
          </w:tcPr>
          <w:p w14:paraId="064EF02B">
            <w:pPr>
              <w:pStyle w:val="85"/>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评分标准</w:t>
            </w:r>
          </w:p>
        </w:tc>
      </w:tr>
      <w:tr w14:paraId="1D20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6" w:type="pct"/>
            <w:vMerge w:val="restart"/>
            <w:tcBorders>
              <w:tl2br w:val="nil"/>
              <w:tr2bl w:val="nil"/>
            </w:tcBorders>
            <w:noWrap w:val="0"/>
            <w:vAlign w:val="center"/>
          </w:tcPr>
          <w:p w14:paraId="286A6217">
            <w:pPr>
              <w:pStyle w:val="85"/>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商务部分</w:t>
            </w:r>
          </w:p>
          <w:p w14:paraId="1E8A5A88">
            <w:pPr>
              <w:pStyle w:val="85"/>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32</w:t>
            </w:r>
            <w:r>
              <w:rPr>
                <w:rFonts w:hint="eastAsia" w:ascii="仿宋" w:hAnsi="仿宋" w:eastAsia="仿宋" w:cs="仿宋"/>
                <w:b w:val="0"/>
                <w:bCs w:val="0"/>
                <w:color w:val="000000" w:themeColor="text1"/>
                <w:sz w:val="24"/>
                <w:szCs w:val="24"/>
                <w14:textFill>
                  <w14:solidFill>
                    <w14:schemeClr w14:val="tx1"/>
                  </w14:solidFill>
                </w14:textFill>
              </w:rPr>
              <w:t>分）</w:t>
            </w:r>
          </w:p>
        </w:tc>
        <w:tc>
          <w:tcPr>
            <w:tcW w:w="603" w:type="pct"/>
            <w:tcBorders>
              <w:tl2br w:val="nil"/>
              <w:tr2bl w:val="nil"/>
            </w:tcBorders>
            <w:noWrap w:val="0"/>
            <w:vAlign w:val="center"/>
          </w:tcPr>
          <w:p w14:paraId="3D44D301">
            <w:pPr>
              <w:pStyle w:val="85"/>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企业</w:t>
            </w:r>
            <w:r>
              <w:rPr>
                <w:rFonts w:hint="eastAsia" w:ascii="仿宋" w:hAnsi="仿宋" w:eastAsia="仿宋" w:cs="仿宋"/>
                <w:b w:val="0"/>
                <w:bCs w:val="0"/>
                <w:color w:val="000000" w:themeColor="text1"/>
                <w:sz w:val="24"/>
                <w:szCs w:val="24"/>
                <w14:textFill>
                  <w14:solidFill>
                    <w14:schemeClr w14:val="tx1"/>
                  </w14:solidFill>
                </w14:textFill>
              </w:rPr>
              <w:t>类似业绩</w:t>
            </w:r>
          </w:p>
        </w:tc>
        <w:tc>
          <w:tcPr>
            <w:tcW w:w="405" w:type="pct"/>
            <w:tcBorders>
              <w:tl2br w:val="nil"/>
              <w:tr2bl w:val="nil"/>
            </w:tcBorders>
            <w:noWrap w:val="0"/>
            <w:vAlign w:val="center"/>
          </w:tcPr>
          <w:p w14:paraId="590D6F62">
            <w:pPr>
              <w:pStyle w:val="85"/>
              <w:ind w:firstLine="0" w:firstLineChars="0"/>
              <w:rPr>
                <w:rFonts w:hint="default"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10</w:t>
            </w:r>
          </w:p>
        </w:tc>
        <w:tc>
          <w:tcPr>
            <w:tcW w:w="3574" w:type="pct"/>
            <w:tcBorders>
              <w:tl2br w:val="nil"/>
              <w:tr2bl w:val="nil"/>
            </w:tcBorders>
            <w:noWrap w:val="0"/>
            <w:vAlign w:val="center"/>
          </w:tcPr>
          <w:p w14:paraId="6CBD7B47">
            <w:pPr>
              <w:pStyle w:val="85"/>
              <w:ind w:firstLine="0" w:firstLineChars="0"/>
              <w:jc w:val="left"/>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供应商近五年（2020年05月-2025年05月）完成过类似项目，每提供一项有效业绩得2分，最高得10分（提供合同复印件或中标(成交)通知书，否则不予认可）。</w:t>
            </w:r>
          </w:p>
          <w:p w14:paraId="2075DB97">
            <w:pPr>
              <w:pStyle w:val="85"/>
              <w:ind w:firstLine="0" w:firstLineChars="0"/>
              <w:jc w:val="left"/>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(注：①以上要求资料提供中标(成交)通知书或合同关键页（含项目内容、签约日期、盖章页），②复印件须加盖投标人公章,不清晰或未提供不得分，③</w:t>
            </w:r>
            <w:bookmarkStart w:id="243" w:name="_GoBack"/>
            <w:bookmarkEnd w:id="243"/>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类似业绩是国土调查、统一确权登记、自然资源确权等类似）。</w:t>
            </w:r>
          </w:p>
        </w:tc>
      </w:tr>
      <w:tr w14:paraId="7C72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6" w:type="pct"/>
            <w:vMerge w:val="continue"/>
            <w:tcBorders>
              <w:tl2br w:val="nil"/>
              <w:tr2bl w:val="nil"/>
            </w:tcBorders>
            <w:noWrap w:val="0"/>
            <w:vAlign w:val="center"/>
          </w:tcPr>
          <w:p w14:paraId="737F3E5E">
            <w:pPr>
              <w:pStyle w:val="85"/>
              <w:rPr>
                <w:rFonts w:hint="eastAsia" w:ascii="仿宋" w:hAnsi="仿宋" w:eastAsia="仿宋" w:cs="仿宋"/>
                <w:b w:val="0"/>
                <w:bCs w:val="0"/>
                <w:color w:val="000000" w:themeColor="text1"/>
                <w:sz w:val="24"/>
                <w:szCs w:val="24"/>
                <w14:textFill>
                  <w14:solidFill>
                    <w14:schemeClr w14:val="tx1"/>
                  </w14:solidFill>
                </w14:textFill>
              </w:rPr>
            </w:pPr>
          </w:p>
        </w:tc>
        <w:tc>
          <w:tcPr>
            <w:tcW w:w="603" w:type="pct"/>
            <w:tcBorders>
              <w:tl2br w:val="nil"/>
              <w:tr2bl w:val="nil"/>
            </w:tcBorders>
            <w:noWrap w:val="0"/>
            <w:vAlign w:val="center"/>
          </w:tcPr>
          <w:p w14:paraId="0548BD96">
            <w:pPr>
              <w:pStyle w:val="85"/>
              <w:ind w:firstLine="0" w:firstLineChars="0"/>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项目负责人及其类似业绩</w:t>
            </w:r>
          </w:p>
        </w:tc>
        <w:tc>
          <w:tcPr>
            <w:tcW w:w="405" w:type="pct"/>
            <w:tcBorders>
              <w:tl2br w:val="nil"/>
              <w:tr2bl w:val="nil"/>
            </w:tcBorders>
            <w:noWrap w:val="0"/>
            <w:vAlign w:val="center"/>
          </w:tcPr>
          <w:p w14:paraId="5D32DA3E">
            <w:pPr>
              <w:pStyle w:val="85"/>
              <w:ind w:firstLine="0" w:firstLineChars="0"/>
              <w:rPr>
                <w:rFonts w:hint="default"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8</w:t>
            </w:r>
          </w:p>
        </w:tc>
        <w:tc>
          <w:tcPr>
            <w:tcW w:w="3574" w:type="pct"/>
            <w:tcBorders>
              <w:tl2br w:val="nil"/>
              <w:tr2bl w:val="nil"/>
            </w:tcBorders>
            <w:noWrap w:val="0"/>
            <w:vAlign w:val="center"/>
          </w:tcPr>
          <w:p w14:paraId="18F0BA86">
            <w:pPr>
              <w:pStyle w:val="85"/>
              <w:ind w:firstLine="0" w:firstLineChars="0"/>
              <w:jc w:val="left"/>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项目负责人任职资格具备测绘专业或土地规划专业职称，属中级职称的得2分，属高级职称的得4分（提供证书等证明资料）。</w:t>
            </w:r>
          </w:p>
          <w:p w14:paraId="43538A92">
            <w:pPr>
              <w:pStyle w:val="85"/>
              <w:ind w:firstLine="0" w:firstLineChars="0"/>
              <w:jc w:val="left"/>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项目负责人的类似业绩，提供合同或中标(成交)通知书。提供一项得2分，以此类推，最高分4分。</w:t>
            </w:r>
          </w:p>
          <w:p w14:paraId="4F038B4E">
            <w:pPr>
              <w:pStyle w:val="85"/>
              <w:ind w:firstLine="0" w:firstLineChars="0"/>
              <w:jc w:val="left"/>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(注：①以上要求资料提供中标通知书或合同关键页（含项目内容、签约日期、盖章页、需体现项目负责人），②复印件须加盖投标人公章,不清晰或未提供不得分。）</w:t>
            </w:r>
          </w:p>
        </w:tc>
      </w:tr>
      <w:tr w14:paraId="19D5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6" w:type="pct"/>
            <w:vMerge w:val="continue"/>
            <w:tcBorders>
              <w:tl2br w:val="nil"/>
              <w:tr2bl w:val="nil"/>
            </w:tcBorders>
            <w:noWrap w:val="0"/>
            <w:vAlign w:val="center"/>
          </w:tcPr>
          <w:p w14:paraId="02105FC6">
            <w:pPr>
              <w:pStyle w:val="85"/>
              <w:rPr>
                <w:rFonts w:hint="eastAsia" w:ascii="仿宋" w:hAnsi="仿宋" w:eastAsia="仿宋" w:cs="仿宋"/>
                <w:b w:val="0"/>
                <w:bCs w:val="0"/>
                <w:color w:val="000000" w:themeColor="text1"/>
                <w:sz w:val="24"/>
                <w:szCs w:val="24"/>
                <w14:textFill>
                  <w14:solidFill>
                    <w14:schemeClr w14:val="tx1"/>
                  </w14:solidFill>
                </w14:textFill>
              </w:rPr>
            </w:pPr>
          </w:p>
        </w:tc>
        <w:tc>
          <w:tcPr>
            <w:tcW w:w="603" w:type="pct"/>
            <w:tcBorders>
              <w:tl2br w:val="nil"/>
              <w:tr2bl w:val="nil"/>
            </w:tcBorders>
            <w:noWrap w:val="0"/>
            <w:vAlign w:val="center"/>
          </w:tcPr>
          <w:p w14:paraId="626971CB">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人员水平</w:t>
            </w:r>
          </w:p>
        </w:tc>
        <w:tc>
          <w:tcPr>
            <w:tcW w:w="405" w:type="pct"/>
            <w:tcBorders>
              <w:tl2br w:val="nil"/>
              <w:tr2bl w:val="nil"/>
            </w:tcBorders>
            <w:noWrap w:val="0"/>
            <w:vAlign w:val="center"/>
          </w:tcPr>
          <w:p w14:paraId="4066EF07">
            <w:pPr>
              <w:pStyle w:val="85"/>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c>
          <w:tcPr>
            <w:tcW w:w="3574" w:type="pct"/>
            <w:tcBorders>
              <w:tl2br w:val="nil"/>
              <w:tr2bl w:val="nil"/>
            </w:tcBorders>
            <w:noWrap w:val="0"/>
            <w:vAlign w:val="center"/>
          </w:tcPr>
          <w:p w14:paraId="6DD7B95B">
            <w:pPr>
              <w:pStyle w:val="85"/>
              <w:numPr>
                <w:ilvl w:val="0"/>
                <w:numId w:val="0"/>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1.技术人员具备测绘中级或土地规划中级职称1-5人（含）得2分，6-10人（含）得4分；</w:t>
            </w:r>
          </w:p>
          <w:p w14:paraId="5A234A53">
            <w:pPr>
              <w:pStyle w:val="85"/>
              <w:numPr>
                <w:ilvl w:val="0"/>
                <w:numId w:val="0"/>
              </w:numPr>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2.具备高级职称2人得3分，2人以上得6分。本项最高得10分。</w:t>
            </w:r>
          </w:p>
        </w:tc>
      </w:tr>
      <w:tr w14:paraId="5A96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6" w:type="pct"/>
            <w:vMerge w:val="continue"/>
            <w:tcBorders>
              <w:tl2br w:val="nil"/>
              <w:tr2bl w:val="nil"/>
            </w:tcBorders>
            <w:noWrap w:val="0"/>
            <w:vAlign w:val="center"/>
          </w:tcPr>
          <w:p w14:paraId="38022AB2">
            <w:pPr>
              <w:pStyle w:val="85"/>
              <w:rPr>
                <w:rFonts w:hint="eastAsia" w:ascii="仿宋" w:hAnsi="仿宋" w:eastAsia="仿宋" w:cs="仿宋"/>
                <w:b w:val="0"/>
                <w:bCs w:val="0"/>
                <w:color w:val="000000" w:themeColor="text1"/>
                <w:sz w:val="24"/>
                <w:szCs w:val="24"/>
                <w14:textFill>
                  <w14:solidFill>
                    <w14:schemeClr w14:val="tx1"/>
                  </w14:solidFill>
                </w14:textFill>
              </w:rPr>
            </w:pPr>
          </w:p>
        </w:tc>
        <w:tc>
          <w:tcPr>
            <w:tcW w:w="603" w:type="pct"/>
            <w:tcBorders>
              <w:tl2br w:val="nil"/>
              <w:tr2bl w:val="nil"/>
            </w:tcBorders>
            <w:noWrap w:val="0"/>
            <w:vAlign w:val="center"/>
          </w:tcPr>
          <w:p w14:paraId="620D1F7B">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涉密保障</w:t>
            </w:r>
          </w:p>
        </w:tc>
        <w:tc>
          <w:tcPr>
            <w:tcW w:w="405" w:type="pct"/>
            <w:tcBorders>
              <w:tl2br w:val="nil"/>
              <w:tr2bl w:val="nil"/>
            </w:tcBorders>
            <w:noWrap w:val="0"/>
            <w:vAlign w:val="center"/>
          </w:tcPr>
          <w:p w14:paraId="5B1A930F">
            <w:pPr>
              <w:pStyle w:val="85"/>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p>
        </w:tc>
        <w:tc>
          <w:tcPr>
            <w:tcW w:w="3574" w:type="pct"/>
            <w:tcBorders>
              <w:tl2br w:val="nil"/>
              <w:tr2bl w:val="nil"/>
            </w:tcBorders>
            <w:noWrap w:val="0"/>
            <w:vAlign w:val="center"/>
          </w:tcPr>
          <w:p w14:paraId="17BEA662">
            <w:pPr>
              <w:pStyle w:val="85"/>
              <w:numPr>
                <w:ilvl w:val="0"/>
                <w:numId w:val="0"/>
              </w:numPr>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取得涉密人员岗位培训证书的，每有一人得1分，最高得4分（提供证书）。</w:t>
            </w:r>
          </w:p>
        </w:tc>
      </w:tr>
      <w:tr w14:paraId="6438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6" w:type="pct"/>
            <w:vMerge w:val="restart"/>
            <w:tcBorders>
              <w:tl2br w:val="nil"/>
              <w:tr2bl w:val="nil"/>
            </w:tcBorders>
            <w:noWrap w:val="0"/>
            <w:vAlign w:val="center"/>
          </w:tcPr>
          <w:p w14:paraId="0CAB3FFC">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技术部分（</w:t>
            </w:r>
            <w:r>
              <w:rPr>
                <w:rFonts w:hint="eastAsia" w:ascii="仿宋" w:hAnsi="仿宋" w:eastAsia="仿宋" w:cs="仿宋"/>
                <w:b w:val="0"/>
                <w:bCs w:val="0"/>
                <w:color w:val="000000" w:themeColor="text1"/>
                <w:sz w:val="24"/>
                <w:szCs w:val="24"/>
                <w:lang w:val="en-US" w:eastAsia="zh-CN"/>
                <w14:textFill>
                  <w14:solidFill>
                    <w14:schemeClr w14:val="tx1"/>
                  </w14:solidFill>
                </w14:textFill>
              </w:rPr>
              <w:t>48</w:t>
            </w:r>
            <w:r>
              <w:rPr>
                <w:rFonts w:hint="eastAsia" w:ascii="仿宋" w:hAnsi="仿宋" w:eastAsia="仿宋" w:cs="仿宋"/>
                <w:b w:val="0"/>
                <w:bCs w:val="0"/>
                <w:color w:val="000000" w:themeColor="text1"/>
                <w:sz w:val="24"/>
                <w:szCs w:val="24"/>
                <w:lang w:eastAsia="zh-CN"/>
                <w14:textFill>
                  <w14:solidFill>
                    <w14:schemeClr w14:val="tx1"/>
                  </w14:solidFill>
                </w14:textFill>
              </w:rPr>
              <w:t>分）</w:t>
            </w:r>
          </w:p>
        </w:tc>
        <w:tc>
          <w:tcPr>
            <w:tcW w:w="603" w:type="pct"/>
            <w:tcBorders>
              <w:tl2br w:val="nil"/>
              <w:tr2bl w:val="nil"/>
            </w:tcBorders>
            <w:noWrap w:val="0"/>
            <w:vAlign w:val="center"/>
          </w:tcPr>
          <w:p w14:paraId="5FAA306B">
            <w:pPr>
              <w:pStyle w:val="85"/>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对本项目的认识和理解</w:t>
            </w:r>
          </w:p>
        </w:tc>
        <w:tc>
          <w:tcPr>
            <w:tcW w:w="405" w:type="pct"/>
            <w:tcBorders>
              <w:tl2br w:val="nil"/>
              <w:tr2bl w:val="nil"/>
            </w:tcBorders>
            <w:noWrap w:val="0"/>
            <w:vAlign w:val="center"/>
          </w:tcPr>
          <w:p w14:paraId="5F071114">
            <w:pPr>
              <w:pStyle w:val="85"/>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c>
          <w:tcPr>
            <w:tcW w:w="3574" w:type="pct"/>
            <w:tcBorders>
              <w:tl2br w:val="nil"/>
              <w:tr2bl w:val="nil"/>
            </w:tcBorders>
            <w:noWrap w:val="0"/>
            <w:vAlign w:val="center"/>
          </w:tcPr>
          <w:p w14:paraId="16E47A01">
            <w:pPr>
              <w:pStyle w:val="85"/>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对本项目理解非常透彻，有明确的认识以及清晰的解读且了解项目需要达到的最终效果得10分；</w:t>
            </w:r>
          </w:p>
          <w:p w14:paraId="17558177">
            <w:pPr>
              <w:pStyle w:val="85"/>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对本项目的理解比较透彻、有一定的认识以及解读，能了解项目需要达到的效果得7分；</w:t>
            </w:r>
          </w:p>
          <w:p w14:paraId="3B782367">
            <w:pPr>
              <w:pStyle w:val="85"/>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对本项目的理解有一定认识但不全面，解读不明确的得4分；</w:t>
            </w:r>
          </w:p>
          <w:p w14:paraId="60AE99F4">
            <w:pPr>
              <w:pStyle w:val="85"/>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对本项目的理解及解读的全面性差得1分；</w:t>
            </w:r>
          </w:p>
          <w:p w14:paraId="30BE4014">
            <w:pPr>
              <w:pStyle w:val="85"/>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未提供得 0 分。</w:t>
            </w:r>
          </w:p>
        </w:tc>
      </w:tr>
      <w:tr w14:paraId="38A5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6" w:type="pct"/>
            <w:vMerge w:val="continue"/>
            <w:tcBorders>
              <w:tl2br w:val="nil"/>
              <w:tr2bl w:val="nil"/>
            </w:tcBorders>
            <w:noWrap w:val="0"/>
            <w:vAlign w:val="center"/>
          </w:tcPr>
          <w:p w14:paraId="221137AB">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p>
        </w:tc>
        <w:tc>
          <w:tcPr>
            <w:tcW w:w="603" w:type="pct"/>
            <w:tcBorders>
              <w:tl2br w:val="nil"/>
              <w:tr2bl w:val="nil"/>
            </w:tcBorders>
            <w:noWrap w:val="0"/>
            <w:vAlign w:val="center"/>
          </w:tcPr>
          <w:p w14:paraId="7A673BE3">
            <w:pPr>
              <w:pStyle w:val="85"/>
              <w:ind w:firstLine="0" w:firstLineChars="0"/>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总体服务方案</w:t>
            </w:r>
          </w:p>
        </w:tc>
        <w:tc>
          <w:tcPr>
            <w:tcW w:w="405" w:type="pct"/>
            <w:tcBorders>
              <w:tl2br w:val="nil"/>
              <w:tr2bl w:val="nil"/>
            </w:tcBorders>
            <w:noWrap w:val="0"/>
            <w:vAlign w:val="center"/>
          </w:tcPr>
          <w:p w14:paraId="31086900">
            <w:pPr>
              <w:pStyle w:val="85"/>
              <w:ind w:firstLine="0" w:firstLineChars="0"/>
              <w:rPr>
                <w:rFonts w:hint="default"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18</w:t>
            </w:r>
          </w:p>
        </w:tc>
        <w:tc>
          <w:tcPr>
            <w:tcW w:w="3574" w:type="pct"/>
            <w:tcBorders>
              <w:tl2br w:val="nil"/>
              <w:tr2bl w:val="nil"/>
            </w:tcBorders>
            <w:noWrap w:val="0"/>
            <w:vAlign w:val="center"/>
          </w:tcPr>
          <w:p w14:paraId="76EF8C0D">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方案全面、合理、完善且针对性强，得18分；</w:t>
            </w:r>
          </w:p>
          <w:p w14:paraId="5AE2B6F2">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方案比较全面、合理、完善且有针对性，得13分；</w:t>
            </w:r>
          </w:p>
          <w:p w14:paraId="31C96AC1">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方案基本合理、完善且针对性较弱，得10分；</w:t>
            </w:r>
          </w:p>
          <w:p w14:paraId="456DDBA6">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方案不够合理、完善或没有针对性，得5分；</w:t>
            </w:r>
          </w:p>
          <w:p w14:paraId="31754053">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未提供得 0 分。</w:t>
            </w:r>
          </w:p>
        </w:tc>
      </w:tr>
      <w:tr w14:paraId="504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6" w:type="pct"/>
            <w:vMerge w:val="continue"/>
            <w:tcBorders>
              <w:tl2br w:val="nil"/>
              <w:tr2bl w:val="nil"/>
            </w:tcBorders>
            <w:noWrap w:val="0"/>
            <w:vAlign w:val="center"/>
          </w:tcPr>
          <w:p w14:paraId="46C48B21">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p>
        </w:tc>
        <w:tc>
          <w:tcPr>
            <w:tcW w:w="603" w:type="pct"/>
            <w:tcBorders>
              <w:tl2br w:val="nil"/>
              <w:tr2bl w:val="nil"/>
            </w:tcBorders>
            <w:noWrap w:val="0"/>
            <w:vAlign w:val="center"/>
          </w:tcPr>
          <w:p w14:paraId="30EACAB2">
            <w:pPr>
              <w:pStyle w:val="85"/>
              <w:ind w:firstLine="0" w:firstLineChars="0"/>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进度计划与保证措施</w:t>
            </w:r>
          </w:p>
        </w:tc>
        <w:tc>
          <w:tcPr>
            <w:tcW w:w="405" w:type="pct"/>
            <w:tcBorders>
              <w:tl2br w:val="nil"/>
              <w:tr2bl w:val="nil"/>
            </w:tcBorders>
            <w:noWrap w:val="0"/>
            <w:vAlign w:val="center"/>
          </w:tcPr>
          <w:p w14:paraId="0B479940">
            <w:pPr>
              <w:pStyle w:val="85"/>
              <w:ind w:firstLine="0" w:firstLineChars="0"/>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3574" w:type="pct"/>
            <w:tcBorders>
              <w:tl2br w:val="nil"/>
              <w:tr2bl w:val="nil"/>
            </w:tcBorders>
            <w:noWrap w:val="0"/>
            <w:vAlign w:val="center"/>
          </w:tcPr>
          <w:p w14:paraId="53849CA5">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进度安排，阶段分明、有条理，完全符合本项目要求得5分； </w:t>
            </w:r>
          </w:p>
          <w:p w14:paraId="4D2B1D29">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进度安排简单，基本符合本项目需求得3分；</w:t>
            </w:r>
          </w:p>
          <w:p w14:paraId="53049DA9">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进度安排有欠缺，不太满足本项目需求得1分；</w:t>
            </w:r>
          </w:p>
          <w:p w14:paraId="69F87DED">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未提供得0分。</w:t>
            </w:r>
          </w:p>
        </w:tc>
      </w:tr>
      <w:tr w14:paraId="26CB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6" w:type="pct"/>
            <w:vMerge w:val="continue"/>
            <w:tcBorders>
              <w:tl2br w:val="nil"/>
              <w:tr2bl w:val="nil"/>
            </w:tcBorders>
            <w:noWrap w:val="0"/>
            <w:vAlign w:val="center"/>
          </w:tcPr>
          <w:p w14:paraId="7205ADA0">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p>
        </w:tc>
        <w:tc>
          <w:tcPr>
            <w:tcW w:w="603" w:type="pct"/>
            <w:tcBorders>
              <w:tl2br w:val="nil"/>
              <w:tr2bl w:val="nil"/>
            </w:tcBorders>
            <w:noWrap w:val="0"/>
            <w:vAlign w:val="center"/>
          </w:tcPr>
          <w:p w14:paraId="3741B6EB">
            <w:pPr>
              <w:pStyle w:val="85"/>
              <w:ind w:firstLine="0" w:firstLineChars="0"/>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服务保证措施</w:t>
            </w:r>
          </w:p>
        </w:tc>
        <w:tc>
          <w:tcPr>
            <w:tcW w:w="405" w:type="pct"/>
            <w:tcBorders>
              <w:tl2br w:val="nil"/>
              <w:tr2bl w:val="nil"/>
            </w:tcBorders>
            <w:noWrap w:val="0"/>
            <w:vAlign w:val="center"/>
          </w:tcPr>
          <w:p w14:paraId="1ABC4BDF">
            <w:pPr>
              <w:pStyle w:val="85"/>
              <w:ind w:firstLine="0" w:firstLineChars="0"/>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3574" w:type="pct"/>
            <w:tcBorders>
              <w:tl2br w:val="nil"/>
              <w:tr2bl w:val="nil"/>
            </w:tcBorders>
            <w:noWrap w:val="0"/>
            <w:vAlign w:val="center"/>
          </w:tcPr>
          <w:p w14:paraId="4963F2EB">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服务保证措施计划明确、合理、计划可行性强，符合实际需求得5分；</w:t>
            </w:r>
          </w:p>
          <w:p w14:paraId="0F2BE8D1">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服务保证措施计划粗略但可行，符合实际需求得3分；</w:t>
            </w:r>
          </w:p>
          <w:p w14:paraId="529F1F99">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服务保证措施计划较比简单，可行性一般，基本符合需求得1分；</w:t>
            </w:r>
          </w:p>
          <w:p w14:paraId="03D46324">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未提供得0分。</w:t>
            </w:r>
          </w:p>
        </w:tc>
      </w:tr>
      <w:tr w14:paraId="6522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6" w:type="pct"/>
            <w:vMerge w:val="continue"/>
            <w:tcBorders>
              <w:tl2br w:val="nil"/>
              <w:tr2bl w:val="nil"/>
            </w:tcBorders>
            <w:noWrap w:val="0"/>
            <w:vAlign w:val="center"/>
          </w:tcPr>
          <w:p w14:paraId="0475DD67">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p>
        </w:tc>
        <w:tc>
          <w:tcPr>
            <w:tcW w:w="603" w:type="pct"/>
            <w:tcBorders>
              <w:tl2br w:val="nil"/>
              <w:tr2bl w:val="nil"/>
            </w:tcBorders>
            <w:noWrap w:val="0"/>
            <w:vAlign w:val="center"/>
          </w:tcPr>
          <w:p w14:paraId="11980F3B">
            <w:pPr>
              <w:pStyle w:val="85"/>
              <w:ind w:firstLine="0" w:firstLineChars="0"/>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质量保障</w:t>
            </w:r>
          </w:p>
        </w:tc>
        <w:tc>
          <w:tcPr>
            <w:tcW w:w="405" w:type="pct"/>
            <w:tcBorders>
              <w:tl2br w:val="nil"/>
              <w:tr2bl w:val="nil"/>
            </w:tcBorders>
            <w:noWrap w:val="0"/>
            <w:vAlign w:val="center"/>
          </w:tcPr>
          <w:p w14:paraId="28ADDB05">
            <w:pPr>
              <w:pStyle w:val="85"/>
              <w:ind w:firstLine="0" w:firstLineChars="0"/>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3574" w:type="pct"/>
            <w:tcBorders>
              <w:tl2br w:val="nil"/>
              <w:tr2bl w:val="nil"/>
            </w:tcBorders>
            <w:noWrap w:val="0"/>
            <w:vAlign w:val="center"/>
          </w:tcPr>
          <w:p w14:paraId="3CA8D0D9">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质量保障措施全面合理，完善且针对性强，得5分；</w:t>
            </w:r>
          </w:p>
          <w:p w14:paraId="3DF7B46D">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质量保障措施基本满足磋商文件要求得3分；</w:t>
            </w:r>
          </w:p>
          <w:p w14:paraId="6982F8B6">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质量保障措施欠缺得1分；</w:t>
            </w:r>
          </w:p>
          <w:p w14:paraId="4851ECEC">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无相关内容得 0 分。</w:t>
            </w:r>
          </w:p>
        </w:tc>
      </w:tr>
      <w:tr w14:paraId="7EE3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6" w:type="pct"/>
            <w:vMerge w:val="continue"/>
            <w:tcBorders>
              <w:tl2br w:val="nil"/>
              <w:tr2bl w:val="nil"/>
            </w:tcBorders>
            <w:noWrap w:val="0"/>
            <w:vAlign w:val="center"/>
          </w:tcPr>
          <w:p w14:paraId="059A59A0">
            <w:pPr>
              <w:pStyle w:val="85"/>
              <w:rPr>
                <w:rFonts w:hint="eastAsia" w:ascii="仿宋" w:hAnsi="仿宋" w:eastAsia="仿宋" w:cs="仿宋"/>
                <w:b w:val="0"/>
                <w:bCs w:val="0"/>
                <w:color w:val="000000" w:themeColor="text1"/>
                <w:sz w:val="24"/>
                <w:szCs w:val="24"/>
                <w:lang w:eastAsia="zh-CN"/>
                <w14:textFill>
                  <w14:solidFill>
                    <w14:schemeClr w14:val="tx1"/>
                  </w14:solidFill>
                </w14:textFill>
              </w:rPr>
            </w:pPr>
          </w:p>
        </w:tc>
        <w:tc>
          <w:tcPr>
            <w:tcW w:w="603" w:type="pct"/>
            <w:tcBorders>
              <w:tl2br w:val="nil"/>
              <w:tr2bl w:val="nil"/>
            </w:tcBorders>
            <w:noWrap w:val="0"/>
            <w:vAlign w:val="center"/>
          </w:tcPr>
          <w:p w14:paraId="782C8926">
            <w:pPr>
              <w:pStyle w:val="85"/>
              <w:ind w:firstLine="0" w:firstLineChars="0"/>
              <w:rPr>
                <w:rFonts w:hint="eastAsia" w:ascii="仿宋" w:hAnsi="仿宋" w:eastAsia="仿宋" w:cs="仿宋"/>
                <w:b w:val="0"/>
                <w:bCs w:val="0"/>
                <w:color w:val="000000" w:themeColor="text1"/>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SA"/>
                <w14:textFill>
                  <w14:solidFill>
                    <w14:schemeClr w14:val="tx1"/>
                  </w14:solidFill>
                </w14:textFill>
              </w:rPr>
              <w:t>保密措施</w:t>
            </w:r>
          </w:p>
        </w:tc>
        <w:tc>
          <w:tcPr>
            <w:tcW w:w="405" w:type="pct"/>
            <w:tcBorders>
              <w:tl2br w:val="nil"/>
              <w:tr2bl w:val="nil"/>
            </w:tcBorders>
            <w:noWrap w:val="0"/>
            <w:vAlign w:val="center"/>
          </w:tcPr>
          <w:p w14:paraId="7CDC76D8">
            <w:pPr>
              <w:pStyle w:val="85"/>
              <w:ind w:firstLine="0" w:firstLineChars="0"/>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3574" w:type="pct"/>
            <w:tcBorders>
              <w:tl2br w:val="nil"/>
              <w:tr2bl w:val="nil"/>
            </w:tcBorders>
            <w:noWrap w:val="0"/>
            <w:vAlign w:val="center"/>
          </w:tcPr>
          <w:p w14:paraId="589296D7">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保密保障措施全面合理，数据资料保密制度细致得5分；</w:t>
            </w:r>
          </w:p>
          <w:p w14:paraId="008EB5CF">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保密保障措施，数据资料保密制度基本满足磋商文件要求得3分；</w:t>
            </w:r>
          </w:p>
          <w:p w14:paraId="1BBF6A86">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保密保障措施，数据资料保密制度欠缺得1分；</w:t>
            </w:r>
          </w:p>
          <w:p w14:paraId="7AE80856">
            <w:pPr>
              <w:pStyle w:val="85"/>
              <w:ind w:firstLine="0" w:firstLineChars="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无相关内容得 0 分。</w:t>
            </w:r>
          </w:p>
        </w:tc>
      </w:tr>
    </w:tbl>
    <w:p w14:paraId="1E38627E">
      <w:pPr>
        <w:pStyle w:val="5"/>
        <w:bidi w:val="0"/>
        <w:rPr>
          <w:rFonts w:hint="eastAsia" w:ascii="仿宋" w:hAnsi="仿宋" w:eastAsia="仿宋" w:cs="仿宋"/>
          <w:color w:val="auto"/>
          <w:lang w:eastAsia="zh-CN"/>
        </w:rPr>
      </w:pPr>
      <w:r>
        <w:rPr>
          <w:rFonts w:hint="eastAsia" w:ascii="仿宋" w:hAnsi="仿宋" w:eastAsia="仿宋" w:cs="仿宋"/>
          <w:color w:val="auto"/>
        </w:rPr>
        <w:t>三</w:t>
      </w:r>
      <w:r>
        <w:rPr>
          <w:rFonts w:hint="eastAsia" w:ascii="仿宋" w:hAnsi="仿宋" w:eastAsia="仿宋" w:cs="仿宋"/>
          <w:color w:val="auto"/>
          <w:lang w:eastAsia="zh-CN"/>
        </w:rPr>
        <w:t>、确定</w:t>
      </w:r>
      <w:bookmarkEnd w:id="161"/>
      <w:bookmarkEnd w:id="162"/>
      <w:bookmarkEnd w:id="163"/>
      <w:bookmarkEnd w:id="164"/>
      <w:bookmarkEnd w:id="165"/>
      <w:bookmarkEnd w:id="166"/>
      <w:bookmarkEnd w:id="167"/>
      <w:bookmarkEnd w:id="168"/>
      <w:bookmarkEnd w:id="169"/>
      <w:r>
        <w:rPr>
          <w:rFonts w:hint="eastAsia" w:ascii="仿宋" w:hAnsi="仿宋" w:eastAsia="仿宋" w:cs="仿宋"/>
          <w:color w:val="auto"/>
          <w:lang w:eastAsia="zh-CN"/>
        </w:rPr>
        <w:t>中标单位</w:t>
      </w:r>
    </w:p>
    <w:p w14:paraId="725C376E">
      <w:pPr>
        <w:widowControl/>
        <w:adjustRightInd w:val="0"/>
        <w:snapToGrid w:val="0"/>
        <w:spacing w:line="360" w:lineRule="auto"/>
        <w:ind w:firstLine="480" w:firstLineChars="200"/>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rPr>
        <w:t>1.评标结果按评审后得分由高到低顺序排列。得分相同的，按投标报价由低到高顺序排列。得分且投标报价相同的并列（注：为扶持不发达地区和少数民族地区，得分且投标报价相同的，评标委员会优先推荐企业注册地在不发达地区和少数民族地区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满足</w:t>
      </w:r>
      <w:r>
        <w:rPr>
          <w:rFonts w:hint="eastAsia" w:ascii="仿宋" w:hAnsi="仿宋" w:eastAsia="仿宋" w:cs="仿宋"/>
          <w:bCs/>
          <w:color w:val="auto"/>
          <w:sz w:val="24"/>
          <w:szCs w:val="24"/>
          <w:highlight w:val="none"/>
          <w:lang w:eastAsia="zh-CN"/>
        </w:rPr>
        <w:t>磋商文件</w:t>
      </w:r>
      <w:r>
        <w:rPr>
          <w:rFonts w:hint="eastAsia" w:ascii="仿宋" w:hAnsi="仿宋" w:eastAsia="仿宋" w:cs="仿宋"/>
          <w:bCs/>
          <w:color w:val="auto"/>
          <w:sz w:val="24"/>
          <w:szCs w:val="24"/>
          <w:highlight w:val="none"/>
        </w:rPr>
        <w:t>全部实质性要求，且按照评审因素的量化指标评审得分最高的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为排名第一的中标候选人。</w:t>
      </w:r>
      <w:r>
        <w:rPr>
          <w:rFonts w:hint="eastAsia" w:ascii="仿宋" w:hAnsi="仿宋" w:eastAsia="仿宋" w:cs="仿宋"/>
          <w:b/>
          <w:bCs w:val="0"/>
          <w:color w:val="auto"/>
          <w:sz w:val="24"/>
          <w:szCs w:val="24"/>
          <w:highlight w:val="none"/>
        </w:rPr>
        <w:t>最低报价不是中标的保证。评标委员会根据得分排序推荐中标人。</w:t>
      </w:r>
    </w:p>
    <w:p w14:paraId="61EEA3D7">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2.评分计算方法解释</w:t>
      </w:r>
    </w:p>
    <w:p w14:paraId="2C3641B0">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的评审得分是指所有</w:t>
      </w:r>
      <w:r>
        <w:rPr>
          <w:rFonts w:hint="eastAsia" w:ascii="仿宋" w:hAnsi="仿宋" w:eastAsia="仿宋" w:cs="仿宋"/>
          <w:bCs/>
          <w:color w:val="auto"/>
          <w:sz w:val="24"/>
          <w:szCs w:val="24"/>
          <w:highlight w:val="none"/>
          <w:lang w:eastAsia="zh-CN"/>
        </w:rPr>
        <w:t>评标小组</w:t>
      </w:r>
      <w:r>
        <w:rPr>
          <w:rFonts w:hint="eastAsia" w:ascii="仿宋" w:hAnsi="仿宋" w:eastAsia="仿宋" w:cs="仿宋"/>
          <w:bCs/>
          <w:color w:val="auto"/>
          <w:sz w:val="24"/>
          <w:szCs w:val="24"/>
          <w:highlight w:val="none"/>
        </w:rPr>
        <w:t>成员对其评分的算术平均值。</w:t>
      </w:r>
    </w:p>
    <w:p w14:paraId="300BEFEB">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（2）计算过程中，算术平均值保留2位小数（百分比亦取2位小数），第三位小数四舍五入。</w:t>
      </w:r>
    </w:p>
    <w:p w14:paraId="6CCC243C">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70"/>
    <w:bookmarkEnd w:id="171"/>
    <w:bookmarkEnd w:id="172"/>
    <w:p w14:paraId="684F5325">
      <w:pPr>
        <w:pStyle w:val="4"/>
        <w:bidi w:val="0"/>
        <w:rPr>
          <w:rFonts w:hint="eastAsia" w:ascii="仿宋" w:hAnsi="仿宋" w:eastAsia="仿宋" w:cs="仿宋"/>
          <w:color w:val="000000" w:themeColor="text1"/>
          <w14:textFill>
            <w14:solidFill>
              <w14:schemeClr w14:val="tx1"/>
            </w14:solidFill>
          </w14:textFill>
        </w:rPr>
      </w:pPr>
      <w:bookmarkStart w:id="173" w:name="_Toc23154"/>
      <w:bookmarkStart w:id="174" w:name="_Toc27231"/>
      <w:r>
        <w:rPr>
          <w:rFonts w:hint="eastAsia" w:ascii="仿宋" w:hAnsi="仿宋" w:eastAsia="仿宋" w:cs="仿宋"/>
          <w:lang w:val="en-US" w:eastAsia="zh-CN"/>
        </w:rPr>
        <w:t xml:space="preserve">第四章 </w:t>
      </w:r>
      <w:bookmarkEnd w:id="173"/>
      <w:bookmarkEnd w:id="174"/>
      <w:bookmarkStart w:id="175" w:name="_Toc19167"/>
      <w:r>
        <w:rPr>
          <w:rFonts w:hint="eastAsia" w:ascii="仿宋" w:hAnsi="仿宋" w:eastAsia="仿宋" w:cs="仿宋"/>
          <w:color w:val="000000" w:themeColor="text1"/>
          <w:lang w:eastAsia="zh-CN"/>
          <w14:textFill>
            <w14:solidFill>
              <w14:schemeClr w14:val="tx1"/>
            </w14:solidFill>
          </w14:textFill>
        </w:rPr>
        <w:t>合</w:t>
      </w:r>
      <w:r>
        <w:rPr>
          <w:rFonts w:hint="eastAsia" w:ascii="仿宋" w:hAnsi="仿宋" w:eastAsia="仿宋" w:cs="仿宋"/>
          <w:color w:val="000000" w:themeColor="text1"/>
          <w14:textFill>
            <w14:solidFill>
              <w14:schemeClr w14:val="tx1"/>
            </w14:solidFill>
          </w14:textFill>
        </w:rPr>
        <w:t>同</w:t>
      </w:r>
      <w:r>
        <w:rPr>
          <w:rFonts w:hint="eastAsia" w:ascii="仿宋" w:hAnsi="仿宋" w:eastAsia="仿宋" w:cs="仿宋"/>
          <w:color w:val="000000" w:themeColor="text1"/>
          <w:lang w:eastAsia="zh-CN"/>
          <w14:textFill>
            <w14:solidFill>
              <w14:schemeClr w14:val="tx1"/>
            </w14:solidFill>
          </w14:textFill>
        </w:rPr>
        <w:t>部分</w:t>
      </w:r>
    </w:p>
    <w:p w14:paraId="2FB5F808">
      <w:pPr>
        <w:pStyle w:val="8"/>
        <w:pageBreakBefore w:val="0"/>
        <w:kinsoku/>
        <w:wordWrap/>
        <w:overflowPunct/>
        <w:topLinePunct w:val="0"/>
        <w:bidi w:val="0"/>
        <w:spacing w:before="0" w:line="360" w:lineRule="auto"/>
        <w:ind w:left="0"/>
        <w:jc w:val="center"/>
        <w:textAlignment w:val="auto"/>
        <w:outlineLvl w:val="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（此合同仅供参考，以实际签订为准）</w:t>
      </w:r>
    </w:p>
    <w:p w14:paraId="6A1E4EC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3F54372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合同登记编号：</w:t>
      </w:r>
    </w:p>
    <w:p w14:paraId="65EC3BF2">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1BC009E0">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3DB0B7F5">
      <w:pPr>
        <w:pageBreakBefore w:val="0"/>
        <w:kinsoku/>
        <w:wordWrap/>
        <w:overflowPunct/>
        <w:topLinePunct w:val="0"/>
        <w:bidi w:val="0"/>
        <w:spacing w:line="360" w:lineRule="auto"/>
        <w:ind w:left="0"/>
        <w:jc w:val="center"/>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技术服务合同</w:t>
      </w:r>
    </w:p>
    <w:p w14:paraId="727F9319">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5B51887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10BA1264">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37FCE32F">
      <w:pPr>
        <w:pStyle w:val="3"/>
        <w:rPr>
          <w:rFonts w:hint="eastAsia"/>
        </w:rPr>
      </w:pPr>
    </w:p>
    <w:p w14:paraId="53C76A75">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3D5DF880">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项目名称：</w:t>
      </w:r>
    </w:p>
    <w:p w14:paraId="5AEA890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55DA8336">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甲    方： </w:t>
      </w:r>
    </w:p>
    <w:p w14:paraId="6847135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05302845">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乙    方：                          </w:t>
      </w:r>
    </w:p>
    <w:p w14:paraId="68107686">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6CEEFD1D">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签订地点：  </w:t>
      </w:r>
    </w:p>
    <w:p w14:paraId="31ACDBDA">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12AD757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签订日期：    年   月   日</w:t>
      </w:r>
    </w:p>
    <w:p w14:paraId="6B6B3A13">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51E3F4B5">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2D2D9F4E">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br w:type="page"/>
      </w:r>
    </w:p>
    <w:p w14:paraId="598A7703">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甲方（       ）与乙方（        ），依据《中华人民共和国民法典》和《中华人民共和国土地管理法》之规定，合同双方就</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项目的技术服务，经协商一致，签订本合同，共同遵守。</w:t>
      </w:r>
    </w:p>
    <w:p w14:paraId="180D0EEF">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一、甲方委托乙方的主要项目内容：</w:t>
      </w:r>
    </w:p>
    <w:p w14:paraId="5A9C66DF">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1、受      委托，由               承担：    项目。</w:t>
      </w:r>
    </w:p>
    <w:p w14:paraId="3C84CD8D">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2、此项工作由乙方提供技术支持。</w:t>
      </w:r>
    </w:p>
    <w:p w14:paraId="6A8107FA">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二、项目的技术依据</w:t>
      </w:r>
    </w:p>
    <w:p w14:paraId="6CC5D53F">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1、法律法规：《中华人民共和国土地管理法》、国家有关土地资源利用，保护与管理的法律法规及地方法规。</w:t>
      </w:r>
    </w:p>
    <w:p w14:paraId="33EB012F">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2、国家政策：国家有关土地资源利用、保护与管理的政策文件。</w:t>
      </w:r>
    </w:p>
    <w:p w14:paraId="3DB867C3">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3、《关于开展自治区耕地后备资源调查评价工作的通知》（新自然资办函〔2021〕61号）。</w:t>
      </w:r>
    </w:p>
    <w:p w14:paraId="0094A413">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4、关于印发《自治区耕地后备资源调查评价技术方案》的通知（新自然资办函〔2021〕80号）。</w:t>
      </w:r>
    </w:p>
    <w:p w14:paraId="06AB134E">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三、乙方的工作内容</w:t>
      </w:r>
    </w:p>
    <w:p w14:paraId="1CF8279E">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4AFF1E12">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四、甲方的责任</w:t>
      </w:r>
    </w:p>
    <w:p w14:paraId="56790809">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1、甲方必须按工作进度、时间要求提供相关资料。</w:t>
      </w:r>
    </w:p>
    <w:p w14:paraId="7237C8C2">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2、做好领导机构成立、项目经费落实等工作。</w:t>
      </w:r>
    </w:p>
    <w:p w14:paraId="7B078FBE">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3、做好征求意见会、部门协调会、听证会等的组织工作。</w:t>
      </w:r>
    </w:p>
    <w:p w14:paraId="53BF99F0">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4、按工作进度要求，按时审核调查评价成果。</w:t>
      </w:r>
    </w:p>
    <w:p w14:paraId="3C9E3A9C">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五、技术情报和资料的保密</w:t>
      </w:r>
    </w:p>
    <w:p w14:paraId="6B5A3485">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保密。</w:t>
      </w:r>
    </w:p>
    <w:p w14:paraId="0009AA7C">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六、成果交付时间</w:t>
      </w:r>
    </w:p>
    <w:p w14:paraId="2911C756">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70A0DE40">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七、经费及拔付方式</w:t>
      </w:r>
    </w:p>
    <w:p w14:paraId="5C954457">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1、工作总经费：      元整（       元）。</w:t>
      </w:r>
    </w:p>
    <w:p w14:paraId="4D376837">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2、支付方式：一次性支付；</w:t>
      </w:r>
    </w:p>
    <w:p w14:paraId="1A8FA773">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乙方完成全部工作任务，提交成果通过甲方验收后，甲方向乙方支付全部合同金额，乙方应向甲方提供合规合法的发票。</w:t>
      </w:r>
    </w:p>
    <w:p w14:paraId="7813879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八、经济责任</w:t>
      </w:r>
    </w:p>
    <w:p w14:paraId="72AF553A">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1、乙方责任：项目因乙方原因造成成果质量问题，未通过专家验收或未按期提交成果资料，甲方有权拒绝支付服务费。给甲方造成损失的，乙方还应负责赔偿，甚至承担相应的法律责任。</w:t>
      </w:r>
    </w:p>
    <w:p w14:paraId="62A14BC0">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2、甲方责任：</w:t>
      </w:r>
    </w:p>
    <w:p w14:paraId="6B361EF9">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（1）甲方按工作进度要求的时间负责审核昌吉州耕地后备资源调查评价成果。</w:t>
      </w:r>
    </w:p>
    <w:p w14:paraId="219F0C19">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（2）因甲方的任何变更或未按期提交项目必需的参考资料、审核资料，影响项目进度及因提供参考资料的准确性而影响项目质量，因此造成的一切后果，由甲方单位自负。</w:t>
      </w:r>
    </w:p>
    <w:p w14:paraId="61E56A80">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九、成果资料</w:t>
      </w:r>
    </w:p>
    <w:p w14:paraId="679613DF">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1、调查评价分类型统计表</w:t>
      </w:r>
    </w:p>
    <w:p w14:paraId="558C7AD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2、调查评价分析报告</w:t>
      </w:r>
    </w:p>
    <w:p w14:paraId="246EA1AE">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十、争议的解决方法</w:t>
      </w:r>
    </w:p>
    <w:p w14:paraId="2157695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在合同履行过程中如双方发生争议，由双方协商解决，也可以请求上级自然资源部门进行调解。</w:t>
      </w:r>
    </w:p>
    <w:p w14:paraId="3BF116FE">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双方不愿协商、调解解决或协商、调解不成的，由甲方所在地人民法院诉讼解决。</w:t>
      </w:r>
    </w:p>
    <w:p w14:paraId="57D4B014">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十一、本合同自双方签字盖章后生效。</w:t>
      </w:r>
    </w:p>
    <w:p w14:paraId="72DC5BF1">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十二、本合同一式陆份，由甲、乙双方各执叁份。</w:t>
      </w:r>
    </w:p>
    <w:p w14:paraId="55542763">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0EECC0F4">
      <w:pPr>
        <w:pStyle w:val="3"/>
        <w:rPr>
          <w:rFonts w:hint="eastAsia"/>
        </w:rPr>
      </w:pPr>
    </w:p>
    <w:p w14:paraId="50421DB6">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甲方：（盖章）                 乙方：（盖章）</w:t>
      </w:r>
    </w:p>
    <w:p w14:paraId="7ACDC3B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法人代表：                     法人代表：</w:t>
      </w:r>
    </w:p>
    <w:p w14:paraId="1A8F63B9">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联 系 人：                     联 系 人：</w:t>
      </w:r>
    </w:p>
    <w:p w14:paraId="01AFC2A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联系电话：                     联系电话：</w:t>
      </w:r>
    </w:p>
    <w:p w14:paraId="23C9D8EC">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年  月    日                 年  月    日</w:t>
      </w:r>
    </w:p>
    <w:p w14:paraId="2C1FE7C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0F4AE9F6">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4208072E">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br w:type="page"/>
      </w:r>
    </w:p>
    <w:p w14:paraId="4A5F8D04">
      <w:pPr>
        <w:pageBreakBefore w:val="0"/>
        <w:kinsoku/>
        <w:wordWrap/>
        <w:overflowPunct/>
        <w:topLinePunct w:val="0"/>
        <w:bidi w:val="0"/>
        <w:spacing w:line="360" w:lineRule="auto"/>
        <w:ind w:left="0"/>
        <w:jc w:val="center"/>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保密协议</w:t>
      </w:r>
    </w:p>
    <w:p w14:paraId="327755A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60A1DDD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为进一步增强保密意识，落实保密责任，根据《关于加强新形势下保密工作的决定》《中华人民共和国保守国家秘密法》及有关规定，按照本保密协议的条件和规定，      （公司名称）承建的在对项目建设过程中所获悉的的信息履行保密义务。</w:t>
      </w:r>
    </w:p>
    <w:p w14:paraId="2E53114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一、保密内容</w:t>
      </w:r>
    </w:p>
    <w:p w14:paraId="32575E7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1.工程基本信息：包括项目名称、项目性质、项目用途、项目地址、建设规模、投资额度等；</w:t>
      </w:r>
    </w:p>
    <w:p w14:paraId="4390F2D1">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2.工程建设信息：</w:t>
      </w:r>
    </w:p>
    <w:p w14:paraId="6434C98F">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3.工程技术信息：</w:t>
      </w:r>
    </w:p>
    <w:p w14:paraId="1F280281">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4.工程经济信息：包括施工（购销）合同、价格、成本等。保密信息即包括书面认定为保密或专有的，又包括口头给予，随即被书面确认为保密或专有的。</w:t>
      </w:r>
    </w:p>
    <w:p w14:paraId="086FF896">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二、保密义务</w:t>
      </w:r>
    </w:p>
    <w:p w14:paraId="1EC6FB0C">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1.除按保密规定及你方要求采取相关措施外，要加强对人员的保密安全教育，确保秘密安全。</w:t>
      </w:r>
    </w:p>
    <w:p w14:paraId="1316471C">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对涉及本工程保密内容的各类文件、记录、资料等，将严格按照有关规定进行管理，严格控制知密范围，在履行服务义务中而知晓的所有你单位保密信息及内部其它信息严格保密，绝不以任何形式将该等信息泄露给任何第三方。</w:t>
      </w:r>
    </w:p>
    <w:p w14:paraId="2BC2F42E">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因建设主管部门需要审核或审查有关资料时，应征得业主单位同意，并在双方工作人员的监督下提交有关资料。提交资料时只提交需要审核或审查的部分，其它和审核或审查无关的信息不得透漏。建设主管部门审核或审查后，除需要存的部分资料其余应立即收回，妥善保管。</w:t>
      </w:r>
    </w:p>
    <w:p w14:paraId="6515B7F3">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4.对秘密载体、涉密管理单位进行定期检查，消除失泄密隐患。如发生泄密，及时报告业主单位，查明原因，采取补救措施。</w:t>
      </w:r>
    </w:p>
    <w:p w14:paraId="5254923B">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5、对施工过程中不得随意进行拍照，如需拍照留存的必须将图片、照片统一管理、封存。</w:t>
      </w:r>
    </w:p>
    <w:p w14:paraId="3FDF8AF7">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三、违约责任</w:t>
      </w:r>
    </w:p>
    <w:p w14:paraId="7DFFFCA1">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如违反本保密协议规定，因失密致使业主单位受损、造成社会影响或其它后果的，将按照国家有关法律法规承担相应法律责任。</w:t>
      </w:r>
    </w:p>
    <w:p w14:paraId="2BDEABEC">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0438EBD4">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p>
    <w:p w14:paraId="4DA7F0C8">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建设单位：（公章）             服务单位：（公章）</w:t>
      </w:r>
    </w:p>
    <w:p w14:paraId="547B56AD">
      <w:pPr>
        <w:pageBreakBefore w:val="0"/>
        <w:kinsoku/>
        <w:wordWrap/>
        <w:overflowPunct/>
        <w:topLinePunct w:val="0"/>
        <w:bidi w:val="0"/>
        <w:spacing w:line="360" w:lineRule="auto"/>
        <w:ind w:left="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项目负责人：                 项目负责人：</w:t>
      </w:r>
    </w:p>
    <w:p w14:paraId="03C289B4">
      <w:pPr>
        <w:keepNext w:val="0"/>
        <w:keepLines w:val="0"/>
        <w:pageBreakBefore w:val="0"/>
        <w:widowControl w:val="0"/>
        <w:kinsoku/>
        <w:wordWrap/>
        <w:overflowPunct/>
        <w:topLinePunct w:val="0"/>
        <w:autoSpaceDE/>
        <w:autoSpaceDN/>
        <w:bidi w:val="0"/>
        <w:adjustRightInd/>
        <w:snapToGrid/>
        <w:spacing w:line="360" w:lineRule="auto"/>
        <w:ind w:left="0"/>
        <w:rPr>
          <w:rFonts w:hint="eastAsia" w:ascii="仿宋" w:hAnsi="仿宋" w:eastAsia="仿宋" w:cs="仿宋"/>
          <w:color w:val="auto"/>
          <w:sz w:val="24"/>
          <w:szCs w:val="24"/>
        </w:rPr>
      </w:pPr>
      <w:r>
        <w:rPr>
          <w:rFonts w:hint="eastAsia" w:ascii="仿宋" w:hAnsi="仿宋" w:eastAsia="仿宋" w:cs="仿宋"/>
          <w:color w:val="000000" w:themeColor="text1"/>
          <w:sz w:val="22"/>
          <w:szCs w:val="22"/>
          <w14:textFill>
            <w14:solidFill>
              <w14:schemeClr w14:val="tx1"/>
            </w14:solidFill>
          </w14:textFill>
        </w:rPr>
        <w:t>年  月  日                  年  月  日</w:t>
      </w:r>
    </w:p>
    <w:p w14:paraId="5D1208FE">
      <w:pPr>
        <w:keepNext w:val="0"/>
        <w:keepLines w:val="0"/>
        <w:pageBreakBefore w:val="0"/>
        <w:widowControl w:val="0"/>
        <w:kinsoku/>
        <w:wordWrap w:val="0"/>
        <w:overflowPunct/>
        <w:topLinePunct w:val="0"/>
        <w:autoSpaceDE/>
        <w:autoSpaceDN/>
        <w:bidi w:val="0"/>
        <w:adjustRightInd/>
        <w:snapToGrid/>
        <w:spacing w:line="360" w:lineRule="auto"/>
        <w:ind w:left="0" w:firstLine="3868"/>
        <w:jc w:val="right"/>
        <w:textAlignment w:val="center"/>
        <w:rPr>
          <w:rFonts w:hint="eastAsia" w:ascii="仿宋" w:hAnsi="仿宋" w:eastAsia="仿宋" w:cs="仿宋"/>
          <w:lang w:val="en-US" w:eastAsia="zh-CN"/>
        </w:rPr>
      </w:pPr>
      <w:r>
        <w:rPr>
          <w:rFonts w:hint="eastAsia" w:ascii="仿宋" w:hAnsi="仿宋" w:eastAsia="仿宋" w:cs="仿宋"/>
          <w:color w:val="auto"/>
          <w:sz w:val="24"/>
          <w:szCs w:val="24"/>
          <w:lang w:val="en-US" w:eastAsia="zh-CN"/>
        </w:rPr>
        <w:t xml:space="preserve"> 年  月  日</w:t>
      </w:r>
    </w:p>
    <w:p w14:paraId="5261DC39">
      <w:pPr>
        <w:rPr>
          <w:rFonts w:hint="eastAsia" w:ascii="仿宋" w:hAnsi="仿宋" w:eastAsia="仿宋" w:cs="仿宋"/>
          <w:color w:val="auto"/>
          <w:sz w:val="36"/>
          <w:szCs w:val="48"/>
          <w:lang w:val="en-US" w:eastAsia="zh-CN"/>
        </w:rPr>
      </w:pPr>
      <w:r>
        <w:rPr>
          <w:rFonts w:hint="eastAsia" w:ascii="仿宋" w:hAnsi="仿宋" w:eastAsia="仿宋" w:cs="仿宋"/>
          <w:color w:val="auto"/>
          <w:sz w:val="36"/>
          <w:szCs w:val="48"/>
          <w:lang w:val="en-US" w:eastAsia="zh-CN"/>
        </w:rPr>
        <w:br w:type="page"/>
      </w:r>
    </w:p>
    <w:bookmarkEnd w:id="175"/>
    <w:p w14:paraId="7B5C92BE">
      <w:pPr>
        <w:ind w:left="0" w:leftChars="0" w:firstLine="0" w:firstLineChars="0"/>
        <w:rPr>
          <w:rFonts w:hint="eastAsia" w:ascii="仿宋" w:hAnsi="仿宋" w:eastAsia="仿宋" w:cs="仿宋"/>
          <w:color w:val="auto"/>
        </w:rPr>
        <w:sectPr>
          <w:footerReference r:id="rId9" w:type="default"/>
          <w:pgSz w:w="11906" w:h="16838"/>
          <w:pgMar w:top="1417" w:right="1417" w:bottom="1134" w:left="1417" w:header="851" w:footer="992" w:gutter="0"/>
          <w:pgNumType w:fmt="decimal"/>
          <w:cols w:space="720" w:num="1"/>
          <w:docGrid w:linePitch="312" w:charSpace="0"/>
        </w:sectPr>
      </w:pPr>
    </w:p>
    <w:bookmarkEnd w:id="90"/>
    <w:bookmarkEnd w:id="91"/>
    <w:bookmarkEnd w:id="92"/>
    <w:p w14:paraId="7C90E529">
      <w:pPr>
        <w:spacing w:line="197" w:lineRule="exact"/>
        <w:rPr>
          <w:rFonts w:hint="eastAsia" w:ascii="仿宋" w:hAnsi="仿宋" w:eastAsia="仿宋" w:cs="仿宋"/>
          <w:color w:val="auto"/>
        </w:rPr>
      </w:pPr>
    </w:p>
    <w:p w14:paraId="5641E368">
      <w:pPr>
        <w:pStyle w:val="4"/>
        <w:bidi w:val="0"/>
        <w:jc w:val="center"/>
        <w:rPr>
          <w:rFonts w:hint="eastAsia" w:ascii="仿宋" w:hAnsi="仿宋" w:eastAsia="仿宋" w:cs="仿宋"/>
          <w:color w:val="auto"/>
        </w:rPr>
      </w:pPr>
      <w:bookmarkStart w:id="176" w:name="_Toc27051"/>
      <w:bookmarkStart w:id="177" w:name="_Toc19109"/>
      <w:bookmarkStart w:id="178" w:name="_Toc17255"/>
      <w:bookmarkStart w:id="179" w:name="_Toc84017892"/>
      <w:bookmarkStart w:id="180" w:name="_Toc1993"/>
      <w:bookmarkStart w:id="181" w:name="_Toc29644"/>
      <w:bookmarkStart w:id="182" w:name="_Toc19428"/>
      <w:bookmarkStart w:id="183" w:name="_Toc6331"/>
      <w:bookmarkStart w:id="184" w:name="_Toc8124"/>
      <w:bookmarkStart w:id="185" w:name="_Toc1855"/>
      <w:bookmarkStart w:id="186" w:name="_Toc24586"/>
      <w:bookmarkStart w:id="187" w:name="_Toc10079"/>
      <w:bookmarkStart w:id="188" w:name="_Toc14799"/>
      <w:r>
        <w:rPr>
          <w:rFonts w:hint="eastAsia" w:ascii="仿宋" w:hAnsi="仿宋" w:eastAsia="仿宋" w:cs="仿宋"/>
          <w:color w:val="auto"/>
        </w:rPr>
        <w:t>第</w:t>
      </w:r>
      <w:r>
        <w:rPr>
          <w:rFonts w:hint="eastAsia" w:ascii="仿宋" w:hAnsi="仿宋" w:eastAsia="仿宋" w:cs="仿宋"/>
          <w:color w:val="auto"/>
          <w:lang w:eastAsia="zh-CN"/>
        </w:rPr>
        <w:t>五</w:t>
      </w:r>
      <w:r>
        <w:rPr>
          <w:rFonts w:hint="eastAsia" w:ascii="仿宋" w:hAnsi="仿宋" w:eastAsia="仿宋" w:cs="仿宋"/>
          <w:color w:val="auto"/>
        </w:rPr>
        <w:t xml:space="preserve">章 </w:t>
      </w:r>
      <w:r>
        <w:rPr>
          <w:rFonts w:hint="eastAsia" w:ascii="仿宋" w:hAnsi="仿宋" w:eastAsia="仿宋" w:cs="仿宋"/>
          <w:color w:val="auto"/>
          <w:lang w:val="en-US" w:eastAsia="zh-CN"/>
        </w:rPr>
        <w:t>响应文件</w:t>
      </w:r>
      <w:r>
        <w:rPr>
          <w:rFonts w:hint="eastAsia" w:ascii="仿宋" w:hAnsi="仿宋" w:eastAsia="仿宋" w:cs="仿宋"/>
          <w:color w:val="auto"/>
        </w:rPr>
        <w:t>格式</w:t>
      </w:r>
      <w:bookmarkEnd w:id="176"/>
      <w:bookmarkEnd w:id="177"/>
      <w:bookmarkEnd w:id="178"/>
      <w:bookmarkEnd w:id="179"/>
      <w:bookmarkEnd w:id="180"/>
      <w:bookmarkEnd w:id="181"/>
      <w:bookmarkEnd w:id="182"/>
      <w:bookmarkEnd w:id="183"/>
      <w:bookmarkEnd w:id="184"/>
      <w:bookmarkEnd w:id="185"/>
      <w:bookmarkEnd w:id="186"/>
      <w:bookmarkEnd w:id="187"/>
    </w:p>
    <w:p w14:paraId="3A98CA3C">
      <w:pPr>
        <w:spacing w:line="264" w:lineRule="auto"/>
        <w:ind w:firstLine="0" w:firstLineChars="0"/>
        <w:jc w:val="center"/>
        <w:rPr>
          <w:rFonts w:hint="eastAsia" w:ascii="仿宋" w:hAnsi="仿宋" w:eastAsia="仿宋" w:cs="仿宋"/>
          <w:color w:val="auto"/>
          <w:kern w:val="2"/>
          <w:sz w:val="22"/>
          <w:szCs w:val="22"/>
        </w:rPr>
      </w:pPr>
    </w:p>
    <w:p w14:paraId="62249C22">
      <w:pPr>
        <w:spacing w:line="264" w:lineRule="auto"/>
        <w:ind w:firstLine="0" w:firstLineChars="0"/>
        <w:jc w:val="center"/>
        <w:rPr>
          <w:rFonts w:hint="eastAsia" w:ascii="仿宋" w:hAnsi="仿宋" w:eastAsia="仿宋" w:cs="仿宋"/>
          <w:color w:val="auto"/>
          <w:kern w:val="2"/>
          <w:sz w:val="22"/>
          <w:szCs w:val="22"/>
        </w:rPr>
      </w:pPr>
    </w:p>
    <w:p w14:paraId="5EB24665">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7B2F9A6E">
      <w:pPr>
        <w:adjustRightInd w:val="0"/>
        <w:snapToGrid w:val="0"/>
        <w:spacing w:line="400" w:lineRule="exact"/>
        <w:ind w:firstLine="1980" w:firstLineChars="900"/>
        <w:rPr>
          <w:rFonts w:hint="eastAsia" w:ascii="仿宋" w:hAnsi="仿宋" w:eastAsia="仿宋" w:cs="仿宋"/>
          <w:color w:val="auto"/>
          <w:kern w:val="2"/>
          <w:sz w:val="22"/>
          <w:szCs w:val="22"/>
          <w:u w:val="single"/>
        </w:rPr>
      </w:pPr>
      <w:r>
        <w:rPr>
          <w:rFonts w:hint="eastAsia" w:ascii="仿宋" w:hAnsi="仿宋" w:eastAsia="仿宋" w:cs="仿宋"/>
          <w:color w:val="auto"/>
          <w:kern w:val="2"/>
          <w:sz w:val="22"/>
          <w:szCs w:val="22"/>
        </w:rPr>
        <w:t>项目名称：</w:t>
      </w:r>
      <w:r>
        <w:rPr>
          <w:rFonts w:hint="eastAsia" w:ascii="仿宋" w:hAnsi="仿宋" w:eastAsia="仿宋" w:cs="仿宋"/>
          <w:color w:val="auto"/>
          <w:kern w:val="2"/>
          <w:sz w:val="22"/>
          <w:szCs w:val="22"/>
          <w:u w:val="single"/>
        </w:rPr>
        <w:t xml:space="preserve">                                         </w:t>
      </w:r>
    </w:p>
    <w:p w14:paraId="02803B58">
      <w:pPr>
        <w:adjustRightInd w:val="0"/>
        <w:snapToGrid w:val="0"/>
        <w:spacing w:before="240" w:beforeLines="100" w:after="240" w:afterLines="100" w:line="400" w:lineRule="exact"/>
        <w:ind w:firstLine="1980" w:firstLineChars="900"/>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项目编号：</w:t>
      </w:r>
      <w:r>
        <w:rPr>
          <w:rFonts w:hint="eastAsia" w:ascii="仿宋" w:hAnsi="仿宋" w:eastAsia="仿宋" w:cs="仿宋"/>
          <w:color w:val="auto"/>
          <w:kern w:val="2"/>
          <w:sz w:val="22"/>
          <w:szCs w:val="22"/>
          <w:u w:val="single"/>
        </w:rPr>
        <w:t xml:space="preserve">                                          </w:t>
      </w:r>
    </w:p>
    <w:p w14:paraId="58A87B5D">
      <w:pPr>
        <w:adjustRightInd w:val="0"/>
        <w:snapToGrid w:val="0"/>
        <w:spacing w:line="400" w:lineRule="exact"/>
        <w:ind w:firstLine="0" w:firstLineChars="0"/>
        <w:jc w:val="center"/>
        <w:rPr>
          <w:rFonts w:hint="eastAsia" w:ascii="仿宋" w:hAnsi="仿宋" w:eastAsia="仿宋" w:cs="仿宋"/>
          <w:b/>
          <w:bCs/>
          <w:color w:val="auto"/>
          <w:kern w:val="2"/>
          <w:sz w:val="22"/>
          <w:szCs w:val="22"/>
        </w:rPr>
      </w:pPr>
    </w:p>
    <w:p w14:paraId="13477588">
      <w:pPr>
        <w:adjustRightInd w:val="0"/>
        <w:snapToGrid w:val="0"/>
        <w:spacing w:line="400" w:lineRule="exact"/>
        <w:ind w:firstLine="0" w:firstLineChars="0"/>
        <w:jc w:val="center"/>
        <w:rPr>
          <w:rFonts w:hint="eastAsia" w:ascii="仿宋" w:hAnsi="仿宋" w:eastAsia="仿宋" w:cs="仿宋"/>
          <w:b/>
          <w:bCs/>
          <w:color w:val="auto"/>
          <w:kern w:val="2"/>
          <w:sz w:val="22"/>
          <w:szCs w:val="22"/>
        </w:rPr>
      </w:pPr>
    </w:p>
    <w:p w14:paraId="753356A0">
      <w:pPr>
        <w:adjustRightInd w:val="0"/>
        <w:snapToGrid w:val="0"/>
        <w:spacing w:line="400" w:lineRule="exact"/>
        <w:ind w:firstLine="0" w:firstLineChars="0"/>
        <w:jc w:val="center"/>
        <w:rPr>
          <w:rFonts w:hint="eastAsia" w:ascii="仿宋" w:hAnsi="仿宋" w:eastAsia="仿宋" w:cs="仿宋"/>
          <w:b/>
          <w:bCs/>
          <w:color w:val="auto"/>
          <w:kern w:val="2"/>
          <w:sz w:val="22"/>
          <w:szCs w:val="22"/>
        </w:rPr>
      </w:pPr>
    </w:p>
    <w:p w14:paraId="4BD449E8">
      <w:pPr>
        <w:bidi w:val="0"/>
        <w:jc w:val="center"/>
        <w:rPr>
          <w:rFonts w:hint="eastAsia" w:ascii="仿宋" w:hAnsi="仿宋" w:eastAsia="仿宋" w:cs="仿宋"/>
        </w:rPr>
      </w:pPr>
      <w:r>
        <w:rPr>
          <w:rFonts w:hint="eastAsia" w:ascii="仿宋" w:hAnsi="仿宋" w:eastAsia="仿宋" w:cs="仿宋"/>
          <w:lang w:val="en-US" w:eastAsia="zh-CN"/>
        </w:rPr>
        <w:t>响应文件</w:t>
      </w:r>
    </w:p>
    <w:p w14:paraId="0A347A70">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2C3D997F">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779AA0DC">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3A8B9F90">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49DC9B9B">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37B9615C">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4F29E18A">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25E93A45">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13DD36CC">
      <w:pPr>
        <w:adjustRightInd w:val="0"/>
        <w:snapToGrid w:val="0"/>
        <w:spacing w:before="240" w:after="240" w:line="400" w:lineRule="exact"/>
        <w:ind w:firstLine="330" w:firstLineChars="15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投   标   人：</w:t>
      </w:r>
      <w:r>
        <w:rPr>
          <w:rFonts w:hint="eastAsia" w:ascii="仿宋" w:hAnsi="仿宋" w:eastAsia="仿宋" w:cs="仿宋"/>
          <w:color w:val="auto"/>
          <w:kern w:val="2"/>
          <w:sz w:val="22"/>
          <w:szCs w:val="22"/>
          <w:u w:val="single"/>
        </w:rPr>
        <w:t xml:space="preserve">              （盖</w:t>
      </w:r>
      <w:r>
        <w:rPr>
          <w:rFonts w:hint="eastAsia" w:ascii="仿宋" w:hAnsi="仿宋" w:eastAsia="仿宋" w:cs="仿宋"/>
          <w:color w:val="auto"/>
          <w:kern w:val="2"/>
          <w:sz w:val="22"/>
          <w:szCs w:val="22"/>
          <w:u w:val="single"/>
          <w:lang w:eastAsia="zh-CN"/>
        </w:rPr>
        <w:t>供应商</w:t>
      </w:r>
      <w:r>
        <w:rPr>
          <w:rFonts w:hint="eastAsia" w:ascii="仿宋" w:hAnsi="仿宋" w:eastAsia="仿宋" w:cs="仿宋"/>
          <w:color w:val="auto"/>
          <w:kern w:val="2"/>
          <w:sz w:val="22"/>
          <w:szCs w:val="22"/>
          <w:u w:val="single"/>
        </w:rPr>
        <w:t xml:space="preserve">单位公章）        </w:t>
      </w:r>
    </w:p>
    <w:p w14:paraId="20268029">
      <w:pPr>
        <w:adjustRightInd w:val="0"/>
        <w:snapToGrid w:val="0"/>
        <w:spacing w:before="240" w:after="240" w:line="400" w:lineRule="exact"/>
        <w:ind w:firstLine="330" w:firstLineChars="150"/>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法定代表人或其授权委托人：</w:t>
      </w:r>
      <w:r>
        <w:rPr>
          <w:rFonts w:hint="eastAsia" w:ascii="仿宋" w:hAnsi="仿宋" w:eastAsia="仿宋" w:cs="仿宋"/>
          <w:color w:val="auto"/>
          <w:kern w:val="2"/>
          <w:sz w:val="22"/>
          <w:szCs w:val="22"/>
          <w:u w:val="single"/>
        </w:rPr>
        <w:t xml:space="preserve">   （签字或盖章）</w:t>
      </w:r>
    </w:p>
    <w:p w14:paraId="4B4C2838">
      <w:pPr>
        <w:adjustRightInd w:val="0"/>
        <w:snapToGrid w:val="0"/>
        <w:spacing w:before="240" w:after="240" w:line="400" w:lineRule="exact"/>
        <w:ind w:firstLine="330" w:firstLineChars="150"/>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日期：__________年_____月_____日</w:t>
      </w:r>
    </w:p>
    <w:p w14:paraId="2768137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br w:type="page"/>
      </w:r>
      <w:bookmarkStart w:id="189" w:name="_Hlk84001029"/>
    </w:p>
    <w:bookmarkEnd w:id="189"/>
    <w:p w14:paraId="53299901">
      <w:pPr>
        <w:pStyle w:val="25"/>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9"/>
        <w:rPr>
          <w:rFonts w:hint="eastAsia" w:ascii="仿宋" w:hAnsi="仿宋" w:eastAsia="仿宋" w:cs="仿宋"/>
          <w:b/>
          <w:bCs/>
          <w:color w:val="auto"/>
          <w:sz w:val="28"/>
          <w:szCs w:val="24"/>
          <w:lang w:val="en-US" w:eastAsia="zh-CN"/>
        </w:rPr>
      </w:pPr>
      <w:bookmarkStart w:id="190" w:name="_Toc9576"/>
      <w:bookmarkStart w:id="191" w:name="_Toc25750"/>
      <w:bookmarkStart w:id="192" w:name="_Toc8235"/>
      <w:bookmarkStart w:id="193" w:name="_Toc391"/>
      <w:bookmarkStart w:id="194" w:name="_Toc19799"/>
      <w:r>
        <w:rPr>
          <w:rFonts w:hint="eastAsia" w:ascii="仿宋" w:hAnsi="仿宋" w:eastAsia="仿宋" w:cs="仿宋"/>
          <w:b/>
          <w:bCs/>
          <w:color w:val="auto"/>
          <w:sz w:val="28"/>
          <w:szCs w:val="24"/>
          <w:lang w:val="en-US" w:eastAsia="zh-CN"/>
        </w:rPr>
        <w:t>评分索引表</w:t>
      </w:r>
      <w:bookmarkEnd w:id="190"/>
      <w:bookmarkEnd w:id="191"/>
      <w:bookmarkEnd w:id="192"/>
      <w:bookmarkEnd w:id="193"/>
      <w:bookmarkEnd w:id="194"/>
    </w:p>
    <w:tbl>
      <w:tblPr>
        <w:tblStyle w:val="2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19"/>
        <w:gridCol w:w="2464"/>
        <w:gridCol w:w="2350"/>
      </w:tblGrid>
      <w:tr w14:paraId="6FFC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D31ACA2">
            <w:pPr>
              <w:pStyle w:val="10"/>
              <w:ind w:left="0" w:leftChars="0" w:firstLine="0" w:firstLineChars="0"/>
              <w:jc w:val="center"/>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序号</w:t>
            </w:r>
          </w:p>
        </w:tc>
        <w:tc>
          <w:tcPr>
            <w:tcW w:w="3019" w:type="dxa"/>
            <w:vAlign w:val="center"/>
          </w:tcPr>
          <w:p w14:paraId="19A9632B">
            <w:pPr>
              <w:pStyle w:val="10"/>
              <w:ind w:left="0" w:leftChars="0" w:firstLine="0" w:firstLineChars="0"/>
              <w:jc w:val="center"/>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评标项目</w:t>
            </w:r>
          </w:p>
        </w:tc>
        <w:tc>
          <w:tcPr>
            <w:tcW w:w="2464" w:type="dxa"/>
            <w:vAlign w:val="center"/>
          </w:tcPr>
          <w:p w14:paraId="6B6F5E04">
            <w:pPr>
              <w:pStyle w:val="10"/>
              <w:ind w:left="0" w:leftChars="0" w:firstLine="0" w:firstLineChars="0"/>
              <w:jc w:val="center"/>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索引页码</w:t>
            </w:r>
          </w:p>
        </w:tc>
        <w:tc>
          <w:tcPr>
            <w:tcW w:w="2350" w:type="dxa"/>
            <w:vAlign w:val="center"/>
          </w:tcPr>
          <w:p w14:paraId="70F944D0">
            <w:pPr>
              <w:pStyle w:val="10"/>
              <w:ind w:left="0" w:leftChars="0" w:firstLine="0" w:firstLineChars="0"/>
              <w:jc w:val="center"/>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备注</w:t>
            </w:r>
          </w:p>
        </w:tc>
      </w:tr>
      <w:tr w14:paraId="0E58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80249CC">
            <w:pPr>
              <w:pStyle w:val="10"/>
              <w:jc w:val="both"/>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3019" w:type="dxa"/>
            <w:vAlign w:val="center"/>
          </w:tcPr>
          <w:p w14:paraId="51420C2C">
            <w:pPr>
              <w:bidi w:val="0"/>
              <w:ind w:left="0" w:leftChars="0" w:firstLine="0" w:firstLineChars="0"/>
              <w:jc w:val="center"/>
              <w:outlineLvl w:val="9"/>
              <w:rPr>
                <w:rFonts w:hint="eastAsia" w:ascii="仿宋" w:hAnsi="仿宋" w:eastAsia="仿宋" w:cs="仿宋"/>
                <w:color w:val="auto"/>
                <w:sz w:val="24"/>
                <w:szCs w:val="21"/>
                <w:lang w:val="en-US" w:eastAsia="zh-CN" w:bidi="ar-SA"/>
              </w:rPr>
            </w:pPr>
          </w:p>
        </w:tc>
        <w:tc>
          <w:tcPr>
            <w:tcW w:w="2464" w:type="dxa"/>
            <w:vAlign w:val="center"/>
          </w:tcPr>
          <w:p w14:paraId="126723D6">
            <w:pPr>
              <w:pStyle w:val="10"/>
              <w:jc w:val="center"/>
              <w:outlineLvl w:val="9"/>
              <w:rPr>
                <w:rFonts w:hint="eastAsia" w:ascii="仿宋" w:hAnsi="仿宋" w:eastAsia="仿宋" w:cs="仿宋"/>
                <w:color w:val="auto"/>
                <w:vertAlign w:val="baseline"/>
                <w:lang w:val="en-US" w:eastAsia="zh-CN"/>
              </w:rPr>
            </w:pPr>
          </w:p>
        </w:tc>
        <w:tc>
          <w:tcPr>
            <w:tcW w:w="2350" w:type="dxa"/>
            <w:vAlign w:val="center"/>
          </w:tcPr>
          <w:p w14:paraId="242CAF17">
            <w:pPr>
              <w:pStyle w:val="10"/>
              <w:jc w:val="center"/>
              <w:outlineLvl w:val="9"/>
              <w:rPr>
                <w:rFonts w:hint="eastAsia" w:ascii="仿宋" w:hAnsi="仿宋" w:eastAsia="仿宋" w:cs="仿宋"/>
                <w:color w:val="auto"/>
                <w:vertAlign w:val="baseline"/>
                <w:lang w:val="en-US" w:eastAsia="zh-CN"/>
              </w:rPr>
            </w:pPr>
          </w:p>
        </w:tc>
      </w:tr>
      <w:tr w14:paraId="2D17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1524300B">
            <w:pPr>
              <w:pStyle w:val="10"/>
              <w:jc w:val="both"/>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3019" w:type="dxa"/>
            <w:vAlign w:val="center"/>
          </w:tcPr>
          <w:p w14:paraId="4BB6EAAD">
            <w:pPr>
              <w:bidi w:val="0"/>
              <w:ind w:left="0" w:leftChars="0" w:firstLine="0" w:firstLineChars="0"/>
              <w:jc w:val="center"/>
              <w:outlineLvl w:val="9"/>
              <w:rPr>
                <w:rFonts w:hint="eastAsia" w:ascii="仿宋" w:hAnsi="仿宋" w:eastAsia="仿宋" w:cs="仿宋"/>
                <w:color w:val="auto"/>
                <w:sz w:val="24"/>
                <w:szCs w:val="21"/>
                <w:lang w:val="en-US" w:eastAsia="zh-CN" w:bidi="ar-SA"/>
              </w:rPr>
            </w:pPr>
          </w:p>
        </w:tc>
        <w:tc>
          <w:tcPr>
            <w:tcW w:w="2464" w:type="dxa"/>
            <w:vAlign w:val="center"/>
          </w:tcPr>
          <w:p w14:paraId="172E6DDD">
            <w:pPr>
              <w:pStyle w:val="10"/>
              <w:jc w:val="center"/>
              <w:outlineLvl w:val="9"/>
              <w:rPr>
                <w:rFonts w:hint="eastAsia" w:ascii="仿宋" w:hAnsi="仿宋" w:eastAsia="仿宋" w:cs="仿宋"/>
                <w:color w:val="auto"/>
                <w:vertAlign w:val="baseline"/>
                <w:lang w:val="en-US" w:eastAsia="zh-CN"/>
              </w:rPr>
            </w:pPr>
          </w:p>
        </w:tc>
        <w:tc>
          <w:tcPr>
            <w:tcW w:w="2350" w:type="dxa"/>
            <w:vAlign w:val="center"/>
          </w:tcPr>
          <w:p w14:paraId="7BDF9B4B">
            <w:pPr>
              <w:pStyle w:val="10"/>
              <w:jc w:val="center"/>
              <w:outlineLvl w:val="9"/>
              <w:rPr>
                <w:rFonts w:hint="eastAsia" w:ascii="仿宋" w:hAnsi="仿宋" w:eastAsia="仿宋" w:cs="仿宋"/>
                <w:color w:val="auto"/>
                <w:vertAlign w:val="baseline"/>
                <w:lang w:val="en-US" w:eastAsia="zh-CN"/>
              </w:rPr>
            </w:pPr>
          </w:p>
        </w:tc>
      </w:tr>
      <w:tr w14:paraId="71C8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8C00AAE">
            <w:pPr>
              <w:pStyle w:val="10"/>
              <w:jc w:val="both"/>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3019" w:type="dxa"/>
            <w:vAlign w:val="center"/>
          </w:tcPr>
          <w:p w14:paraId="2DB5558B">
            <w:pPr>
              <w:bidi w:val="0"/>
              <w:ind w:left="0" w:leftChars="0" w:firstLine="0" w:firstLineChars="0"/>
              <w:jc w:val="center"/>
              <w:outlineLvl w:val="9"/>
              <w:rPr>
                <w:rFonts w:hint="eastAsia" w:ascii="仿宋" w:hAnsi="仿宋" w:eastAsia="仿宋" w:cs="仿宋"/>
                <w:color w:val="auto"/>
                <w:sz w:val="24"/>
                <w:szCs w:val="21"/>
                <w:lang w:val="en-US" w:eastAsia="zh-CN" w:bidi="ar-SA"/>
              </w:rPr>
            </w:pPr>
          </w:p>
        </w:tc>
        <w:tc>
          <w:tcPr>
            <w:tcW w:w="2464" w:type="dxa"/>
            <w:vAlign w:val="center"/>
          </w:tcPr>
          <w:p w14:paraId="3F811C99">
            <w:pPr>
              <w:pStyle w:val="10"/>
              <w:jc w:val="center"/>
              <w:outlineLvl w:val="9"/>
              <w:rPr>
                <w:rFonts w:hint="eastAsia" w:ascii="仿宋" w:hAnsi="仿宋" w:eastAsia="仿宋" w:cs="仿宋"/>
                <w:color w:val="auto"/>
                <w:vertAlign w:val="baseline"/>
                <w:lang w:val="en-US" w:eastAsia="zh-CN"/>
              </w:rPr>
            </w:pPr>
          </w:p>
        </w:tc>
        <w:tc>
          <w:tcPr>
            <w:tcW w:w="2350" w:type="dxa"/>
            <w:vAlign w:val="center"/>
          </w:tcPr>
          <w:p w14:paraId="3F694F94">
            <w:pPr>
              <w:pStyle w:val="10"/>
              <w:jc w:val="center"/>
              <w:outlineLvl w:val="9"/>
              <w:rPr>
                <w:rFonts w:hint="eastAsia" w:ascii="仿宋" w:hAnsi="仿宋" w:eastAsia="仿宋" w:cs="仿宋"/>
                <w:color w:val="auto"/>
                <w:vertAlign w:val="baseline"/>
                <w:lang w:val="en-US" w:eastAsia="zh-CN"/>
              </w:rPr>
            </w:pPr>
          </w:p>
        </w:tc>
      </w:tr>
      <w:tr w14:paraId="2DD4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DFEA735">
            <w:pPr>
              <w:pStyle w:val="10"/>
              <w:jc w:val="both"/>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3019" w:type="dxa"/>
            <w:vAlign w:val="center"/>
          </w:tcPr>
          <w:p w14:paraId="78BF1FAC">
            <w:pPr>
              <w:bidi w:val="0"/>
              <w:ind w:left="0" w:leftChars="0" w:firstLine="0" w:firstLineChars="0"/>
              <w:jc w:val="center"/>
              <w:outlineLvl w:val="9"/>
              <w:rPr>
                <w:rFonts w:hint="eastAsia" w:ascii="仿宋" w:hAnsi="仿宋" w:eastAsia="仿宋" w:cs="仿宋"/>
                <w:color w:val="auto"/>
                <w:sz w:val="24"/>
                <w:szCs w:val="21"/>
                <w:lang w:val="en-US" w:eastAsia="zh-CN" w:bidi="ar-SA"/>
              </w:rPr>
            </w:pPr>
          </w:p>
        </w:tc>
        <w:tc>
          <w:tcPr>
            <w:tcW w:w="2464" w:type="dxa"/>
            <w:vAlign w:val="center"/>
          </w:tcPr>
          <w:p w14:paraId="74B33D3A">
            <w:pPr>
              <w:pStyle w:val="10"/>
              <w:jc w:val="center"/>
              <w:outlineLvl w:val="9"/>
              <w:rPr>
                <w:rFonts w:hint="eastAsia" w:ascii="仿宋" w:hAnsi="仿宋" w:eastAsia="仿宋" w:cs="仿宋"/>
                <w:color w:val="auto"/>
                <w:vertAlign w:val="baseline"/>
                <w:lang w:val="en-US" w:eastAsia="zh-CN"/>
              </w:rPr>
            </w:pPr>
          </w:p>
        </w:tc>
        <w:tc>
          <w:tcPr>
            <w:tcW w:w="2350" w:type="dxa"/>
            <w:vAlign w:val="center"/>
          </w:tcPr>
          <w:p w14:paraId="2A00DEB8">
            <w:pPr>
              <w:pStyle w:val="10"/>
              <w:jc w:val="center"/>
              <w:outlineLvl w:val="9"/>
              <w:rPr>
                <w:rFonts w:hint="eastAsia" w:ascii="仿宋" w:hAnsi="仿宋" w:eastAsia="仿宋" w:cs="仿宋"/>
                <w:color w:val="auto"/>
                <w:vertAlign w:val="baseline"/>
                <w:lang w:val="en-US" w:eastAsia="zh-CN"/>
              </w:rPr>
            </w:pPr>
          </w:p>
        </w:tc>
      </w:tr>
      <w:tr w14:paraId="4859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E926ADC">
            <w:pPr>
              <w:pStyle w:val="10"/>
              <w:jc w:val="both"/>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3019" w:type="dxa"/>
            <w:vAlign w:val="center"/>
          </w:tcPr>
          <w:p w14:paraId="117A1CCC">
            <w:pPr>
              <w:bidi w:val="0"/>
              <w:ind w:left="0" w:leftChars="0" w:firstLine="0" w:firstLineChars="0"/>
              <w:jc w:val="center"/>
              <w:outlineLvl w:val="9"/>
              <w:rPr>
                <w:rFonts w:hint="eastAsia" w:ascii="仿宋" w:hAnsi="仿宋" w:eastAsia="仿宋" w:cs="仿宋"/>
                <w:color w:val="auto"/>
                <w:sz w:val="24"/>
                <w:szCs w:val="21"/>
                <w:lang w:val="en-US" w:eastAsia="zh-CN" w:bidi="ar-SA"/>
              </w:rPr>
            </w:pPr>
          </w:p>
        </w:tc>
        <w:tc>
          <w:tcPr>
            <w:tcW w:w="2464" w:type="dxa"/>
            <w:vAlign w:val="center"/>
          </w:tcPr>
          <w:p w14:paraId="134C6D65">
            <w:pPr>
              <w:pStyle w:val="10"/>
              <w:jc w:val="center"/>
              <w:outlineLvl w:val="9"/>
              <w:rPr>
                <w:rFonts w:hint="eastAsia" w:ascii="仿宋" w:hAnsi="仿宋" w:eastAsia="仿宋" w:cs="仿宋"/>
                <w:color w:val="auto"/>
                <w:vertAlign w:val="baseline"/>
                <w:lang w:val="en-US" w:eastAsia="zh-CN"/>
              </w:rPr>
            </w:pPr>
          </w:p>
        </w:tc>
        <w:tc>
          <w:tcPr>
            <w:tcW w:w="2350" w:type="dxa"/>
            <w:vAlign w:val="center"/>
          </w:tcPr>
          <w:p w14:paraId="19E40CFB">
            <w:pPr>
              <w:pStyle w:val="10"/>
              <w:jc w:val="center"/>
              <w:outlineLvl w:val="9"/>
              <w:rPr>
                <w:rFonts w:hint="eastAsia" w:ascii="仿宋" w:hAnsi="仿宋" w:eastAsia="仿宋" w:cs="仿宋"/>
                <w:color w:val="auto"/>
                <w:vertAlign w:val="baseline"/>
                <w:lang w:val="en-US" w:eastAsia="zh-CN"/>
              </w:rPr>
            </w:pPr>
          </w:p>
        </w:tc>
      </w:tr>
      <w:tr w14:paraId="11DD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A4737EE">
            <w:pPr>
              <w:pStyle w:val="10"/>
              <w:jc w:val="both"/>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3019" w:type="dxa"/>
            <w:vAlign w:val="center"/>
          </w:tcPr>
          <w:p w14:paraId="194B0756">
            <w:pPr>
              <w:bidi w:val="0"/>
              <w:ind w:left="0" w:leftChars="0" w:firstLine="0" w:firstLineChars="0"/>
              <w:jc w:val="center"/>
              <w:outlineLvl w:val="9"/>
              <w:rPr>
                <w:rFonts w:hint="eastAsia" w:ascii="仿宋" w:hAnsi="仿宋" w:eastAsia="仿宋" w:cs="仿宋"/>
                <w:color w:val="auto"/>
                <w:sz w:val="24"/>
                <w:szCs w:val="21"/>
                <w:lang w:val="en-US" w:eastAsia="zh-CN" w:bidi="ar-SA"/>
              </w:rPr>
            </w:pPr>
          </w:p>
        </w:tc>
        <w:tc>
          <w:tcPr>
            <w:tcW w:w="2464" w:type="dxa"/>
            <w:vAlign w:val="center"/>
          </w:tcPr>
          <w:p w14:paraId="2D0B5A2D">
            <w:pPr>
              <w:pStyle w:val="10"/>
              <w:jc w:val="center"/>
              <w:outlineLvl w:val="9"/>
              <w:rPr>
                <w:rFonts w:hint="eastAsia" w:ascii="仿宋" w:hAnsi="仿宋" w:eastAsia="仿宋" w:cs="仿宋"/>
                <w:color w:val="auto"/>
                <w:vertAlign w:val="baseline"/>
                <w:lang w:val="en-US" w:eastAsia="zh-CN"/>
              </w:rPr>
            </w:pPr>
          </w:p>
        </w:tc>
        <w:tc>
          <w:tcPr>
            <w:tcW w:w="2350" w:type="dxa"/>
            <w:vAlign w:val="center"/>
          </w:tcPr>
          <w:p w14:paraId="66D9A80C">
            <w:pPr>
              <w:pStyle w:val="10"/>
              <w:jc w:val="center"/>
              <w:outlineLvl w:val="9"/>
              <w:rPr>
                <w:rFonts w:hint="eastAsia" w:ascii="仿宋" w:hAnsi="仿宋" w:eastAsia="仿宋" w:cs="仿宋"/>
                <w:color w:val="auto"/>
                <w:vertAlign w:val="baseline"/>
                <w:lang w:val="en-US" w:eastAsia="zh-CN"/>
              </w:rPr>
            </w:pPr>
          </w:p>
        </w:tc>
      </w:tr>
      <w:tr w14:paraId="4A75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1BF51029">
            <w:pPr>
              <w:pStyle w:val="10"/>
              <w:jc w:val="both"/>
              <w:outlineLvl w:val="9"/>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w:t>
            </w:r>
          </w:p>
        </w:tc>
        <w:tc>
          <w:tcPr>
            <w:tcW w:w="3019" w:type="dxa"/>
            <w:vAlign w:val="center"/>
          </w:tcPr>
          <w:p w14:paraId="0820B01F">
            <w:pPr>
              <w:bidi w:val="0"/>
              <w:ind w:left="0" w:leftChars="0" w:firstLine="0" w:firstLineChars="0"/>
              <w:jc w:val="center"/>
              <w:outlineLvl w:val="9"/>
              <w:rPr>
                <w:rFonts w:hint="eastAsia" w:ascii="仿宋" w:hAnsi="仿宋" w:eastAsia="仿宋" w:cs="仿宋"/>
                <w:color w:val="auto"/>
                <w:sz w:val="24"/>
                <w:szCs w:val="21"/>
                <w:lang w:val="en-US" w:eastAsia="zh-CN" w:bidi="ar-SA"/>
              </w:rPr>
            </w:pPr>
          </w:p>
        </w:tc>
        <w:tc>
          <w:tcPr>
            <w:tcW w:w="2464" w:type="dxa"/>
            <w:vAlign w:val="center"/>
          </w:tcPr>
          <w:p w14:paraId="036322A9">
            <w:pPr>
              <w:pStyle w:val="10"/>
              <w:jc w:val="center"/>
              <w:outlineLvl w:val="9"/>
              <w:rPr>
                <w:rFonts w:hint="eastAsia" w:ascii="仿宋" w:hAnsi="仿宋" w:eastAsia="仿宋" w:cs="仿宋"/>
                <w:color w:val="auto"/>
                <w:vertAlign w:val="baseline"/>
                <w:lang w:val="en-US" w:eastAsia="zh-CN"/>
              </w:rPr>
            </w:pPr>
          </w:p>
        </w:tc>
        <w:tc>
          <w:tcPr>
            <w:tcW w:w="2350" w:type="dxa"/>
            <w:vAlign w:val="center"/>
          </w:tcPr>
          <w:p w14:paraId="50EAE191">
            <w:pPr>
              <w:pStyle w:val="10"/>
              <w:jc w:val="center"/>
              <w:outlineLvl w:val="9"/>
              <w:rPr>
                <w:rFonts w:hint="eastAsia" w:ascii="仿宋" w:hAnsi="仿宋" w:eastAsia="仿宋" w:cs="仿宋"/>
                <w:color w:val="auto"/>
                <w:vertAlign w:val="baseline"/>
                <w:lang w:val="en-US" w:eastAsia="zh-CN"/>
              </w:rPr>
            </w:pPr>
          </w:p>
        </w:tc>
      </w:tr>
    </w:tbl>
    <w:p w14:paraId="0D534E61">
      <w:pPr>
        <w:pStyle w:val="10"/>
        <w:outlineLvl w:val="9"/>
        <w:rPr>
          <w:rFonts w:hint="eastAsia" w:ascii="仿宋" w:hAnsi="仿宋" w:eastAsia="仿宋" w:cs="仿宋"/>
          <w:color w:val="auto"/>
          <w:lang w:val="en-US" w:eastAsia="zh-CN"/>
        </w:rPr>
      </w:pPr>
    </w:p>
    <w:p w14:paraId="226810B0">
      <w:pPr>
        <w:widowControl/>
        <w:spacing w:line="240" w:lineRule="auto"/>
        <w:ind w:firstLine="0" w:firstLineChars="0"/>
        <w:jc w:val="left"/>
        <w:outlineLvl w:val="9"/>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br w:type="page"/>
      </w:r>
    </w:p>
    <w:p w14:paraId="29347C3F">
      <w:pPr>
        <w:pStyle w:val="5"/>
        <w:bidi w:val="0"/>
        <w:jc w:val="center"/>
        <w:rPr>
          <w:rFonts w:hint="eastAsia" w:ascii="仿宋" w:hAnsi="仿宋" w:eastAsia="仿宋" w:cs="仿宋"/>
          <w:b/>
          <w:bCs/>
          <w:color w:val="auto"/>
          <w:kern w:val="2"/>
          <w:sz w:val="28"/>
          <w:szCs w:val="28"/>
          <w:lang w:val="en-US" w:eastAsia="zh-CN" w:bidi="ar-SA"/>
        </w:rPr>
      </w:pPr>
      <w:bookmarkStart w:id="195" w:name="_Toc217446082"/>
      <w:bookmarkStart w:id="196" w:name="_Toc21434"/>
      <w:bookmarkStart w:id="197" w:name="_Toc4536"/>
      <w:bookmarkStart w:id="198" w:name="_Toc30253"/>
      <w:bookmarkStart w:id="199" w:name="_Toc7489"/>
      <w:bookmarkStart w:id="200" w:name="_Toc4016"/>
      <w:r>
        <w:rPr>
          <w:rFonts w:hint="eastAsia" w:ascii="仿宋" w:hAnsi="仿宋" w:eastAsia="仿宋" w:cs="仿宋"/>
          <w:b/>
          <w:bCs/>
          <w:color w:val="auto"/>
          <w:kern w:val="2"/>
          <w:sz w:val="28"/>
          <w:szCs w:val="28"/>
          <w:lang w:val="en-US" w:eastAsia="zh-CN" w:bidi="ar-SA"/>
        </w:rPr>
        <w:t>一、投 标 函</w:t>
      </w:r>
      <w:bookmarkEnd w:id="195"/>
      <w:bookmarkEnd w:id="196"/>
      <w:bookmarkEnd w:id="197"/>
      <w:bookmarkEnd w:id="198"/>
      <w:bookmarkEnd w:id="199"/>
      <w:bookmarkEnd w:id="200"/>
    </w:p>
    <w:p w14:paraId="6E42FF04">
      <w:pPr>
        <w:adjustRightInd w:val="0"/>
        <w:snapToGrid w:val="0"/>
        <w:spacing w:after="120" w:line="400" w:lineRule="exact"/>
        <w:ind w:left="480" w:leftChars="200" w:firstLine="0" w:firstLineChars="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__________________（</w:t>
      </w:r>
      <w:r>
        <w:rPr>
          <w:rFonts w:hint="eastAsia" w:ascii="仿宋" w:hAnsi="仿宋" w:eastAsia="仿宋" w:cs="仿宋"/>
          <w:bCs/>
          <w:color w:val="auto"/>
          <w:kern w:val="2"/>
          <w:sz w:val="22"/>
          <w:szCs w:val="22"/>
          <w:lang w:eastAsia="zh-CN"/>
        </w:rPr>
        <w:t>采购人</w:t>
      </w:r>
      <w:r>
        <w:rPr>
          <w:rFonts w:hint="eastAsia" w:ascii="仿宋" w:hAnsi="仿宋" w:eastAsia="仿宋" w:cs="仿宋"/>
          <w:bCs/>
          <w:color w:val="auto"/>
          <w:kern w:val="2"/>
          <w:sz w:val="22"/>
          <w:szCs w:val="22"/>
        </w:rPr>
        <w:t>）：</w:t>
      </w:r>
    </w:p>
    <w:p w14:paraId="2B7971A8">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我方全面研究了 “</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（项目名称、招标编号）”项目</w:t>
      </w:r>
      <w:r>
        <w:rPr>
          <w:rFonts w:hint="eastAsia" w:ascii="仿宋" w:hAnsi="仿宋" w:eastAsia="仿宋" w:cs="仿宋"/>
          <w:bCs/>
          <w:color w:val="auto"/>
          <w:kern w:val="2"/>
          <w:sz w:val="22"/>
          <w:szCs w:val="22"/>
          <w:lang w:eastAsia="zh-CN"/>
        </w:rPr>
        <w:t>磋商文件</w:t>
      </w:r>
      <w:r>
        <w:rPr>
          <w:rFonts w:hint="eastAsia" w:ascii="仿宋" w:hAnsi="仿宋" w:eastAsia="仿宋" w:cs="仿宋"/>
          <w:bCs/>
          <w:color w:val="auto"/>
          <w:kern w:val="2"/>
          <w:sz w:val="22"/>
          <w:szCs w:val="22"/>
        </w:rPr>
        <w:t>，决定参加贵单位组织的本项目投标。我方授权</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（姓名、职务）代表我方</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u w:val="single"/>
          <w:lang w:eastAsia="zh-CN"/>
        </w:rPr>
        <w:t>供应商</w:t>
      </w:r>
      <w:r>
        <w:rPr>
          <w:rFonts w:hint="eastAsia" w:ascii="仿宋" w:hAnsi="仿宋" w:eastAsia="仿宋" w:cs="仿宋"/>
          <w:bCs/>
          <w:color w:val="auto"/>
          <w:kern w:val="2"/>
          <w:sz w:val="22"/>
          <w:szCs w:val="22"/>
          <w:u w:val="single"/>
        </w:rPr>
        <w:t>的名称）</w:t>
      </w:r>
      <w:r>
        <w:rPr>
          <w:rFonts w:hint="eastAsia" w:ascii="仿宋" w:hAnsi="仿宋" w:eastAsia="仿宋" w:cs="仿宋"/>
          <w:bCs/>
          <w:color w:val="auto"/>
          <w:kern w:val="2"/>
          <w:sz w:val="22"/>
          <w:szCs w:val="22"/>
        </w:rPr>
        <w:t>全权处理本项目投标的有关事宜。</w:t>
      </w:r>
    </w:p>
    <w:p w14:paraId="6549AFBE">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1、我方自愿按照</w:t>
      </w:r>
      <w:r>
        <w:rPr>
          <w:rFonts w:hint="eastAsia" w:ascii="仿宋" w:hAnsi="仿宋" w:eastAsia="仿宋" w:cs="仿宋"/>
          <w:bCs/>
          <w:color w:val="auto"/>
          <w:kern w:val="2"/>
          <w:sz w:val="22"/>
          <w:szCs w:val="22"/>
          <w:lang w:eastAsia="zh-CN"/>
        </w:rPr>
        <w:t>磋商文件</w:t>
      </w:r>
      <w:r>
        <w:rPr>
          <w:rFonts w:hint="eastAsia" w:ascii="仿宋" w:hAnsi="仿宋" w:eastAsia="仿宋" w:cs="仿宋"/>
          <w:bCs/>
          <w:color w:val="auto"/>
          <w:kern w:val="2"/>
          <w:sz w:val="22"/>
          <w:szCs w:val="22"/>
        </w:rPr>
        <w:t>规定的各项要求向</w:t>
      </w:r>
      <w:r>
        <w:rPr>
          <w:rFonts w:hint="eastAsia" w:ascii="仿宋" w:hAnsi="仿宋" w:eastAsia="仿宋" w:cs="仿宋"/>
          <w:bCs/>
          <w:color w:val="auto"/>
          <w:kern w:val="2"/>
          <w:sz w:val="22"/>
          <w:szCs w:val="22"/>
          <w:lang w:eastAsia="zh-CN"/>
        </w:rPr>
        <w:t>采购人</w:t>
      </w:r>
      <w:r>
        <w:rPr>
          <w:rFonts w:hint="eastAsia" w:ascii="仿宋" w:hAnsi="仿宋" w:eastAsia="仿宋" w:cs="仿宋"/>
          <w:bCs/>
          <w:color w:val="auto"/>
          <w:kern w:val="2"/>
          <w:sz w:val="22"/>
          <w:szCs w:val="22"/>
        </w:rPr>
        <w:t>提供所需服务，总投标价为人民币</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万元（大写：</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），投标有效期</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日历天。</w:t>
      </w:r>
    </w:p>
    <w:p w14:paraId="5FAC4F19">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2、一旦我方中标，我方将严格履行合同规定的责任和义务，保证</w:t>
      </w:r>
      <w:r>
        <w:rPr>
          <w:rFonts w:hint="eastAsia" w:ascii="仿宋" w:hAnsi="仿宋" w:eastAsia="仿宋" w:cs="仿宋"/>
          <w:bCs/>
          <w:color w:val="auto"/>
          <w:kern w:val="2"/>
          <w:sz w:val="22"/>
          <w:szCs w:val="22"/>
          <w:lang w:eastAsia="zh-CN"/>
        </w:rPr>
        <w:t>合同履行期限</w:t>
      </w:r>
      <w:r>
        <w:rPr>
          <w:rFonts w:hint="eastAsia" w:ascii="仿宋" w:hAnsi="仿宋" w:eastAsia="仿宋" w:cs="仿宋"/>
          <w:bCs/>
          <w:color w:val="auto"/>
          <w:kern w:val="2"/>
          <w:sz w:val="22"/>
          <w:szCs w:val="22"/>
        </w:rPr>
        <w:t>为：</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，并交付</w:t>
      </w:r>
      <w:r>
        <w:rPr>
          <w:rFonts w:hint="eastAsia" w:ascii="仿宋" w:hAnsi="仿宋" w:eastAsia="仿宋" w:cs="仿宋"/>
          <w:bCs/>
          <w:color w:val="auto"/>
          <w:kern w:val="2"/>
          <w:sz w:val="22"/>
          <w:szCs w:val="22"/>
          <w:lang w:eastAsia="zh-CN"/>
        </w:rPr>
        <w:t>采购人</w:t>
      </w:r>
      <w:r>
        <w:rPr>
          <w:rFonts w:hint="eastAsia" w:ascii="仿宋" w:hAnsi="仿宋" w:eastAsia="仿宋" w:cs="仿宋"/>
          <w:bCs/>
          <w:color w:val="auto"/>
          <w:kern w:val="2"/>
          <w:sz w:val="22"/>
          <w:szCs w:val="22"/>
        </w:rPr>
        <w:t>验收</w:t>
      </w:r>
      <w:r>
        <w:rPr>
          <w:rFonts w:hint="eastAsia" w:ascii="仿宋" w:hAnsi="仿宋" w:eastAsia="仿宋" w:cs="仿宋"/>
          <w:bCs/>
          <w:color w:val="auto"/>
          <w:kern w:val="2"/>
          <w:sz w:val="22"/>
          <w:szCs w:val="22"/>
          <w:lang w:eastAsia="zh-CN"/>
        </w:rPr>
        <w:t>合格</w:t>
      </w:r>
      <w:r>
        <w:rPr>
          <w:rFonts w:hint="eastAsia" w:ascii="仿宋" w:hAnsi="仿宋" w:eastAsia="仿宋" w:cs="仿宋"/>
          <w:bCs/>
          <w:color w:val="auto"/>
          <w:kern w:val="2"/>
          <w:sz w:val="22"/>
          <w:szCs w:val="22"/>
        </w:rPr>
        <w:t>。</w:t>
      </w:r>
    </w:p>
    <w:p w14:paraId="24F63179">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3、我方同意按照</w:t>
      </w:r>
      <w:r>
        <w:rPr>
          <w:rFonts w:hint="eastAsia" w:ascii="仿宋" w:hAnsi="仿宋" w:eastAsia="仿宋" w:cs="仿宋"/>
          <w:bCs/>
          <w:color w:val="auto"/>
          <w:kern w:val="2"/>
          <w:sz w:val="22"/>
          <w:szCs w:val="22"/>
          <w:lang w:eastAsia="zh-CN"/>
        </w:rPr>
        <w:t>磋商文件</w:t>
      </w:r>
      <w:r>
        <w:rPr>
          <w:rFonts w:hint="eastAsia" w:ascii="仿宋" w:hAnsi="仿宋" w:eastAsia="仿宋" w:cs="仿宋"/>
          <w:bCs/>
          <w:color w:val="auto"/>
          <w:kern w:val="2"/>
          <w:sz w:val="22"/>
          <w:szCs w:val="22"/>
        </w:rPr>
        <w:t>的要求，交纳人民币</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万元（大写：</w:t>
      </w:r>
      <w:r>
        <w:rPr>
          <w:rFonts w:hint="eastAsia" w:ascii="仿宋" w:hAnsi="仿宋" w:eastAsia="仿宋" w:cs="仿宋"/>
          <w:bCs/>
          <w:color w:val="auto"/>
          <w:kern w:val="2"/>
          <w:sz w:val="22"/>
          <w:szCs w:val="22"/>
          <w:u w:val="single"/>
        </w:rPr>
        <w:t xml:space="preserve">            </w:t>
      </w:r>
      <w:r>
        <w:rPr>
          <w:rFonts w:hint="eastAsia" w:ascii="仿宋" w:hAnsi="仿宋" w:eastAsia="仿宋" w:cs="仿宋"/>
          <w:bCs/>
          <w:color w:val="auto"/>
          <w:kern w:val="2"/>
          <w:sz w:val="22"/>
          <w:szCs w:val="22"/>
        </w:rPr>
        <w:t>）的投标保证金。并承诺：下列任何情况发生时，我方将不要求退还投标保证金：</w:t>
      </w:r>
    </w:p>
    <w:p w14:paraId="283F1D04">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（1）如果我方在投标有效期内撤回投标；</w:t>
      </w:r>
    </w:p>
    <w:p w14:paraId="5EFB9FC8">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（2）我方提供了虚假响应</w:t>
      </w:r>
      <w:r>
        <w:rPr>
          <w:rFonts w:hint="eastAsia" w:ascii="仿宋" w:hAnsi="仿宋" w:eastAsia="仿宋" w:cs="仿宋"/>
          <w:bCs/>
          <w:color w:val="auto"/>
          <w:kern w:val="2"/>
          <w:sz w:val="22"/>
          <w:szCs w:val="22"/>
          <w:lang w:eastAsia="zh-CN"/>
        </w:rPr>
        <w:t>磋商文件</w:t>
      </w:r>
      <w:r>
        <w:rPr>
          <w:rFonts w:hint="eastAsia" w:ascii="仿宋" w:hAnsi="仿宋" w:eastAsia="仿宋" w:cs="仿宋"/>
          <w:bCs/>
          <w:color w:val="auto"/>
          <w:kern w:val="2"/>
          <w:sz w:val="22"/>
          <w:szCs w:val="22"/>
        </w:rPr>
        <w:t>的</w:t>
      </w:r>
      <w:r>
        <w:rPr>
          <w:rFonts w:hint="eastAsia" w:ascii="仿宋" w:hAnsi="仿宋" w:eastAsia="仿宋" w:cs="仿宋"/>
          <w:bCs/>
          <w:color w:val="auto"/>
          <w:kern w:val="2"/>
          <w:sz w:val="22"/>
          <w:szCs w:val="22"/>
          <w:lang w:eastAsia="zh-CN"/>
        </w:rPr>
        <w:t>响应文件</w:t>
      </w:r>
      <w:r>
        <w:rPr>
          <w:rFonts w:hint="eastAsia" w:ascii="仿宋" w:hAnsi="仿宋" w:eastAsia="仿宋" w:cs="仿宋"/>
          <w:bCs/>
          <w:color w:val="auto"/>
          <w:kern w:val="2"/>
          <w:sz w:val="22"/>
          <w:szCs w:val="22"/>
        </w:rPr>
        <w:t>；</w:t>
      </w:r>
    </w:p>
    <w:p w14:paraId="15AAA84F">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（3）在投标过程中有违规违纪行为；</w:t>
      </w:r>
    </w:p>
    <w:p w14:paraId="708FCCF8">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（4）我方在投标有效期内收到中标通知书后，由于我方原因未能按照</w:t>
      </w:r>
      <w:r>
        <w:rPr>
          <w:rFonts w:hint="eastAsia" w:ascii="仿宋" w:hAnsi="仿宋" w:eastAsia="仿宋" w:cs="仿宋"/>
          <w:bCs/>
          <w:color w:val="auto"/>
          <w:kern w:val="2"/>
          <w:sz w:val="22"/>
          <w:szCs w:val="22"/>
          <w:lang w:eastAsia="zh-CN"/>
        </w:rPr>
        <w:t>磋商文件</w:t>
      </w:r>
      <w:r>
        <w:rPr>
          <w:rFonts w:hint="eastAsia" w:ascii="仿宋" w:hAnsi="仿宋" w:eastAsia="仿宋" w:cs="仿宋"/>
          <w:bCs/>
          <w:color w:val="auto"/>
          <w:kern w:val="2"/>
          <w:sz w:val="22"/>
          <w:szCs w:val="22"/>
        </w:rPr>
        <w:t>要求</w:t>
      </w:r>
      <w:r>
        <w:rPr>
          <w:rFonts w:hint="eastAsia" w:ascii="仿宋" w:hAnsi="仿宋" w:eastAsia="仿宋" w:cs="仿宋"/>
          <w:bCs/>
          <w:color w:val="auto"/>
          <w:kern w:val="2"/>
          <w:sz w:val="22"/>
          <w:szCs w:val="22"/>
          <w:lang w:eastAsia="zh-CN"/>
        </w:rPr>
        <w:t>递交</w:t>
      </w:r>
      <w:r>
        <w:rPr>
          <w:rFonts w:hint="eastAsia" w:ascii="仿宋" w:hAnsi="仿宋" w:eastAsia="仿宋" w:cs="仿宋"/>
          <w:bCs/>
          <w:color w:val="auto"/>
          <w:kern w:val="2"/>
          <w:sz w:val="22"/>
          <w:szCs w:val="22"/>
        </w:rPr>
        <w:t>履约保证金或与</w:t>
      </w:r>
      <w:r>
        <w:rPr>
          <w:rFonts w:hint="eastAsia" w:ascii="仿宋" w:hAnsi="仿宋" w:eastAsia="仿宋" w:cs="仿宋"/>
          <w:bCs/>
          <w:color w:val="auto"/>
          <w:kern w:val="2"/>
          <w:sz w:val="22"/>
          <w:szCs w:val="22"/>
          <w:lang w:eastAsia="zh-CN"/>
        </w:rPr>
        <w:t>采购人</w:t>
      </w:r>
      <w:r>
        <w:rPr>
          <w:rFonts w:hint="eastAsia" w:ascii="仿宋" w:hAnsi="仿宋" w:eastAsia="仿宋" w:cs="仿宋"/>
          <w:bCs/>
          <w:color w:val="auto"/>
          <w:kern w:val="2"/>
          <w:sz w:val="22"/>
          <w:szCs w:val="22"/>
        </w:rPr>
        <w:t>签订并履行合同。</w:t>
      </w:r>
    </w:p>
    <w:p w14:paraId="023363CF">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4、我方为本项目</w:t>
      </w:r>
      <w:r>
        <w:rPr>
          <w:rFonts w:hint="eastAsia" w:ascii="仿宋" w:hAnsi="仿宋" w:eastAsia="仿宋" w:cs="仿宋"/>
          <w:bCs/>
          <w:color w:val="auto"/>
          <w:kern w:val="2"/>
          <w:sz w:val="22"/>
          <w:szCs w:val="22"/>
          <w:lang w:eastAsia="zh-CN"/>
        </w:rPr>
        <w:t>递交</w:t>
      </w:r>
      <w:r>
        <w:rPr>
          <w:rFonts w:hint="eastAsia" w:ascii="仿宋" w:hAnsi="仿宋" w:eastAsia="仿宋" w:cs="仿宋"/>
          <w:bCs/>
          <w:color w:val="auto"/>
          <w:kern w:val="2"/>
          <w:sz w:val="22"/>
          <w:szCs w:val="22"/>
        </w:rPr>
        <w:t>的</w:t>
      </w:r>
      <w:r>
        <w:rPr>
          <w:rFonts w:hint="eastAsia" w:ascii="仿宋" w:hAnsi="仿宋" w:eastAsia="仿宋" w:cs="仿宋"/>
          <w:bCs/>
          <w:color w:val="auto"/>
          <w:kern w:val="2"/>
          <w:sz w:val="22"/>
          <w:szCs w:val="22"/>
          <w:lang w:eastAsia="zh-CN"/>
        </w:rPr>
        <w:t>响应文件</w:t>
      </w:r>
      <w:r>
        <w:rPr>
          <w:rFonts w:hint="eastAsia" w:ascii="仿宋" w:hAnsi="仿宋" w:eastAsia="仿宋" w:cs="仿宋"/>
          <w:bCs/>
          <w:color w:val="auto"/>
          <w:kern w:val="2"/>
          <w:sz w:val="22"/>
          <w:szCs w:val="22"/>
        </w:rPr>
        <w:t>满足</w:t>
      </w:r>
      <w:r>
        <w:rPr>
          <w:rFonts w:hint="eastAsia" w:ascii="仿宋" w:hAnsi="仿宋" w:eastAsia="仿宋" w:cs="仿宋"/>
          <w:bCs/>
          <w:color w:val="auto"/>
          <w:kern w:val="2"/>
          <w:sz w:val="22"/>
          <w:szCs w:val="22"/>
          <w:lang w:eastAsia="zh-CN"/>
        </w:rPr>
        <w:t>磋商文件供应商</w:t>
      </w:r>
      <w:r>
        <w:rPr>
          <w:rFonts w:hint="eastAsia" w:ascii="仿宋" w:hAnsi="仿宋" w:eastAsia="仿宋" w:cs="仿宋"/>
          <w:bCs/>
          <w:color w:val="auto"/>
          <w:kern w:val="2"/>
          <w:sz w:val="22"/>
          <w:szCs w:val="22"/>
        </w:rPr>
        <w:t>须知前附表要求。</w:t>
      </w:r>
    </w:p>
    <w:p w14:paraId="2766BD0F">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5、我方愿意提供</w:t>
      </w:r>
      <w:r>
        <w:rPr>
          <w:rFonts w:hint="eastAsia" w:ascii="仿宋" w:hAnsi="仿宋" w:eastAsia="仿宋" w:cs="仿宋"/>
          <w:bCs/>
          <w:color w:val="auto"/>
          <w:kern w:val="2"/>
          <w:sz w:val="22"/>
          <w:szCs w:val="22"/>
          <w:lang w:eastAsia="zh-CN"/>
        </w:rPr>
        <w:t>采购人</w:t>
      </w:r>
      <w:r>
        <w:rPr>
          <w:rFonts w:hint="eastAsia" w:ascii="仿宋" w:hAnsi="仿宋" w:eastAsia="仿宋" w:cs="仿宋"/>
          <w:bCs/>
          <w:color w:val="auto"/>
          <w:kern w:val="2"/>
          <w:sz w:val="22"/>
          <w:szCs w:val="22"/>
        </w:rPr>
        <w:t>可能另外要求的，与投标有关的文件资料，并保证我方已提供和将要提供的文件资料是真实、准确的。</w:t>
      </w:r>
    </w:p>
    <w:p w14:paraId="1DEEC0CD">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6、我方完全理解</w:t>
      </w:r>
      <w:r>
        <w:rPr>
          <w:rFonts w:hint="eastAsia" w:ascii="仿宋" w:hAnsi="仿宋" w:eastAsia="仿宋" w:cs="仿宋"/>
          <w:bCs/>
          <w:color w:val="auto"/>
          <w:kern w:val="2"/>
          <w:sz w:val="22"/>
          <w:szCs w:val="22"/>
          <w:lang w:eastAsia="zh-CN"/>
        </w:rPr>
        <w:t>采购人</w:t>
      </w:r>
      <w:r>
        <w:rPr>
          <w:rFonts w:hint="eastAsia" w:ascii="仿宋" w:hAnsi="仿宋" w:eastAsia="仿宋" w:cs="仿宋"/>
          <w:bCs/>
          <w:color w:val="auto"/>
          <w:kern w:val="2"/>
          <w:sz w:val="22"/>
          <w:szCs w:val="22"/>
        </w:rPr>
        <w:t>不一定将合同授予最低报价的</w:t>
      </w:r>
      <w:r>
        <w:rPr>
          <w:rFonts w:hint="eastAsia" w:ascii="仿宋" w:hAnsi="仿宋" w:eastAsia="仿宋" w:cs="仿宋"/>
          <w:bCs/>
          <w:color w:val="auto"/>
          <w:kern w:val="2"/>
          <w:sz w:val="22"/>
          <w:szCs w:val="22"/>
          <w:lang w:eastAsia="zh-CN"/>
        </w:rPr>
        <w:t>供应商</w:t>
      </w:r>
      <w:r>
        <w:rPr>
          <w:rFonts w:hint="eastAsia" w:ascii="仿宋" w:hAnsi="仿宋" w:eastAsia="仿宋" w:cs="仿宋"/>
          <w:bCs/>
          <w:color w:val="auto"/>
          <w:kern w:val="2"/>
          <w:sz w:val="22"/>
          <w:szCs w:val="22"/>
        </w:rPr>
        <w:t>的行为。</w:t>
      </w:r>
    </w:p>
    <w:p w14:paraId="4BE44D9E">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lang w:eastAsia="zh-CN"/>
        </w:rPr>
        <w:t>供应商</w:t>
      </w:r>
      <w:r>
        <w:rPr>
          <w:rFonts w:hint="eastAsia" w:ascii="仿宋" w:hAnsi="仿宋" w:eastAsia="仿宋" w:cs="仿宋"/>
          <w:bCs/>
          <w:color w:val="auto"/>
          <w:kern w:val="2"/>
          <w:sz w:val="22"/>
          <w:szCs w:val="22"/>
        </w:rPr>
        <w:t>名称：        （盖章）</w:t>
      </w:r>
    </w:p>
    <w:p w14:paraId="1D9CC46E">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法定代表人（签字或盖章）：</w:t>
      </w:r>
    </w:p>
    <w:p w14:paraId="0CA5C783">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授权代表（签字或盖章）：</w:t>
      </w:r>
    </w:p>
    <w:p w14:paraId="3D877538">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通讯地址：</w:t>
      </w:r>
    </w:p>
    <w:p w14:paraId="24BA505F">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联系电话：                             日    期：</w:t>
      </w:r>
    </w:p>
    <w:p w14:paraId="684337A7">
      <w:pPr>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br w:type="page"/>
      </w:r>
    </w:p>
    <w:p w14:paraId="34D1EE2B">
      <w:pPr>
        <w:pStyle w:val="5"/>
        <w:bidi w:val="0"/>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二、开标一览表（首次报价）</w:t>
      </w:r>
    </w:p>
    <w:p w14:paraId="04EC328B">
      <w:pPr>
        <w:adjustRightInd w:val="0"/>
        <w:snapToGrid w:val="0"/>
        <w:spacing w:line="400" w:lineRule="exact"/>
        <w:ind w:firstLine="420"/>
        <w:outlineLvl w:val="9"/>
        <w:rPr>
          <w:rFonts w:hint="eastAsia" w:ascii="仿宋" w:hAnsi="仿宋" w:eastAsia="仿宋" w:cs="仿宋"/>
          <w:color w:val="auto"/>
          <w:kern w:val="2"/>
          <w:sz w:val="22"/>
          <w:szCs w:val="22"/>
        </w:rPr>
      </w:pPr>
    </w:p>
    <w:p w14:paraId="4025C82F">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auto"/>
          <w:sz w:val="22"/>
          <w:szCs w:val="22"/>
        </w:rPr>
      </w:pPr>
    </w:p>
    <w:p w14:paraId="61979669">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auto"/>
          <w:sz w:val="22"/>
          <w:szCs w:val="22"/>
          <w:u w:val="single"/>
        </w:rPr>
      </w:pPr>
      <w:r>
        <w:rPr>
          <w:rFonts w:hint="eastAsia" w:ascii="仿宋" w:hAnsi="仿宋" w:eastAsia="仿宋" w:cs="仿宋"/>
          <w:color w:val="auto"/>
          <w:sz w:val="22"/>
          <w:szCs w:val="22"/>
        </w:rPr>
        <w:t>招标项目名称：</w:t>
      </w:r>
      <w:r>
        <w:rPr>
          <w:rFonts w:hint="eastAsia" w:ascii="仿宋" w:hAnsi="仿宋" w:eastAsia="仿宋" w:cs="仿宋"/>
          <w:color w:val="auto"/>
          <w:sz w:val="22"/>
          <w:szCs w:val="22"/>
          <w:u w:val="single"/>
        </w:rPr>
        <w:t xml:space="preserve">                                             </w:t>
      </w:r>
    </w:p>
    <w:p w14:paraId="4AAF2784">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auto"/>
          <w:sz w:val="22"/>
          <w:szCs w:val="22"/>
          <w:u w:val="single"/>
        </w:rPr>
      </w:pPr>
      <w:r>
        <w:rPr>
          <w:rFonts w:hint="eastAsia" w:ascii="仿宋" w:hAnsi="仿宋" w:eastAsia="仿宋" w:cs="仿宋"/>
          <w:color w:val="auto"/>
          <w:sz w:val="22"/>
          <w:szCs w:val="22"/>
          <w:lang w:eastAsia="zh-CN"/>
        </w:rPr>
        <w:t>供应商</w:t>
      </w:r>
      <w:r>
        <w:rPr>
          <w:rFonts w:hint="eastAsia" w:ascii="仿宋" w:hAnsi="仿宋" w:eastAsia="仿宋" w:cs="仿宋"/>
          <w:color w:val="auto"/>
          <w:sz w:val="22"/>
          <w:szCs w:val="22"/>
        </w:rPr>
        <w:t>名称：</w:t>
      </w:r>
      <w:r>
        <w:rPr>
          <w:rFonts w:hint="eastAsia" w:ascii="仿宋" w:hAnsi="仿宋" w:eastAsia="仿宋" w:cs="仿宋"/>
          <w:color w:val="auto"/>
          <w:sz w:val="22"/>
          <w:szCs w:val="22"/>
          <w:u w:val="single"/>
        </w:rPr>
        <w:t xml:space="preserve">                                               </w:t>
      </w:r>
    </w:p>
    <w:p w14:paraId="388329D2">
      <w:pPr>
        <w:pStyle w:val="3"/>
        <w:outlineLvl w:val="9"/>
        <w:rPr>
          <w:rFonts w:hint="eastAsia" w:ascii="仿宋" w:hAnsi="仿宋" w:eastAsia="仿宋" w:cs="仿宋"/>
          <w:color w:val="auto"/>
          <w:sz w:val="22"/>
          <w:szCs w:val="22"/>
        </w:rPr>
      </w:pPr>
    </w:p>
    <w:tbl>
      <w:tblPr>
        <w:tblStyle w:val="26"/>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6498"/>
      </w:tblGrid>
      <w:tr w14:paraId="6F3D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077" w:type="dxa"/>
            <w:vAlign w:val="center"/>
          </w:tcPr>
          <w:p w14:paraId="68D6AC9C">
            <w:pPr>
              <w:widowControl/>
              <w:adjustRightInd w:val="0"/>
              <w:snapToGrid w:val="0"/>
              <w:spacing w:line="400" w:lineRule="exact"/>
              <w:ind w:firstLine="0" w:firstLineChars="0"/>
              <w:jc w:val="center"/>
              <w:outlineLvl w:val="9"/>
              <w:rPr>
                <w:rFonts w:hint="eastAsia" w:ascii="仿宋" w:hAnsi="仿宋" w:eastAsia="仿宋" w:cs="仿宋"/>
                <w:b/>
                <w:bCs/>
                <w:color w:val="auto"/>
                <w:sz w:val="22"/>
                <w:szCs w:val="22"/>
              </w:rPr>
            </w:pPr>
            <w:r>
              <w:rPr>
                <w:rFonts w:hint="eastAsia" w:ascii="仿宋" w:hAnsi="仿宋" w:eastAsia="仿宋" w:cs="仿宋"/>
                <w:b/>
                <w:bCs/>
                <w:color w:val="auto"/>
                <w:sz w:val="22"/>
                <w:szCs w:val="22"/>
              </w:rPr>
              <w:t>投标内容</w:t>
            </w:r>
          </w:p>
        </w:tc>
        <w:tc>
          <w:tcPr>
            <w:tcW w:w="6498" w:type="dxa"/>
            <w:vAlign w:val="center"/>
          </w:tcPr>
          <w:p w14:paraId="5EF8FD59">
            <w:pPr>
              <w:widowControl/>
              <w:adjustRightInd w:val="0"/>
              <w:snapToGrid w:val="0"/>
              <w:spacing w:line="400" w:lineRule="exact"/>
              <w:ind w:firstLine="0" w:firstLineChars="0"/>
              <w:jc w:val="center"/>
              <w:outlineLvl w:val="9"/>
              <w:rPr>
                <w:rFonts w:hint="eastAsia" w:ascii="仿宋" w:hAnsi="仿宋" w:eastAsia="仿宋" w:cs="仿宋"/>
                <w:b/>
                <w:bCs/>
                <w:color w:val="auto"/>
                <w:sz w:val="22"/>
                <w:szCs w:val="22"/>
              </w:rPr>
            </w:pPr>
            <w:r>
              <w:rPr>
                <w:rFonts w:hint="eastAsia" w:ascii="仿宋" w:hAnsi="仿宋" w:eastAsia="仿宋" w:cs="仿宋"/>
                <w:b/>
                <w:bCs/>
                <w:color w:val="auto"/>
                <w:sz w:val="22"/>
                <w:szCs w:val="22"/>
              </w:rPr>
              <w:t>投标总报价</w:t>
            </w:r>
          </w:p>
        </w:tc>
      </w:tr>
      <w:tr w14:paraId="7A61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077" w:type="dxa"/>
            <w:vMerge w:val="restart"/>
            <w:vAlign w:val="center"/>
          </w:tcPr>
          <w:p w14:paraId="566CE289">
            <w:pPr>
              <w:widowControl/>
              <w:adjustRightInd w:val="0"/>
              <w:snapToGrid w:val="0"/>
              <w:spacing w:line="400" w:lineRule="exact"/>
              <w:ind w:firstLine="0" w:firstLineChars="0"/>
              <w:jc w:val="center"/>
              <w:outlineLvl w:val="9"/>
              <w:rPr>
                <w:rFonts w:hint="eastAsia" w:ascii="仿宋" w:hAnsi="仿宋" w:eastAsia="仿宋" w:cs="仿宋"/>
                <w:color w:val="auto"/>
                <w:sz w:val="22"/>
                <w:szCs w:val="22"/>
              </w:rPr>
            </w:pPr>
          </w:p>
        </w:tc>
        <w:tc>
          <w:tcPr>
            <w:tcW w:w="6498" w:type="dxa"/>
            <w:vAlign w:val="center"/>
          </w:tcPr>
          <w:p w14:paraId="3FA47D4D">
            <w:pPr>
              <w:widowControl/>
              <w:adjustRightInd w:val="0"/>
              <w:snapToGrid w:val="0"/>
              <w:spacing w:line="400" w:lineRule="exact"/>
              <w:ind w:firstLine="0" w:firstLineChars="0"/>
              <w:jc w:val="left"/>
              <w:outlineLvl w:val="9"/>
              <w:rPr>
                <w:rFonts w:hint="eastAsia" w:ascii="仿宋" w:hAnsi="仿宋" w:eastAsia="仿宋" w:cs="仿宋"/>
                <w:color w:val="auto"/>
                <w:sz w:val="22"/>
                <w:szCs w:val="22"/>
              </w:rPr>
            </w:pPr>
            <w:r>
              <w:rPr>
                <w:rFonts w:hint="eastAsia" w:ascii="仿宋" w:hAnsi="仿宋" w:eastAsia="仿宋" w:cs="仿宋"/>
                <w:color w:val="auto"/>
                <w:sz w:val="22"/>
                <w:szCs w:val="22"/>
              </w:rPr>
              <w:t xml:space="preserve">小写：￥                                      元     </w:t>
            </w:r>
          </w:p>
        </w:tc>
      </w:tr>
      <w:tr w14:paraId="12D9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077" w:type="dxa"/>
            <w:vMerge w:val="continue"/>
            <w:vAlign w:val="center"/>
          </w:tcPr>
          <w:p w14:paraId="759F1FC7">
            <w:pPr>
              <w:widowControl/>
              <w:adjustRightInd w:val="0"/>
              <w:snapToGrid w:val="0"/>
              <w:spacing w:line="400" w:lineRule="exact"/>
              <w:ind w:firstLine="0" w:firstLineChars="0"/>
              <w:jc w:val="center"/>
              <w:outlineLvl w:val="9"/>
              <w:rPr>
                <w:rFonts w:hint="eastAsia" w:ascii="仿宋" w:hAnsi="仿宋" w:eastAsia="仿宋" w:cs="仿宋"/>
                <w:color w:val="auto"/>
                <w:sz w:val="22"/>
                <w:szCs w:val="22"/>
              </w:rPr>
            </w:pPr>
          </w:p>
        </w:tc>
        <w:tc>
          <w:tcPr>
            <w:tcW w:w="6498" w:type="dxa"/>
            <w:vAlign w:val="center"/>
          </w:tcPr>
          <w:p w14:paraId="01080CBD">
            <w:pPr>
              <w:widowControl/>
              <w:adjustRightInd w:val="0"/>
              <w:snapToGrid w:val="0"/>
              <w:spacing w:line="400" w:lineRule="exact"/>
              <w:ind w:firstLine="0" w:firstLineChars="0"/>
              <w:jc w:val="left"/>
              <w:outlineLvl w:val="9"/>
              <w:rPr>
                <w:rFonts w:hint="eastAsia" w:ascii="仿宋" w:hAnsi="仿宋" w:eastAsia="仿宋" w:cs="仿宋"/>
                <w:color w:val="auto"/>
                <w:sz w:val="22"/>
                <w:szCs w:val="22"/>
              </w:rPr>
            </w:pPr>
            <w:r>
              <w:rPr>
                <w:rFonts w:hint="eastAsia" w:ascii="仿宋" w:hAnsi="仿宋" w:eastAsia="仿宋" w:cs="仿宋"/>
                <w:color w:val="auto"/>
                <w:sz w:val="22"/>
                <w:szCs w:val="22"/>
              </w:rPr>
              <w:t>大写：</w:t>
            </w:r>
          </w:p>
        </w:tc>
      </w:tr>
      <w:tr w14:paraId="3DD9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077" w:type="dxa"/>
            <w:vAlign w:val="center"/>
          </w:tcPr>
          <w:p w14:paraId="21780530">
            <w:pPr>
              <w:widowControl/>
              <w:adjustRightInd w:val="0"/>
              <w:snapToGrid w:val="0"/>
              <w:spacing w:line="400" w:lineRule="exact"/>
              <w:ind w:firstLine="0" w:firstLineChars="0"/>
              <w:jc w:val="center"/>
              <w:outlineLvl w:val="9"/>
              <w:rPr>
                <w:rFonts w:hint="eastAsia" w:ascii="仿宋" w:hAnsi="仿宋" w:eastAsia="仿宋" w:cs="仿宋"/>
                <w:color w:val="auto"/>
                <w:sz w:val="22"/>
                <w:szCs w:val="22"/>
              </w:rPr>
            </w:pPr>
            <w:r>
              <w:rPr>
                <w:rFonts w:hint="eastAsia" w:ascii="仿宋" w:hAnsi="仿宋" w:eastAsia="仿宋" w:cs="仿宋"/>
                <w:color w:val="auto"/>
                <w:kern w:val="2"/>
                <w:sz w:val="22"/>
                <w:szCs w:val="22"/>
                <w:lang w:eastAsia="zh-CN"/>
              </w:rPr>
              <w:t>合同履约期限</w:t>
            </w:r>
          </w:p>
        </w:tc>
        <w:tc>
          <w:tcPr>
            <w:tcW w:w="6498" w:type="dxa"/>
            <w:tcBorders>
              <w:bottom w:val="single" w:color="auto" w:sz="4" w:space="0"/>
            </w:tcBorders>
            <w:vAlign w:val="center"/>
          </w:tcPr>
          <w:p w14:paraId="776520A6">
            <w:pPr>
              <w:adjustRightInd w:val="0"/>
              <w:snapToGrid w:val="0"/>
              <w:spacing w:line="400" w:lineRule="exact"/>
              <w:ind w:firstLine="0" w:firstLineChars="0"/>
              <w:jc w:val="left"/>
              <w:outlineLvl w:val="9"/>
              <w:rPr>
                <w:rFonts w:hint="eastAsia" w:ascii="仿宋" w:hAnsi="仿宋" w:eastAsia="仿宋" w:cs="仿宋"/>
                <w:color w:val="auto"/>
                <w:sz w:val="22"/>
                <w:szCs w:val="22"/>
              </w:rPr>
            </w:pPr>
          </w:p>
        </w:tc>
      </w:tr>
    </w:tbl>
    <w:p w14:paraId="496354FE">
      <w:pPr>
        <w:autoSpaceDE w:val="0"/>
        <w:autoSpaceDN w:val="0"/>
        <w:adjustRightInd w:val="0"/>
        <w:snapToGrid w:val="0"/>
        <w:spacing w:line="400" w:lineRule="exact"/>
        <w:ind w:firstLine="0" w:firstLineChars="0"/>
        <w:jc w:val="left"/>
        <w:outlineLvl w:val="9"/>
        <w:rPr>
          <w:rFonts w:hint="eastAsia" w:ascii="仿宋" w:hAnsi="仿宋" w:eastAsia="仿宋" w:cs="仿宋"/>
          <w:color w:val="auto"/>
          <w:sz w:val="22"/>
          <w:szCs w:val="22"/>
        </w:rPr>
      </w:pPr>
    </w:p>
    <w:p w14:paraId="3599EE20">
      <w:pPr>
        <w:autoSpaceDE w:val="0"/>
        <w:autoSpaceDN w:val="0"/>
        <w:adjustRightInd w:val="0"/>
        <w:snapToGrid w:val="0"/>
        <w:spacing w:line="400" w:lineRule="exact"/>
        <w:ind w:firstLine="0" w:firstLineChars="0"/>
        <w:jc w:val="left"/>
        <w:outlineLvl w:val="9"/>
        <w:rPr>
          <w:rFonts w:hint="eastAsia" w:ascii="仿宋" w:hAnsi="仿宋" w:eastAsia="仿宋" w:cs="仿宋"/>
          <w:bCs/>
          <w:color w:val="auto"/>
          <w:sz w:val="22"/>
          <w:szCs w:val="22"/>
        </w:rPr>
      </w:pPr>
      <w:r>
        <w:rPr>
          <w:rFonts w:hint="eastAsia" w:ascii="仿宋" w:hAnsi="仿宋" w:eastAsia="仿宋" w:cs="仿宋"/>
          <w:color w:val="auto"/>
          <w:sz w:val="22"/>
          <w:szCs w:val="22"/>
        </w:rPr>
        <w:t>兹声明：以上投标报价在投标有效期内一直有效。</w:t>
      </w:r>
    </w:p>
    <w:p w14:paraId="6F346BA4">
      <w:pPr>
        <w:adjustRightInd w:val="0"/>
        <w:snapToGrid w:val="0"/>
        <w:spacing w:line="400" w:lineRule="exact"/>
        <w:ind w:firstLine="0" w:firstLineChars="0"/>
        <w:jc w:val="left"/>
        <w:outlineLvl w:val="9"/>
        <w:rPr>
          <w:rFonts w:hint="eastAsia" w:ascii="仿宋" w:hAnsi="仿宋" w:eastAsia="仿宋" w:cs="仿宋"/>
          <w:bCs/>
          <w:color w:val="auto"/>
          <w:kern w:val="2"/>
          <w:sz w:val="22"/>
          <w:szCs w:val="22"/>
        </w:rPr>
      </w:pPr>
    </w:p>
    <w:p w14:paraId="5B6BF4EA">
      <w:pPr>
        <w:adjustRightInd w:val="0"/>
        <w:snapToGrid w:val="0"/>
        <w:spacing w:line="400" w:lineRule="exact"/>
        <w:ind w:firstLine="0" w:firstLineChars="0"/>
        <w:jc w:val="left"/>
        <w:outlineLvl w:val="9"/>
        <w:rPr>
          <w:rFonts w:hint="eastAsia" w:ascii="仿宋" w:hAnsi="仿宋" w:eastAsia="仿宋" w:cs="仿宋"/>
          <w:bCs/>
          <w:color w:val="auto"/>
          <w:kern w:val="2"/>
          <w:sz w:val="22"/>
          <w:szCs w:val="22"/>
        </w:rPr>
      </w:pPr>
    </w:p>
    <w:p w14:paraId="4D5785C7">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lang w:eastAsia="zh-CN"/>
        </w:rPr>
        <w:t>供应商</w:t>
      </w:r>
      <w:r>
        <w:rPr>
          <w:rFonts w:hint="eastAsia" w:ascii="仿宋" w:hAnsi="仿宋" w:eastAsia="仿宋" w:cs="仿宋"/>
          <w:bCs/>
          <w:color w:val="auto"/>
          <w:kern w:val="2"/>
          <w:sz w:val="22"/>
          <w:szCs w:val="22"/>
        </w:rPr>
        <w:t>名称：        （盖章）</w:t>
      </w:r>
    </w:p>
    <w:p w14:paraId="7204D27A">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r>
        <w:rPr>
          <w:rFonts w:hint="eastAsia" w:ascii="仿宋" w:hAnsi="仿宋" w:eastAsia="仿宋" w:cs="仿宋"/>
          <w:color w:val="auto"/>
          <w:kern w:val="2"/>
          <w:sz w:val="22"/>
          <w:szCs w:val="22"/>
        </w:rPr>
        <w:t>法定代表人</w:t>
      </w:r>
      <w:r>
        <w:rPr>
          <w:rFonts w:hint="eastAsia" w:ascii="仿宋" w:hAnsi="仿宋" w:eastAsia="仿宋" w:cs="仿宋"/>
          <w:color w:val="auto"/>
          <w:kern w:val="2"/>
          <w:sz w:val="22"/>
          <w:szCs w:val="22"/>
          <w:lang w:val="en-US" w:eastAsia="zh-CN"/>
        </w:rPr>
        <w:t>或</w:t>
      </w:r>
      <w:r>
        <w:rPr>
          <w:rFonts w:hint="eastAsia" w:ascii="仿宋" w:hAnsi="仿宋" w:eastAsia="仿宋" w:cs="仿宋"/>
          <w:color w:val="auto"/>
          <w:kern w:val="2"/>
          <w:sz w:val="22"/>
          <w:szCs w:val="22"/>
        </w:rPr>
        <w:t>授权代表（签字</w:t>
      </w:r>
      <w:r>
        <w:rPr>
          <w:rFonts w:hint="eastAsia" w:ascii="仿宋" w:hAnsi="仿宋" w:eastAsia="仿宋" w:cs="仿宋"/>
          <w:color w:val="auto"/>
          <w:kern w:val="2"/>
          <w:sz w:val="22"/>
          <w:szCs w:val="22"/>
          <w:lang w:val="en-US" w:eastAsia="zh-CN"/>
        </w:rPr>
        <w:t>或盖章</w:t>
      </w:r>
      <w:r>
        <w:rPr>
          <w:rFonts w:hint="eastAsia" w:ascii="仿宋" w:hAnsi="仿宋" w:eastAsia="仿宋" w:cs="仿宋"/>
          <w:color w:val="auto"/>
          <w:kern w:val="2"/>
          <w:sz w:val="22"/>
          <w:szCs w:val="22"/>
        </w:rPr>
        <w:t>）</w:t>
      </w:r>
      <w:r>
        <w:rPr>
          <w:rFonts w:hint="eastAsia" w:ascii="仿宋" w:hAnsi="仿宋" w:eastAsia="仿宋" w:cs="仿宋"/>
          <w:bCs/>
          <w:color w:val="auto"/>
          <w:kern w:val="2"/>
          <w:sz w:val="22"/>
          <w:szCs w:val="22"/>
        </w:rPr>
        <w:t>：</w:t>
      </w:r>
    </w:p>
    <w:p w14:paraId="2ED15268">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rPr>
      </w:pPr>
      <w:r>
        <w:rPr>
          <w:rFonts w:hint="eastAsia" w:ascii="仿宋" w:hAnsi="仿宋" w:eastAsia="仿宋" w:cs="仿宋"/>
          <w:bCs/>
          <w:color w:val="auto"/>
          <w:kern w:val="2"/>
          <w:sz w:val="22"/>
          <w:szCs w:val="22"/>
        </w:rPr>
        <w:t>投标日期：</w:t>
      </w:r>
    </w:p>
    <w:p w14:paraId="251CEE51">
      <w:pPr>
        <w:adjustRightInd w:val="0"/>
        <w:snapToGrid w:val="0"/>
        <w:spacing w:line="400" w:lineRule="exact"/>
        <w:ind w:firstLine="0" w:firstLineChars="0"/>
        <w:outlineLvl w:val="9"/>
        <w:rPr>
          <w:rFonts w:hint="eastAsia" w:ascii="仿宋" w:hAnsi="仿宋" w:eastAsia="仿宋" w:cs="仿宋"/>
          <w:bCs/>
          <w:color w:val="auto"/>
          <w:kern w:val="2"/>
          <w:sz w:val="22"/>
          <w:szCs w:val="22"/>
        </w:rPr>
      </w:pPr>
    </w:p>
    <w:p w14:paraId="0E8F4D11">
      <w:pPr>
        <w:adjustRightInd w:val="0"/>
        <w:snapToGrid w:val="0"/>
        <w:spacing w:line="400" w:lineRule="exact"/>
        <w:ind w:firstLine="0" w:firstLineChars="0"/>
        <w:outlineLvl w:val="9"/>
        <w:rPr>
          <w:rFonts w:hint="eastAsia" w:ascii="仿宋" w:hAnsi="仿宋" w:eastAsia="仿宋" w:cs="仿宋"/>
          <w:bCs/>
          <w:color w:val="auto"/>
          <w:kern w:val="2"/>
          <w:sz w:val="22"/>
          <w:szCs w:val="22"/>
        </w:rPr>
      </w:pPr>
    </w:p>
    <w:p w14:paraId="59EC49D0">
      <w:pPr>
        <w:adjustRightInd w:val="0"/>
        <w:snapToGrid w:val="0"/>
        <w:spacing w:line="400" w:lineRule="exact"/>
        <w:ind w:firstLine="420"/>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t>注：1、本表格式不得更改，</w:t>
      </w:r>
      <w:r>
        <w:rPr>
          <w:rFonts w:hint="eastAsia" w:ascii="仿宋" w:hAnsi="仿宋" w:eastAsia="仿宋" w:cs="仿宋"/>
          <w:bCs/>
          <w:color w:val="auto"/>
          <w:kern w:val="2"/>
          <w:sz w:val="22"/>
          <w:szCs w:val="22"/>
          <w:lang w:eastAsia="zh-CN"/>
        </w:rPr>
        <w:t>供应商</w:t>
      </w:r>
      <w:r>
        <w:rPr>
          <w:rFonts w:hint="eastAsia" w:ascii="仿宋" w:hAnsi="仿宋" w:eastAsia="仿宋" w:cs="仿宋"/>
          <w:bCs/>
          <w:color w:val="auto"/>
          <w:kern w:val="2"/>
          <w:sz w:val="22"/>
          <w:szCs w:val="22"/>
        </w:rPr>
        <w:t>只能按要求填报，否则将被视为无效投标。</w:t>
      </w:r>
    </w:p>
    <w:p w14:paraId="6F79F5B5">
      <w:pPr>
        <w:rPr>
          <w:rFonts w:hint="eastAsia" w:ascii="仿宋" w:hAnsi="仿宋" w:eastAsia="仿宋" w:cs="仿宋"/>
        </w:rPr>
      </w:pPr>
    </w:p>
    <w:p w14:paraId="540A7CAE">
      <w:pPr>
        <w:pStyle w:val="3"/>
        <w:rPr>
          <w:rFonts w:hint="eastAsia" w:ascii="仿宋" w:hAnsi="仿宋" w:eastAsia="仿宋" w:cs="仿宋"/>
        </w:rPr>
      </w:pPr>
    </w:p>
    <w:p w14:paraId="7BB4055A">
      <w:pPr>
        <w:rPr>
          <w:rFonts w:hint="eastAsia" w:ascii="仿宋" w:hAnsi="仿宋" w:eastAsia="仿宋" w:cs="仿宋"/>
        </w:rPr>
      </w:pPr>
    </w:p>
    <w:p w14:paraId="51137EBA">
      <w:pPr>
        <w:pStyle w:val="3"/>
        <w:rPr>
          <w:rFonts w:hint="eastAsia" w:ascii="仿宋" w:hAnsi="仿宋" w:eastAsia="仿宋" w:cs="仿宋"/>
        </w:rPr>
      </w:pPr>
    </w:p>
    <w:p w14:paraId="2A0D73B3">
      <w:pPr>
        <w:pStyle w:val="5"/>
        <w:bidi w:val="0"/>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三、投标担保</w:t>
      </w:r>
    </w:p>
    <w:p w14:paraId="7703BFCF">
      <w:pPr>
        <w:pStyle w:val="3"/>
        <w:numPr>
          <w:ilvl w:val="0"/>
          <w:numId w:val="0"/>
        </w:numPr>
        <w:jc w:val="center"/>
        <w:rPr>
          <w:rFonts w:hint="eastAsia" w:ascii="仿宋" w:hAnsi="仿宋" w:eastAsia="仿宋" w:cs="仿宋"/>
          <w:lang w:val="en-US" w:eastAsia="zh-CN"/>
        </w:rPr>
      </w:pPr>
      <w:r>
        <w:rPr>
          <w:rFonts w:hint="eastAsia" w:ascii="仿宋" w:hAnsi="仿宋" w:eastAsia="仿宋" w:cs="仿宋"/>
          <w:lang w:val="en-US" w:eastAsia="zh-CN"/>
        </w:rPr>
        <w:t>（投标担保证明和开户许可证）</w:t>
      </w:r>
    </w:p>
    <w:p w14:paraId="39E43240">
      <w:pPr>
        <w:rPr>
          <w:rFonts w:hint="eastAsia" w:ascii="仿宋" w:hAnsi="仿宋" w:eastAsia="仿宋" w:cs="仿宋"/>
          <w:lang w:val="en-US" w:eastAsia="zh-CN"/>
        </w:rPr>
      </w:pPr>
      <w:r>
        <w:rPr>
          <w:rFonts w:hint="eastAsia" w:ascii="仿宋" w:hAnsi="仿宋" w:eastAsia="仿宋" w:cs="仿宋"/>
          <w:lang w:val="en-US" w:eastAsia="zh-CN"/>
        </w:rPr>
        <w:br w:type="page"/>
      </w:r>
    </w:p>
    <w:bookmarkEnd w:id="188"/>
    <w:p w14:paraId="33C252E4">
      <w:pPr>
        <w:pStyle w:val="5"/>
        <w:bidi w:val="0"/>
        <w:jc w:val="center"/>
        <w:rPr>
          <w:rFonts w:hint="eastAsia" w:ascii="仿宋" w:hAnsi="仿宋" w:eastAsia="仿宋" w:cs="仿宋"/>
          <w:b/>
          <w:bCs/>
          <w:color w:val="auto"/>
          <w:kern w:val="2"/>
          <w:sz w:val="28"/>
          <w:szCs w:val="28"/>
          <w:lang w:val="en-US" w:eastAsia="zh-CN" w:bidi="ar-SA"/>
        </w:rPr>
      </w:pPr>
      <w:bookmarkStart w:id="201" w:name="_Toc12313"/>
      <w:bookmarkStart w:id="202" w:name="_Toc30514"/>
      <w:bookmarkStart w:id="203" w:name="_Toc13623"/>
      <w:bookmarkStart w:id="204" w:name="_Toc25851"/>
      <w:bookmarkStart w:id="205" w:name="_Toc16792"/>
      <w:r>
        <w:rPr>
          <w:rFonts w:hint="eastAsia" w:ascii="仿宋" w:hAnsi="仿宋" w:eastAsia="仿宋" w:cs="仿宋"/>
          <w:b/>
          <w:bCs/>
          <w:color w:val="auto"/>
          <w:kern w:val="2"/>
          <w:sz w:val="28"/>
          <w:szCs w:val="28"/>
          <w:lang w:val="en-US" w:eastAsia="zh-CN" w:bidi="ar-SA"/>
        </w:rPr>
        <w:t>四、</w:t>
      </w:r>
      <w:bookmarkEnd w:id="201"/>
      <w:bookmarkEnd w:id="202"/>
      <w:bookmarkEnd w:id="203"/>
      <w:bookmarkEnd w:id="204"/>
      <w:bookmarkEnd w:id="205"/>
      <w:r>
        <w:rPr>
          <w:rFonts w:hint="eastAsia" w:ascii="仿宋" w:hAnsi="仿宋" w:eastAsia="仿宋" w:cs="仿宋"/>
          <w:b/>
          <w:bCs/>
          <w:color w:val="auto"/>
          <w:kern w:val="2"/>
          <w:sz w:val="28"/>
          <w:szCs w:val="28"/>
          <w:lang w:val="en-US" w:eastAsia="zh-CN" w:bidi="ar-SA"/>
        </w:rPr>
        <w:t>法人身份证明书及授权书</w:t>
      </w:r>
    </w:p>
    <w:p w14:paraId="57F0726B">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14:textFill>
            <w14:solidFill>
              <w14:schemeClr w14:val="tx1"/>
            </w14:solidFill>
          </w14:textFill>
        </w:rPr>
      </w:pPr>
    </w:p>
    <w:p w14:paraId="44DE6B9A">
      <w:pPr>
        <w:adjustRightInd w:val="0"/>
        <w:snapToGrid w:val="0"/>
        <w:spacing w:line="400" w:lineRule="exact"/>
        <w:ind w:firstLine="0" w:firstLineChars="0"/>
        <w:jc w:val="both"/>
        <w:outlineLvl w:val="9"/>
        <w:rPr>
          <w:rFonts w:hint="eastAsia" w:ascii="仿宋" w:hAnsi="仿宋" w:eastAsia="仿宋" w:cs="仿宋"/>
          <w:b/>
          <w:bCs/>
          <w:color w:val="000000" w:themeColor="text1"/>
          <w:kern w:val="2"/>
          <w:sz w:val="22"/>
          <w:szCs w:val="22"/>
          <w14:textFill>
            <w14:solidFill>
              <w14:schemeClr w14:val="tx1"/>
            </w14:solidFill>
          </w14:textFill>
        </w:rPr>
      </w:pPr>
      <w:r>
        <w:rPr>
          <w:rFonts w:hint="eastAsia" w:ascii="仿宋" w:hAnsi="仿宋" w:eastAsia="仿宋" w:cs="仿宋"/>
          <w:b/>
          <w:bCs/>
          <w:color w:val="000000" w:themeColor="text1"/>
          <w:kern w:val="2"/>
          <w:sz w:val="22"/>
          <w:szCs w:val="22"/>
          <w:lang w:val="en-US" w:eastAsia="zh-CN"/>
          <w14:textFill>
            <w14:solidFill>
              <w14:schemeClr w14:val="tx1"/>
            </w14:solidFill>
          </w14:textFill>
        </w:rPr>
        <w:t>1、</w:t>
      </w:r>
      <w:r>
        <w:rPr>
          <w:rFonts w:hint="eastAsia" w:ascii="仿宋" w:hAnsi="仿宋" w:eastAsia="仿宋" w:cs="仿宋"/>
          <w:b/>
          <w:bCs/>
          <w:color w:val="000000" w:themeColor="text1"/>
          <w:kern w:val="2"/>
          <w:sz w:val="22"/>
          <w:szCs w:val="22"/>
          <w14:textFill>
            <w14:solidFill>
              <w14:schemeClr w14:val="tx1"/>
            </w14:solidFill>
          </w14:textFill>
        </w:rPr>
        <w:t>法定代表人身份证明书（</w:t>
      </w:r>
      <w:r>
        <w:rPr>
          <w:rFonts w:hint="eastAsia" w:ascii="仿宋" w:hAnsi="仿宋" w:eastAsia="仿宋" w:cs="仿宋"/>
          <w:b/>
          <w:bCs/>
          <w:color w:val="000000" w:themeColor="text1"/>
          <w:kern w:val="2"/>
          <w:sz w:val="22"/>
          <w:szCs w:val="22"/>
          <w:lang w:eastAsia="zh-CN"/>
          <w14:textFill>
            <w14:solidFill>
              <w14:schemeClr w14:val="tx1"/>
            </w14:solidFill>
          </w14:textFill>
        </w:rPr>
        <w:t>供应商</w:t>
      </w:r>
      <w:r>
        <w:rPr>
          <w:rFonts w:hint="eastAsia" w:ascii="仿宋" w:hAnsi="仿宋" w:eastAsia="仿宋" w:cs="仿宋"/>
          <w:b/>
          <w:bCs/>
          <w:color w:val="000000" w:themeColor="text1"/>
          <w:kern w:val="2"/>
          <w:sz w:val="22"/>
          <w:szCs w:val="22"/>
          <w14:textFill>
            <w14:solidFill>
              <w14:schemeClr w14:val="tx1"/>
            </w14:solidFill>
          </w14:textFill>
        </w:rPr>
        <w:t>为法人）</w:t>
      </w:r>
    </w:p>
    <w:p w14:paraId="1BD3D012">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单位名称：</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36C7DF47">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7EFF7685">
      <w:pPr>
        <w:adjustRightInd w:val="0"/>
        <w:snapToGrid w:val="0"/>
        <w:spacing w:line="400" w:lineRule="exact"/>
        <w:ind w:firstLine="420"/>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姓    名：</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性别：</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年龄：</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职务：</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0FCDD1BA">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身份证号码：</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3C5EE9B7">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系</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的法定代表人。为服务</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（招标项目名称），签署上述</w:t>
      </w:r>
      <w:r>
        <w:rPr>
          <w:rFonts w:hint="eastAsia" w:ascii="仿宋" w:hAnsi="仿宋" w:eastAsia="仿宋" w:cs="仿宋"/>
          <w:color w:val="000000" w:themeColor="text1"/>
          <w:kern w:val="2"/>
          <w:sz w:val="22"/>
          <w:szCs w:val="22"/>
          <w:lang w:eastAsia="zh-CN"/>
          <w14:textFill>
            <w14:solidFill>
              <w14:schemeClr w14:val="tx1"/>
            </w14:solidFill>
          </w14:textFill>
        </w:rPr>
        <w:t>响应文件</w:t>
      </w:r>
      <w:r>
        <w:rPr>
          <w:rFonts w:hint="eastAsia" w:ascii="仿宋" w:hAnsi="仿宋" w:eastAsia="仿宋" w:cs="仿宋"/>
          <w:color w:val="000000" w:themeColor="text1"/>
          <w:kern w:val="2"/>
          <w:sz w:val="22"/>
          <w:szCs w:val="22"/>
          <w14:textFill>
            <w14:solidFill>
              <w14:schemeClr w14:val="tx1"/>
            </w14:solidFill>
          </w14:textFill>
        </w:rPr>
        <w:t>、进行合同谈判、签署合同和处理与之有关的一切事务。</w:t>
      </w:r>
    </w:p>
    <w:p w14:paraId="50E1AA68">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特此证明。</w:t>
      </w:r>
    </w:p>
    <w:p w14:paraId="288C55BF">
      <w:pPr>
        <w:adjustRightInd w:val="0"/>
        <w:snapToGrid w:val="0"/>
        <w:spacing w:line="400" w:lineRule="exact"/>
        <w:ind w:firstLine="2860" w:firstLineChars="130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lang w:eastAsia="zh-CN"/>
          <w14:textFill>
            <w14:solidFill>
              <w14:schemeClr w14:val="tx1"/>
            </w14:solidFill>
          </w14:textFill>
        </w:rPr>
        <w:t>投标供应商</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color w:val="000000" w:themeColor="text1"/>
          <w:kern w:val="2"/>
          <w:sz w:val="22"/>
          <w:szCs w:val="22"/>
          <w:u w:val="single"/>
          <w14:textFill>
            <w14:solidFill>
              <w14:schemeClr w14:val="tx1"/>
            </w14:solidFill>
          </w14:textFill>
        </w:rPr>
        <w:t xml:space="preserve">                  （公章） </w:t>
      </w:r>
    </w:p>
    <w:p w14:paraId="3F487523">
      <w:pPr>
        <w:adjustRightInd w:val="0"/>
        <w:snapToGrid w:val="0"/>
        <w:spacing w:line="400" w:lineRule="exact"/>
        <w:ind w:firstLine="2970" w:firstLineChars="135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日   期：</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年</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月</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日</w:t>
      </w:r>
    </w:p>
    <w:p w14:paraId="58C9727E">
      <w:pPr>
        <w:adjustRightInd w:val="0"/>
        <w:snapToGrid w:val="0"/>
        <w:spacing w:line="400" w:lineRule="exact"/>
        <w:ind w:firstLine="0" w:firstLineChars="0"/>
        <w:outlineLvl w:val="9"/>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2"/>
          <w:szCs w:val="22"/>
          <w14:textFill>
            <w14:solidFill>
              <w14:schemeClr w14:val="tx1"/>
            </w14:solidFill>
          </w14:textFill>
        </w:rPr>
        <w:t>附法人身份证扫描件</w:t>
      </w:r>
    </w:p>
    <w:p w14:paraId="28C9CAFF">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14:textFill>
            <w14:solidFill>
              <w14:schemeClr w14:val="tx1"/>
            </w14:solidFill>
          </w14:textFill>
        </w:rPr>
      </w:pPr>
    </w:p>
    <w:p w14:paraId="73839DF1">
      <w:pPr>
        <w:adjustRightInd w:val="0"/>
        <w:snapToGrid w:val="0"/>
        <w:spacing w:line="400" w:lineRule="exact"/>
        <w:ind w:firstLine="0" w:firstLineChars="0"/>
        <w:jc w:val="both"/>
        <w:outlineLvl w:val="9"/>
        <w:rPr>
          <w:rFonts w:hint="eastAsia" w:ascii="仿宋" w:hAnsi="仿宋" w:eastAsia="仿宋" w:cs="仿宋"/>
          <w:b/>
          <w:bCs/>
          <w:color w:val="000000" w:themeColor="text1"/>
          <w:kern w:val="2"/>
          <w:sz w:val="22"/>
          <w:szCs w:val="22"/>
          <w:lang w:val="en-US" w:eastAsia="zh-CN"/>
          <w14:textFill>
            <w14:solidFill>
              <w14:schemeClr w14:val="tx1"/>
            </w14:solidFill>
          </w14:textFill>
        </w:rPr>
      </w:pPr>
    </w:p>
    <w:p w14:paraId="5737610F">
      <w:pPr>
        <w:adjustRightInd w:val="0"/>
        <w:snapToGrid w:val="0"/>
        <w:spacing w:line="400" w:lineRule="exact"/>
        <w:ind w:firstLine="0" w:firstLineChars="0"/>
        <w:jc w:val="both"/>
        <w:outlineLvl w:val="9"/>
        <w:rPr>
          <w:rFonts w:hint="eastAsia" w:ascii="仿宋" w:hAnsi="仿宋" w:eastAsia="仿宋" w:cs="仿宋"/>
          <w:b/>
          <w:bCs/>
          <w:color w:val="000000" w:themeColor="text1"/>
          <w:kern w:val="2"/>
          <w:sz w:val="22"/>
          <w:szCs w:val="22"/>
          <w:lang w:val="en-US" w:eastAsia="zh-CN"/>
          <w14:textFill>
            <w14:solidFill>
              <w14:schemeClr w14:val="tx1"/>
            </w14:solidFill>
          </w14:textFill>
        </w:rPr>
      </w:pPr>
    </w:p>
    <w:p w14:paraId="2326DBAD">
      <w:pPr>
        <w:adjustRightInd w:val="0"/>
        <w:snapToGrid w:val="0"/>
        <w:spacing w:line="400" w:lineRule="exact"/>
        <w:ind w:firstLine="0" w:firstLineChars="0"/>
        <w:jc w:val="both"/>
        <w:outlineLvl w:val="9"/>
        <w:rPr>
          <w:rFonts w:hint="eastAsia" w:ascii="仿宋" w:hAnsi="仿宋" w:eastAsia="仿宋" w:cs="仿宋"/>
          <w:b/>
          <w:bCs/>
          <w:color w:val="000000" w:themeColor="text1"/>
          <w:kern w:val="2"/>
          <w:sz w:val="22"/>
          <w:szCs w:val="22"/>
          <w:lang w:val="en-US" w:eastAsia="zh-CN"/>
          <w14:textFill>
            <w14:solidFill>
              <w14:schemeClr w14:val="tx1"/>
            </w14:solidFill>
          </w14:textFill>
        </w:rPr>
      </w:pPr>
    </w:p>
    <w:p w14:paraId="0345EBE6">
      <w:pPr>
        <w:adjustRightInd w:val="0"/>
        <w:snapToGrid w:val="0"/>
        <w:spacing w:line="400" w:lineRule="exact"/>
        <w:ind w:firstLine="0" w:firstLineChars="0"/>
        <w:jc w:val="both"/>
        <w:outlineLvl w:val="9"/>
        <w:rPr>
          <w:rFonts w:hint="eastAsia" w:ascii="仿宋" w:hAnsi="仿宋" w:eastAsia="仿宋" w:cs="仿宋"/>
          <w:b/>
          <w:bCs/>
          <w:color w:val="000000" w:themeColor="text1"/>
          <w:kern w:val="2"/>
          <w:sz w:val="22"/>
          <w:szCs w:val="22"/>
          <w14:textFill>
            <w14:solidFill>
              <w14:schemeClr w14:val="tx1"/>
            </w14:solidFill>
          </w14:textFill>
        </w:rPr>
      </w:pPr>
      <w:r>
        <w:rPr>
          <w:rFonts w:hint="eastAsia" w:ascii="仿宋" w:hAnsi="仿宋" w:eastAsia="仿宋" w:cs="仿宋"/>
          <w:b/>
          <w:bCs/>
          <w:color w:val="000000" w:themeColor="text1"/>
          <w:kern w:val="2"/>
          <w:sz w:val="22"/>
          <w:szCs w:val="22"/>
          <w:lang w:val="en-US" w:eastAsia="zh-CN"/>
          <w14:textFill>
            <w14:solidFill>
              <w14:schemeClr w14:val="tx1"/>
            </w14:solidFill>
          </w14:textFill>
        </w:rPr>
        <w:t>2、</w:t>
      </w:r>
      <w:r>
        <w:rPr>
          <w:rFonts w:hint="eastAsia" w:ascii="仿宋" w:hAnsi="仿宋" w:eastAsia="仿宋" w:cs="仿宋"/>
          <w:b/>
          <w:bCs/>
          <w:color w:val="000000" w:themeColor="text1"/>
          <w:kern w:val="2"/>
          <w:sz w:val="22"/>
          <w:szCs w:val="22"/>
          <w14:textFill>
            <w14:solidFill>
              <w14:schemeClr w14:val="tx1"/>
            </w14:solidFill>
          </w14:textFill>
        </w:rPr>
        <w:t>法定代表人授权书（供应商为</w:t>
      </w:r>
      <w:r>
        <w:rPr>
          <w:rFonts w:hint="eastAsia" w:ascii="仿宋" w:hAnsi="仿宋" w:eastAsia="仿宋" w:cs="仿宋"/>
          <w:b/>
          <w:bCs/>
          <w:color w:val="000000" w:themeColor="text1"/>
          <w:kern w:val="2"/>
          <w:sz w:val="22"/>
          <w:szCs w:val="22"/>
          <w:lang w:eastAsia="zh-CN"/>
          <w14:textFill>
            <w14:solidFill>
              <w14:schemeClr w14:val="tx1"/>
            </w14:solidFill>
          </w14:textFill>
        </w:rPr>
        <w:t>被授权人</w:t>
      </w:r>
      <w:r>
        <w:rPr>
          <w:rFonts w:hint="eastAsia" w:ascii="仿宋" w:hAnsi="仿宋" w:eastAsia="仿宋" w:cs="仿宋"/>
          <w:b/>
          <w:bCs/>
          <w:color w:val="000000" w:themeColor="text1"/>
          <w:kern w:val="2"/>
          <w:sz w:val="22"/>
          <w:szCs w:val="22"/>
          <w14:textFill>
            <w14:solidFill>
              <w14:schemeClr w14:val="tx1"/>
            </w14:solidFill>
          </w14:textFill>
        </w:rPr>
        <w:t>）</w:t>
      </w:r>
    </w:p>
    <w:p w14:paraId="26D09867">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14:textFill>
            <w14:solidFill>
              <w14:schemeClr w14:val="tx1"/>
            </w14:solidFill>
          </w14:textFill>
        </w:rPr>
      </w:pPr>
    </w:p>
    <w:p w14:paraId="5DF36F8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__________________（</w:t>
      </w:r>
      <w:r>
        <w:rPr>
          <w:rFonts w:hint="eastAsia" w:ascii="仿宋" w:hAnsi="仿宋" w:eastAsia="仿宋" w:cs="仿宋"/>
          <w:bCs/>
          <w:color w:val="000000" w:themeColor="text1"/>
          <w:kern w:val="2"/>
          <w:sz w:val="22"/>
          <w:szCs w:val="22"/>
          <w:lang w:eastAsia="zh-CN"/>
          <w14:textFill>
            <w14:solidFill>
              <w14:schemeClr w14:val="tx1"/>
            </w14:solidFill>
          </w14:textFill>
        </w:rPr>
        <w:t>采购人</w:t>
      </w:r>
      <w:r>
        <w:rPr>
          <w:rFonts w:hint="eastAsia" w:ascii="仿宋" w:hAnsi="仿宋" w:eastAsia="仿宋" w:cs="仿宋"/>
          <w:color w:val="000000" w:themeColor="text1"/>
          <w:kern w:val="2"/>
          <w:sz w:val="22"/>
          <w:szCs w:val="22"/>
          <w14:textFill>
            <w14:solidFill>
              <w14:schemeClr w14:val="tx1"/>
            </w14:solidFill>
          </w14:textFill>
        </w:rPr>
        <w:t>）：</w:t>
      </w:r>
    </w:p>
    <w:p w14:paraId="70D950BC">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本授权声明：</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color w:val="000000" w:themeColor="text1"/>
          <w:kern w:val="2"/>
          <w:sz w:val="22"/>
          <w:szCs w:val="22"/>
          <w:lang w:eastAsia="zh-CN"/>
          <w14:textFill>
            <w14:solidFill>
              <w14:schemeClr w14:val="tx1"/>
            </w14:solidFill>
          </w14:textFill>
        </w:rPr>
        <w:t>供应商</w:t>
      </w:r>
      <w:r>
        <w:rPr>
          <w:rFonts w:hint="eastAsia" w:ascii="仿宋" w:hAnsi="仿宋" w:eastAsia="仿宋" w:cs="仿宋"/>
          <w:color w:val="000000" w:themeColor="text1"/>
          <w:kern w:val="2"/>
          <w:sz w:val="22"/>
          <w:szCs w:val="22"/>
          <w14:textFill>
            <w14:solidFill>
              <w14:schemeClr w14:val="tx1"/>
            </w14:solidFill>
          </w14:textFill>
        </w:rPr>
        <w:t>名称）</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（法定代表人姓名、职务）授权</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（被授权人姓名、职务）为我方 “ </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bCs/>
          <w:color w:val="000000" w:themeColor="text1"/>
          <w:kern w:val="2"/>
          <w:sz w:val="22"/>
          <w:szCs w:val="22"/>
          <w14:textFill>
            <w14:solidFill>
              <w14:schemeClr w14:val="tx1"/>
            </w14:solidFill>
          </w14:textFill>
        </w:rPr>
        <w:t>（项目名称、招标编号）</w:t>
      </w:r>
      <w:r>
        <w:rPr>
          <w:rFonts w:hint="eastAsia" w:ascii="仿宋" w:hAnsi="仿宋" w:eastAsia="仿宋" w:cs="仿宋"/>
          <w:color w:val="000000" w:themeColor="text1"/>
          <w:kern w:val="2"/>
          <w:sz w:val="22"/>
          <w:szCs w:val="22"/>
          <w14:textFill>
            <w14:solidFill>
              <w14:schemeClr w14:val="tx1"/>
            </w14:solidFill>
          </w14:textFill>
        </w:rPr>
        <w:t>” 项目投标活动的合法代表，以我方名义全权处理该项目有关投标、签订合同以及执行合同等一切事宜。</w:t>
      </w:r>
    </w:p>
    <w:p w14:paraId="67CBAFEB">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p>
    <w:p w14:paraId="29DC514D">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特此声明。</w:t>
      </w:r>
    </w:p>
    <w:p w14:paraId="466E3001">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附：法人及被授权人身份证正反面</w:t>
      </w:r>
    </w:p>
    <w:p w14:paraId="7E5A98B5">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14:textFill>
            <w14:solidFill>
              <w14:schemeClr w14:val="tx1"/>
            </w14:solidFill>
          </w14:textFill>
        </w:rPr>
      </w:pPr>
    </w:p>
    <w:p w14:paraId="382C2D34">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p>
    <w:p w14:paraId="432C3B6F">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供应商名称（盖章）：</w:t>
      </w:r>
    </w:p>
    <w:p w14:paraId="74DB000C">
      <w:pPr>
        <w:adjustRightInd w:val="0"/>
        <w:snapToGrid w:val="0"/>
        <w:spacing w:line="400" w:lineRule="exact"/>
        <w:ind w:firstLine="420"/>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法定代表人</w:t>
      </w:r>
      <w:r>
        <w:rPr>
          <w:rFonts w:hint="eastAsia" w:ascii="仿宋" w:hAnsi="仿宋" w:eastAsia="仿宋" w:cs="仿宋"/>
          <w:color w:val="000000" w:themeColor="text1"/>
          <w:kern w:val="2"/>
          <w:sz w:val="22"/>
          <w:szCs w:val="22"/>
          <w:lang w:eastAsia="zh-CN"/>
          <w14:textFill>
            <w14:solidFill>
              <w14:schemeClr w14:val="tx1"/>
            </w14:solidFill>
          </w14:textFill>
        </w:rPr>
        <w:t>（签字或盖章）</w:t>
      </w:r>
      <w:r>
        <w:rPr>
          <w:rFonts w:hint="eastAsia" w:ascii="仿宋" w:hAnsi="仿宋" w:eastAsia="仿宋" w:cs="仿宋"/>
          <w:color w:val="000000" w:themeColor="text1"/>
          <w:kern w:val="2"/>
          <w:sz w:val="22"/>
          <w:szCs w:val="22"/>
          <w14:textFill>
            <w14:solidFill>
              <w14:schemeClr w14:val="tx1"/>
            </w14:solidFill>
          </w14:textFill>
        </w:rPr>
        <w:t>：</w:t>
      </w:r>
    </w:p>
    <w:p w14:paraId="24CF0B09">
      <w:pPr>
        <w:autoSpaceDE w:val="0"/>
        <w:autoSpaceDN w:val="0"/>
        <w:adjustRightInd w:val="0"/>
        <w:spacing w:line="360" w:lineRule="auto"/>
        <w:outlineLvl w:val="9"/>
        <w:rPr>
          <w:rFonts w:hint="eastAsia" w:ascii="仿宋" w:hAnsi="仿宋" w:eastAsia="仿宋" w:cs="仿宋"/>
          <w:color w:val="auto"/>
          <w:kern w:val="0"/>
          <w:sz w:val="22"/>
          <w:szCs w:val="22"/>
        </w:rPr>
      </w:pPr>
      <w:r>
        <w:rPr>
          <w:rFonts w:hint="eastAsia" w:ascii="仿宋" w:hAnsi="仿宋" w:eastAsia="仿宋" w:cs="仿宋"/>
          <w:color w:val="000000" w:themeColor="text1"/>
          <w:kern w:val="2"/>
          <w:sz w:val="22"/>
          <w:szCs w:val="22"/>
          <w14:textFill>
            <w14:solidFill>
              <w14:schemeClr w14:val="tx1"/>
            </w14:solidFill>
          </w14:textFill>
        </w:rPr>
        <w:t>日    期：</w:t>
      </w:r>
    </w:p>
    <w:p w14:paraId="4E1ABFB0">
      <w:pPr>
        <w:bidi w:val="0"/>
        <w:outlineLvl w:val="9"/>
        <w:rPr>
          <w:rFonts w:hint="eastAsia" w:ascii="仿宋" w:hAnsi="仿宋" w:eastAsia="仿宋" w:cs="仿宋"/>
          <w:color w:val="auto"/>
          <w:sz w:val="22"/>
          <w:szCs w:val="22"/>
        </w:rPr>
      </w:pPr>
    </w:p>
    <w:p w14:paraId="2C610FFC">
      <w:pPr>
        <w:pStyle w:val="5"/>
        <w:bidi w:val="0"/>
        <w:jc w:val="center"/>
        <w:rPr>
          <w:rFonts w:hint="eastAsia" w:ascii="仿宋" w:hAnsi="仿宋" w:eastAsia="仿宋" w:cs="仿宋"/>
          <w:color w:val="000000" w:themeColor="text1"/>
          <w:lang w:eastAsia="zh-CN"/>
          <w14:textFill>
            <w14:solidFill>
              <w14:schemeClr w14:val="tx1"/>
            </w14:solidFill>
          </w14:textFill>
        </w:rPr>
      </w:pPr>
      <w:bookmarkStart w:id="206" w:name="_Toc217446083"/>
      <w:r>
        <w:rPr>
          <w:rFonts w:hint="eastAsia" w:ascii="仿宋" w:hAnsi="仿宋" w:eastAsia="仿宋" w:cs="仿宋"/>
          <w:b/>
          <w:bCs/>
          <w:color w:val="auto"/>
          <w:kern w:val="2"/>
          <w:sz w:val="22"/>
          <w:szCs w:val="22"/>
        </w:rPr>
        <w:br w:type="page"/>
      </w:r>
      <w:r>
        <w:rPr>
          <w:rFonts w:hint="eastAsia" w:ascii="仿宋" w:hAnsi="仿宋" w:eastAsia="仿宋" w:cs="仿宋"/>
          <w:b/>
          <w:bCs/>
          <w:color w:val="auto"/>
          <w:kern w:val="2"/>
          <w:sz w:val="28"/>
          <w:szCs w:val="28"/>
          <w:lang w:val="en-US" w:eastAsia="zh-CN" w:bidi="ar-SA"/>
        </w:rPr>
        <w:t>五、资格性证明文件</w:t>
      </w:r>
    </w:p>
    <w:p w14:paraId="697E71A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1、具有独立承担民事责任能力的证明材料</w:t>
      </w:r>
    </w:p>
    <w:p w14:paraId="243CE57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①供应商若为企业法人：提供“统一社会信用代码营业执照”复印件；②若为事业法人：提供“统一社会信用代码法人登记证书”复印件；未换证的提交“事业法人登记证书、组织机构代码证”复印件；③若为其他组织：提供“对应主管部门颁发的准许执业证明文件或营业执照”复印件；（注：上述材料均需在有效期内，加盖投标人公章。）</w:t>
      </w:r>
    </w:p>
    <w:p w14:paraId="5D210C4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2、具有良好的商业信誉和健全的财务会计制度的证明材料（加盖投标人公章)：</w:t>
      </w:r>
    </w:p>
    <w:p w14:paraId="59DEB6B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 xml:space="preserve">（1）提供具有良好的商业信誉承诺函原件； </w:t>
      </w:r>
    </w:p>
    <w:p w14:paraId="0D8D7C6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财务状况报告：①2024年度经审计的财务报告（包含审计报告和审计报告中所涉及的财务报表、报表附注和出具报告机构、人员的证照）复印件②投标人内部出具的2024年度财务报表复印件（至少包含资产负债表）③银行出具的资信证明复印件</w:t>
      </w:r>
    </w:p>
    <w:p w14:paraId="355F503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注：a.以上①②③提供任意一项即可；b.投标人成立时间至递交响应文件截止时间为止不足一年的，提供任意时间段的资产负债表复印件或银行出具的资信证明复印件即可；c.投标人为事业单位或其他组织的提供其具有健全的财务会计制度的承诺函原件即可；d．投标人为自然人的提供承诺函（格式自拟）；</w:t>
      </w:r>
    </w:p>
    <w:p w14:paraId="5C3FFEB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3．具备履行合同所必需的设备和专业技术能力的证明材料（承诺函原件加盖投标人公章）；</w:t>
      </w:r>
    </w:p>
    <w:p w14:paraId="3022A90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4．具有依法缴纳税收和社会保障资金的良好记录的相关材料</w:t>
      </w:r>
      <w:r>
        <w:rPr>
          <w:rFonts w:hint="eastAsia" w:ascii="仿宋" w:hAnsi="仿宋" w:eastAsia="仿宋" w:cs="仿宋"/>
          <w:color w:val="000000" w:themeColor="text1"/>
          <w:sz w:val="22"/>
          <w:szCs w:val="22"/>
          <w:lang w:val="en-US" w:eastAsia="zh-CN"/>
          <w14:textFill>
            <w14:solidFill>
              <w14:schemeClr w14:val="tx1"/>
            </w14:solidFill>
          </w14:textFill>
        </w:rPr>
        <w:t>（①加盖投标人公章；②采购活动结束后，采购代理机构将通过信用中国等网站核实投标人所作承诺真实性。）：</w:t>
      </w:r>
    </w:p>
    <w:p w14:paraId="0DAD816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（1）2024年12月以来任意1个月的税收缴纳证明材料复印件或税收缴纳的承诺函原件（注：证明材料可为银行电子回单或者税务部门出具的纳税证明或完税证明或有效票据的复印件）；</w:t>
      </w:r>
    </w:p>
    <w:p w14:paraId="4BD9872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（2）2024年12月以来任意1个月的社保缴纳证明材料复印件或社保缴纳的承诺函原件（注：证明材料可为银行电子回单或社保部门出具的社保缴纳证明材料或有效票据复印件）；</w:t>
      </w:r>
    </w:p>
    <w:p w14:paraId="43526DF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5．参加本次政府采购活动前三年内，在经营活动中没有重大违法记录的证明材料</w:t>
      </w:r>
      <w:r>
        <w:rPr>
          <w:rFonts w:hint="eastAsia" w:ascii="仿宋" w:hAnsi="仿宋" w:eastAsia="仿宋" w:cs="仿宋"/>
          <w:color w:val="000000" w:themeColor="text1"/>
          <w:sz w:val="22"/>
          <w:szCs w:val="22"/>
          <w:lang w:val="en-US" w:eastAsia="zh-CN"/>
          <w14:textFill>
            <w14:solidFill>
              <w14:schemeClr w14:val="tx1"/>
            </w14:solidFill>
          </w14:textFill>
        </w:rPr>
        <w:t>（承诺函原件加盖投标人公章）；</w:t>
      </w:r>
    </w:p>
    <w:p w14:paraId="2906CFF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6．具备法律、行政法规规定的其他条件的证明材料复印件或承诺函原件（加盖投标人公章）</w:t>
      </w:r>
      <w:r>
        <w:rPr>
          <w:rFonts w:hint="eastAsia" w:ascii="仿宋" w:hAnsi="仿宋" w:eastAsia="仿宋" w:cs="仿宋"/>
          <w:color w:val="000000" w:themeColor="text1"/>
          <w:sz w:val="22"/>
          <w:szCs w:val="22"/>
          <w:lang w:val="en-US" w:eastAsia="zh-CN"/>
          <w14:textFill>
            <w14:solidFill>
              <w14:schemeClr w14:val="tx1"/>
            </w14:solidFill>
          </w14:textFill>
        </w:rPr>
        <w:t>；</w:t>
      </w:r>
    </w:p>
    <w:p w14:paraId="01082E1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7．采购人根据采购项目提出的特殊条件证明材料：</w:t>
      </w:r>
    </w:p>
    <w:p w14:paraId="3E547EC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①.投标人须具备有效的土地规划乙级（含乙级）以上资质；</w:t>
      </w:r>
    </w:p>
    <w:p w14:paraId="7118253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②.未被“信用中国”网站（www.creditchina.gov.cn）及“中国执行信息公开网”（http://zxgk.court.gov.cn/）中列入失信被执行人或重大税收违法失信主体的供应商、未被中国政府采购网（www.ccgp.gov.cn）列入政府采购严重违法失信行为记录名单中被财政部门禁止参加政府采购活动的供应商。</w:t>
      </w:r>
    </w:p>
    <w:p w14:paraId="276F8B5A">
      <w:pPr>
        <w:rPr>
          <w:rFonts w:hint="eastAsia" w:ascii="仿宋" w:hAnsi="仿宋" w:eastAsia="仿宋" w:cs="仿宋"/>
          <w:b/>
          <w:bCs/>
          <w:color w:val="000000" w:themeColor="text1"/>
          <w:sz w:val="22"/>
          <w:szCs w:val="18"/>
          <w:lang w:val="en-US" w:eastAsia="zh-CN"/>
          <w14:textFill>
            <w14:solidFill>
              <w14:schemeClr w14:val="tx1"/>
            </w14:solidFill>
          </w14:textFill>
        </w:rPr>
      </w:pPr>
      <w:r>
        <w:rPr>
          <w:rFonts w:hint="eastAsia" w:ascii="仿宋" w:hAnsi="仿宋" w:eastAsia="仿宋" w:cs="仿宋"/>
          <w:b/>
          <w:bCs/>
          <w:color w:val="000000" w:themeColor="text1"/>
          <w:sz w:val="22"/>
          <w:szCs w:val="18"/>
          <w:lang w:val="en-US" w:eastAsia="zh-CN"/>
          <w14:textFill>
            <w14:solidFill>
              <w14:schemeClr w14:val="tx1"/>
            </w14:solidFill>
          </w14:textFill>
        </w:rPr>
        <w:br w:type="page"/>
      </w:r>
    </w:p>
    <w:p w14:paraId="59BFECD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22"/>
          <w:szCs w:val="18"/>
          <w:lang w:val="en-US" w:eastAsia="zh-CN"/>
          <w14:textFill>
            <w14:solidFill>
              <w14:schemeClr w14:val="tx1"/>
            </w14:solidFill>
          </w14:textFill>
        </w:rPr>
      </w:pPr>
      <w:r>
        <w:rPr>
          <w:rFonts w:hint="eastAsia" w:ascii="仿宋" w:hAnsi="仿宋" w:eastAsia="仿宋" w:cs="仿宋"/>
          <w:b/>
          <w:bCs/>
          <w:color w:val="000000" w:themeColor="text1"/>
          <w:sz w:val="22"/>
          <w:szCs w:val="18"/>
          <w:lang w:val="en-US" w:eastAsia="zh-CN"/>
          <w14:textFill>
            <w14:solidFill>
              <w14:schemeClr w14:val="tx1"/>
            </w14:solidFill>
          </w14:textFill>
        </w:rPr>
        <w:t>8.相关资格承诺函</w:t>
      </w:r>
    </w:p>
    <w:p w14:paraId="0E2E27E1">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采购项目名称：</w:t>
      </w:r>
    </w:p>
    <w:p w14:paraId="74463840">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采购项目编号：</w:t>
      </w:r>
    </w:p>
    <w:p w14:paraId="39AC691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（采购人或采购代理机构）：</w:t>
      </w:r>
    </w:p>
    <w:p w14:paraId="4CA4D0F9">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我方作为本次采购项目的投标人，根据磋商文件要求，现郑重承诺如下：</w:t>
      </w:r>
    </w:p>
    <w:p w14:paraId="57B56DE8">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 xml:space="preserve">具备《中华人民共和国政府采购法》第二十二条第一款规定中的下列条件： </w:t>
      </w:r>
    </w:p>
    <w:p w14:paraId="25F464B5">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 xml:space="preserve">（一）具有独立承担民事责任的能力； </w:t>
      </w:r>
    </w:p>
    <w:p w14:paraId="32623747">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 xml:space="preserve">（二）具有良好的商业信誉和健全的财务会计制度； </w:t>
      </w:r>
    </w:p>
    <w:p w14:paraId="0B37A52F">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 xml:space="preserve">（三）具有履行合同所必需的设备和专业技术能力； </w:t>
      </w:r>
    </w:p>
    <w:p w14:paraId="2A71837D">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 xml:space="preserve">（四）有依法缴纳税收和社会保障资金的良好记录； </w:t>
      </w:r>
    </w:p>
    <w:p w14:paraId="5ED70C83">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 xml:space="preserve">（五）参加政府采购活动前三年内，在经营活动中没有重大违法记录； </w:t>
      </w:r>
    </w:p>
    <w:p w14:paraId="45BC53F0">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 xml:space="preserve">（六）法律、行政法规规定的其他条件。 </w:t>
      </w:r>
    </w:p>
    <w:p w14:paraId="00C2BC6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18"/>
          <w:lang w:val="en-US" w:eastAsia="zh-CN"/>
          <w14:textFill>
            <w14:solidFill>
              <w14:schemeClr w14:val="tx1"/>
            </w14:solidFill>
          </w14:textFill>
        </w:rPr>
      </w:pPr>
    </w:p>
    <w:p w14:paraId="42507C7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供应商名称：        （盖章）</w:t>
      </w:r>
    </w:p>
    <w:p w14:paraId="3A87DEA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法定代表人或授权代表（签字或盖章）：</w:t>
      </w:r>
    </w:p>
    <w:p w14:paraId="7EE2343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22"/>
          <w:szCs w:val="18"/>
          <w:lang w:val="en-US" w:eastAsia="zh-CN"/>
          <w14:textFill>
            <w14:solidFill>
              <w14:schemeClr w14:val="tx1"/>
            </w14:solidFill>
          </w14:textFill>
        </w:rPr>
      </w:pPr>
      <w:r>
        <w:rPr>
          <w:rFonts w:hint="eastAsia" w:ascii="仿宋" w:hAnsi="仿宋" w:eastAsia="仿宋" w:cs="仿宋"/>
          <w:color w:val="000000" w:themeColor="text1"/>
          <w:sz w:val="22"/>
          <w:szCs w:val="18"/>
          <w:lang w:val="en-US" w:eastAsia="zh-CN"/>
          <w14:textFill>
            <w14:solidFill>
              <w14:schemeClr w14:val="tx1"/>
            </w14:solidFill>
          </w14:textFill>
        </w:rPr>
        <w:t>投标日期：</w:t>
      </w:r>
    </w:p>
    <w:p w14:paraId="7499C8F2">
      <w:pPr>
        <w:rPr>
          <w:rFonts w:hint="eastAsia" w:ascii="仿宋" w:hAnsi="仿宋" w:eastAsia="仿宋" w:cs="仿宋"/>
          <w:b/>
          <w:bCs/>
          <w:color w:val="auto"/>
          <w:kern w:val="2"/>
          <w:sz w:val="22"/>
          <w:szCs w:val="22"/>
          <w:lang w:val="en-US" w:eastAsia="zh-CN"/>
        </w:rPr>
      </w:pPr>
      <w:r>
        <w:rPr>
          <w:rFonts w:hint="eastAsia" w:ascii="仿宋" w:hAnsi="仿宋" w:eastAsia="仿宋" w:cs="仿宋"/>
          <w:color w:val="000000" w:themeColor="text1"/>
          <w:sz w:val="22"/>
          <w:szCs w:val="18"/>
          <w:lang w:val="en-US" w:eastAsia="zh-CN"/>
          <w14:textFill>
            <w14:solidFill>
              <w14:schemeClr w14:val="tx1"/>
            </w14:solidFill>
          </w14:textFill>
        </w:rPr>
        <w:t>注：投标人应针对上述内容根据自身实际情况据实进行承诺。</w:t>
      </w:r>
      <w:r>
        <w:rPr>
          <w:rFonts w:hint="eastAsia" w:ascii="仿宋" w:hAnsi="仿宋" w:eastAsia="仿宋" w:cs="仿宋"/>
          <w:b/>
          <w:bCs/>
          <w:color w:val="auto"/>
          <w:kern w:val="2"/>
          <w:sz w:val="22"/>
          <w:szCs w:val="22"/>
          <w:lang w:val="en-US" w:eastAsia="zh-CN"/>
        </w:rPr>
        <w:br w:type="page"/>
      </w:r>
    </w:p>
    <w:p w14:paraId="1AF2F652">
      <w:pPr>
        <w:pStyle w:val="5"/>
        <w:bidi w:val="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auto"/>
          <w:kern w:val="2"/>
          <w:sz w:val="28"/>
          <w:szCs w:val="28"/>
          <w:lang w:val="en-US" w:eastAsia="zh-CN"/>
        </w:rPr>
        <w:t>六、</w:t>
      </w:r>
      <w:bookmarkEnd w:id="206"/>
      <w:r>
        <w:rPr>
          <w:rFonts w:hint="eastAsia" w:ascii="仿宋" w:hAnsi="仿宋" w:eastAsia="仿宋" w:cs="仿宋"/>
          <w:b/>
          <w:bCs/>
          <w:color w:val="000000" w:themeColor="text1"/>
          <w:lang w:eastAsia="zh-CN"/>
          <w14:textFill>
            <w14:solidFill>
              <w14:schemeClr w14:val="tx1"/>
            </w14:solidFill>
          </w14:textFill>
        </w:rPr>
        <w:t>供应商</w:t>
      </w:r>
      <w:r>
        <w:rPr>
          <w:rFonts w:hint="eastAsia" w:ascii="仿宋" w:hAnsi="仿宋" w:eastAsia="仿宋" w:cs="仿宋"/>
          <w:b/>
          <w:bCs/>
          <w:color w:val="000000" w:themeColor="text1"/>
          <w14:textFill>
            <w14:solidFill>
              <w14:schemeClr w14:val="tx1"/>
            </w14:solidFill>
          </w14:textFill>
        </w:rPr>
        <w:t>近</w:t>
      </w:r>
      <w:r>
        <w:rPr>
          <w:rFonts w:hint="eastAsia" w:ascii="仿宋" w:hAnsi="仿宋" w:eastAsia="仿宋" w:cs="仿宋"/>
          <w:b/>
          <w:bCs/>
          <w:color w:val="000000" w:themeColor="text1"/>
          <w:lang w:eastAsia="zh-CN"/>
          <w14:textFill>
            <w14:solidFill>
              <w14:schemeClr w14:val="tx1"/>
            </w14:solidFill>
          </w14:textFill>
        </w:rPr>
        <w:t>五</w:t>
      </w:r>
      <w:r>
        <w:rPr>
          <w:rFonts w:hint="eastAsia" w:ascii="仿宋" w:hAnsi="仿宋" w:eastAsia="仿宋" w:cs="仿宋"/>
          <w:b/>
          <w:bCs/>
          <w:color w:val="000000" w:themeColor="text1"/>
          <w14:textFill>
            <w14:solidFill>
              <w14:schemeClr w14:val="tx1"/>
            </w14:solidFill>
          </w14:textFill>
        </w:rPr>
        <w:t>年类似项目业绩</w:t>
      </w:r>
    </w:p>
    <w:tbl>
      <w:tblPr>
        <w:tblStyle w:val="26"/>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6B842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7E87AC26">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14:textFill>
                  <w14:solidFill>
                    <w14:schemeClr w14:val="tx1"/>
                  </w14:solidFill>
                </w14:textFill>
              </w:rPr>
              <w:t>序号</w:t>
            </w:r>
          </w:p>
        </w:tc>
        <w:tc>
          <w:tcPr>
            <w:tcW w:w="2327" w:type="dxa"/>
            <w:vAlign w:val="center"/>
          </w:tcPr>
          <w:p w14:paraId="6C17621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lang w:eastAsia="zh-CN"/>
                <w14:textFill>
                  <w14:solidFill>
                    <w14:schemeClr w14:val="tx1"/>
                  </w14:solidFill>
                </w14:textFill>
              </w:rPr>
            </w:pPr>
            <w:r>
              <w:rPr>
                <w:rFonts w:hint="eastAsia" w:ascii="仿宋" w:hAnsi="仿宋" w:eastAsia="仿宋" w:cs="仿宋"/>
                <w:bCs/>
                <w:color w:val="000000" w:themeColor="text1"/>
                <w:kern w:val="2"/>
                <w:sz w:val="22"/>
                <w:szCs w:val="22"/>
                <w:lang w:eastAsia="zh-CN"/>
                <w14:textFill>
                  <w14:solidFill>
                    <w14:schemeClr w14:val="tx1"/>
                  </w14:solidFill>
                </w14:textFill>
              </w:rPr>
              <w:t>采购人</w:t>
            </w:r>
          </w:p>
        </w:tc>
        <w:tc>
          <w:tcPr>
            <w:tcW w:w="2130" w:type="dxa"/>
            <w:vAlign w:val="center"/>
          </w:tcPr>
          <w:p w14:paraId="064A9FB9">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14:textFill>
                  <w14:solidFill>
                    <w14:schemeClr w14:val="tx1"/>
                  </w14:solidFill>
                </w14:textFill>
              </w:rPr>
              <w:t>项目名称</w:t>
            </w:r>
          </w:p>
        </w:tc>
        <w:tc>
          <w:tcPr>
            <w:tcW w:w="1872" w:type="dxa"/>
            <w:vAlign w:val="center"/>
          </w:tcPr>
          <w:p w14:paraId="008F9864">
            <w:pPr>
              <w:adjustRightInd w:val="0"/>
              <w:snapToGrid w:val="0"/>
              <w:spacing w:line="400" w:lineRule="exact"/>
              <w:ind w:firstLine="385" w:firstLineChars="175"/>
              <w:jc w:val="left"/>
              <w:outlineLvl w:val="9"/>
              <w:rPr>
                <w:rFonts w:hint="default" w:ascii="仿宋" w:hAnsi="仿宋" w:eastAsia="仿宋" w:cs="仿宋"/>
                <w:bCs/>
                <w:color w:val="000000" w:themeColor="text1"/>
                <w:kern w:val="2"/>
                <w:sz w:val="22"/>
                <w:szCs w:val="22"/>
                <w:lang w:val="en-US" w:eastAsia="zh-CN"/>
                <w14:textFill>
                  <w14:solidFill>
                    <w14:schemeClr w14:val="tx1"/>
                  </w14:solidFill>
                </w14:textFill>
              </w:rPr>
            </w:pPr>
            <w:r>
              <w:rPr>
                <w:rFonts w:hint="eastAsia" w:ascii="仿宋" w:hAnsi="仿宋" w:eastAsia="仿宋" w:cs="仿宋"/>
                <w:bCs/>
                <w:color w:val="000000" w:themeColor="text1"/>
                <w:kern w:val="2"/>
                <w:sz w:val="22"/>
                <w:szCs w:val="22"/>
                <w:lang w:val="en-US" w:eastAsia="zh-CN"/>
                <w14:textFill>
                  <w14:solidFill>
                    <w14:schemeClr w14:val="tx1"/>
                  </w14:solidFill>
                </w14:textFill>
              </w:rPr>
              <w:t>合同内容</w:t>
            </w:r>
          </w:p>
        </w:tc>
        <w:tc>
          <w:tcPr>
            <w:tcW w:w="1872" w:type="dxa"/>
            <w:vAlign w:val="center"/>
          </w:tcPr>
          <w:p w14:paraId="5C34F15D">
            <w:pPr>
              <w:adjustRightInd w:val="0"/>
              <w:snapToGrid w:val="0"/>
              <w:spacing w:line="400" w:lineRule="exact"/>
              <w:ind w:firstLine="385" w:firstLineChars="175"/>
              <w:jc w:val="left"/>
              <w:outlineLvl w:val="9"/>
              <w:rPr>
                <w:rFonts w:hint="default" w:ascii="仿宋" w:hAnsi="仿宋" w:eastAsia="仿宋" w:cs="仿宋"/>
                <w:bCs/>
                <w:color w:val="000000" w:themeColor="text1"/>
                <w:kern w:val="2"/>
                <w:sz w:val="22"/>
                <w:szCs w:val="22"/>
                <w:lang w:val="en-US" w:eastAsia="zh-CN"/>
                <w14:textFill>
                  <w14:solidFill>
                    <w14:schemeClr w14:val="tx1"/>
                  </w14:solidFill>
                </w14:textFill>
              </w:rPr>
            </w:pPr>
            <w:r>
              <w:rPr>
                <w:rFonts w:hint="eastAsia" w:ascii="仿宋" w:hAnsi="仿宋" w:eastAsia="仿宋" w:cs="仿宋"/>
                <w:bCs/>
                <w:color w:val="000000" w:themeColor="text1"/>
                <w:kern w:val="2"/>
                <w:sz w:val="22"/>
                <w:szCs w:val="22"/>
                <w:lang w:val="en-US" w:eastAsia="zh-CN"/>
                <w14:textFill>
                  <w14:solidFill>
                    <w14:schemeClr w14:val="tx1"/>
                  </w14:solidFill>
                </w14:textFill>
              </w:rPr>
              <w:t>合同总金额</w:t>
            </w:r>
          </w:p>
        </w:tc>
      </w:tr>
      <w:tr w14:paraId="05BE7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C073021">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327" w:type="dxa"/>
            <w:vAlign w:val="center"/>
          </w:tcPr>
          <w:p w14:paraId="5D14981C">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130" w:type="dxa"/>
            <w:vAlign w:val="center"/>
          </w:tcPr>
          <w:p w14:paraId="52B1C84B">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2EA7BDA2">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433A927A">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r>
      <w:tr w14:paraId="07D18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D7318D9">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327" w:type="dxa"/>
            <w:vAlign w:val="center"/>
          </w:tcPr>
          <w:p w14:paraId="664F9788">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130" w:type="dxa"/>
            <w:vAlign w:val="center"/>
          </w:tcPr>
          <w:p w14:paraId="4310BEEB">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1AF6B585">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54C4F484">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r>
      <w:tr w14:paraId="7815A0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D44CE3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327" w:type="dxa"/>
            <w:vAlign w:val="center"/>
          </w:tcPr>
          <w:p w14:paraId="0207E7E3">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130" w:type="dxa"/>
            <w:vAlign w:val="center"/>
          </w:tcPr>
          <w:p w14:paraId="57357AAE">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353F20E0">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07A40E27">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r>
      <w:tr w14:paraId="63602A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84F1AD3">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327" w:type="dxa"/>
            <w:tcBorders>
              <w:right w:val="single" w:color="auto" w:sz="4" w:space="0"/>
            </w:tcBorders>
            <w:vAlign w:val="center"/>
          </w:tcPr>
          <w:p w14:paraId="3ECEDE81">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130" w:type="dxa"/>
            <w:tcBorders>
              <w:left w:val="single" w:color="auto" w:sz="4" w:space="0"/>
            </w:tcBorders>
            <w:vAlign w:val="center"/>
          </w:tcPr>
          <w:p w14:paraId="59898FD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23C543A6">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vAlign w:val="center"/>
          </w:tcPr>
          <w:p w14:paraId="1F2E6B18">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r>
      <w:tr w14:paraId="06B4B7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05DF75B0">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327" w:type="dxa"/>
            <w:tcBorders>
              <w:left w:val="single" w:color="auto" w:sz="4" w:space="0"/>
              <w:right w:val="single" w:color="auto" w:sz="4" w:space="0"/>
            </w:tcBorders>
            <w:vAlign w:val="center"/>
          </w:tcPr>
          <w:p w14:paraId="03195D92">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2130" w:type="dxa"/>
            <w:tcBorders>
              <w:left w:val="single" w:color="auto" w:sz="4" w:space="0"/>
              <w:right w:val="single" w:color="auto" w:sz="4" w:space="0"/>
            </w:tcBorders>
            <w:vAlign w:val="center"/>
          </w:tcPr>
          <w:p w14:paraId="46DC1062">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tcBorders>
              <w:left w:val="single" w:color="auto" w:sz="4" w:space="0"/>
              <w:right w:val="single" w:color="auto" w:sz="4" w:space="0"/>
            </w:tcBorders>
            <w:vAlign w:val="center"/>
          </w:tcPr>
          <w:p w14:paraId="51E88F58">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c>
          <w:tcPr>
            <w:tcW w:w="1872" w:type="dxa"/>
            <w:tcBorders>
              <w:left w:val="single" w:color="auto" w:sz="4" w:space="0"/>
              <w:right w:val="single" w:color="auto" w:sz="4" w:space="0"/>
            </w:tcBorders>
            <w:vAlign w:val="center"/>
          </w:tcPr>
          <w:p w14:paraId="764316BB">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p>
        </w:tc>
      </w:tr>
    </w:tbl>
    <w:p w14:paraId="1C66F0EE">
      <w:pPr>
        <w:adjustRightInd w:val="0"/>
        <w:snapToGrid w:val="0"/>
        <w:spacing w:line="400" w:lineRule="exact"/>
        <w:ind w:left="360" w:firstLine="0" w:firstLineChars="0"/>
        <w:outlineLvl w:val="9"/>
        <w:rPr>
          <w:rFonts w:hint="eastAsia" w:ascii="仿宋" w:hAnsi="仿宋" w:eastAsia="仿宋" w:cs="仿宋"/>
          <w:color w:val="000000" w:themeColor="text1"/>
          <w:kern w:val="2"/>
          <w:sz w:val="22"/>
          <w:szCs w:val="22"/>
          <w:lang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附：</w:t>
      </w:r>
      <w:r>
        <w:rPr>
          <w:rFonts w:hint="eastAsia" w:ascii="仿宋" w:hAnsi="仿宋" w:eastAsia="仿宋" w:cs="仿宋"/>
          <w:color w:val="000000" w:themeColor="text1"/>
          <w:kern w:val="2"/>
          <w:sz w:val="22"/>
          <w:szCs w:val="22"/>
          <w:lang w:eastAsia="zh-CN"/>
          <w14:textFill>
            <w14:solidFill>
              <w14:schemeClr w14:val="tx1"/>
            </w14:solidFill>
          </w14:textFill>
        </w:rPr>
        <w:t>相关证明材料须提供中标(成交)通知书或合同关键页（含项目内容、签约日期、盖章页）。（注：所提供的证明材料复印件加盖单位公章。）</w:t>
      </w:r>
    </w:p>
    <w:p w14:paraId="3904C802">
      <w:pPr>
        <w:adjustRightInd w:val="0"/>
        <w:snapToGrid w:val="0"/>
        <w:spacing w:line="400" w:lineRule="exact"/>
        <w:ind w:left="360" w:firstLine="0" w:firstLineChars="0"/>
        <w:jc w:val="center"/>
        <w:outlineLvl w:val="9"/>
        <w:rPr>
          <w:rFonts w:hint="eastAsia" w:ascii="仿宋" w:hAnsi="仿宋" w:eastAsia="仿宋" w:cs="仿宋"/>
          <w:color w:val="000000" w:themeColor="text1"/>
          <w:kern w:val="2"/>
          <w:sz w:val="22"/>
          <w:szCs w:val="22"/>
          <w14:textFill>
            <w14:solidFill>
              <w14:schemeClr w14:val="tx1"/>
            </w14:solidFill>
          </w14:textFill>
        </w:rPr>
      </w:pPr>
    </w:p>
    <w:p w14:paraId="331AFF9F">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lang w:eastAsia="zh-CN"/>
          <w14:textFill>
            <w14:solidFill>
              <w14:schemeClr w14:val="tx1"/>
            </w14:solidFill>
          </w14:textFill>
        </w:rPr>
        <w:t>供应商</w:t>
      </w:r>
      <w:r>
        <w:rPr>
          <w:rFonts w:hint="eastAsia" w:ascii="仿宋" w:hAnsi="仿宋" w:eastAsia="仿宋" w:cs="仿宋"/>
          <w:bCs/>
          <w:color w:val="000000" w:themeColor="text1"/>
          <w:kern w:val="2"/>
          <w:sz w:val="22"/>
          <w:szCs w:val="22"/>
          <w14:textFill>
            <w14:solidFill>
              <w14:schemeClr w14:val="tx1"/>
            </w14:solidFill>
          </w14:textFill>
        </w:rPr>
        <w:t>名称：        （盖章）</w:t>
      </w:r>
    </w:p>
    <w:p w14:paraId="68011A8B">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法定代表人</w:t>
      </w:r>
      <w:r>
        <w:rPr>
          <w:rFonts w:hint="eastAsia" w:ascii="仿宋" w:hAnsi="仿宋" w:eastAsia="仿宋" w:cs="仿宋"/>
          <w:color w:val="000000" w:themeColor="text1"/>
          <w:kern w:val="2"/>
          <w:sz w:val="22"/>
          <w:szCs w:val="22"/>
          <w:lang w:val="en-US" w:eastAsia="zh-CN"/>
          <w14:textFill>
            <w14:solidFill>
              <w14:schemeClr w14:val="tx1"/>
            </w14:solidFill>
          </w14:textFill>
        </w:rPr>
        <w:t>或</w:t>
      </w:r>
      <w:r>
        <w:rPr>
          <w:rFonts w:hint="eastAsia" w:ascii="仿宋" w:hAnsi="仿宋" w:eastAsia="仿宋" w:cs="仿宋"/>
          <w:color w:val="000000" w:themeColor="text1"/>
          <w:kern w:val="2"/>
          <w:sz w:val="22"/>
          <w:szCs w:val="22"/>
          <w14:textFill>
            <w14:solidFill>
              <w14:schemeClr w14:val="tx1"/>
            </w14:solidFill>
          </w14:textFill>
        </w:rPr>
        <w:t>授权代表（签字</w:t>
      </w:r>
      <w:r>
        <w:rPr>
          <w:rFonts w:hint="eastAsia" w:ascii="仿宋" w:hAnsi="仿宋" w:eastAsia="仿宋" w:cs="仿宋"/>
          <w:color w:val="000000" w:themeColor="text1"/>
          <w:kern w:val="2"/>
          <w:sz w:val="22"/>
          <w:szCs w:val="22"/>
          <w:lang w:val="en-US" w:eastAsia="zh-CN"/>
          <w14:textFill>
            <w14:solidFill>
              <w14:schemeClr w14:val="tx1"/>
            </w14:solidFill>
          </w14:textFill>
        </w:rPr>
        <w:t>或盖章</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bCs/>
          <w:color w:val="000000" w:themeColor="text1"/>
          <w:kern w:val="2"/>
          <w:sz w:val="22"/>
          <w:szCs w:val="22"/>
          <w14:textFill>
            <w14:solidFill>
              <w14:schemeClr w14:val="tx1"/>
            </w14:solidFill>
          </w14:textFill>
        </w:rPr>
        <w:t>：</w:t>
      </w:r>
    </w:p>
    <w:p w14:paraId="7CFB0642">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14:textFill>
            <w14:solidFill>
              <w14:schemeClr w14:val="tx1"/>
            </w14:solidFill>
          </w14:textFill>
        </w:rPr>
        <w:t>投标日期：</w:t>
      </w:r>
    </w:p>
    <w:p w14:paraId="248BA2E7">
      <w:pPr>
        <w:adjustRightInd w:val="0"/>
        <w:snapToGrid w:val="0"/>
        <w:spacing w:line="400" w:lineRule="exact"/>
        <w:ind w:firstLine="420"/>
        <w:outlineLvl w:val="9"/>
        <w:rPr>
          <w:rFonts w:hint="eastAsia" w:ascii="仿宋" w:hAnsi="仿宋" w:eastAsia="仿宋" w:cs="仿宋"/>
          <w:bCs/>
          <w:color w:val="000000" w:themeColor="text1"/>
          <w:kern w:val="2"/>
          <w:sz w:val="22"/>
          <w:szCs w:val="22"/>
          <w14:textFill>
            <w14:solidFill>
              <w14:schemeClr w14:val="tx1"/>
            </w14:solidFill>
          </w14:textFill>
        </w:rPr>
      </w:pPr>
    </w:p>
    <w:p w14:paraId="499F5697">
      <w:pPr>
        <w:pStyle w:val="5"/>
        <w:bidi w:val="0"/>
        <w:jc w:val="center"/>
        <w:rPr>
          <w:rFonts w:hint="eastAsia" w:ascii="仿宋" w:hAnsi="仿宋" w:eastAsia="仿宋" w:cs="仿宋"/>
          <w:b/>
          <w:bCs/>
          <w:color w:val="000000" w:themeColor="text1"/>
          <w:kern w:val="2"/>
          <w:sz w:val="24"/>
          <w:szCs w:val="24"/>
          <w:highlight w:val="none"/>
          <w:lang w:val="en-US"/>
          <w14:textFill>
            <w14:solidFill>
              <w14:schemeClr w14:val="tx1"/>
            </w14:solidFill>
          </w14:textFill>
        </w:rPr>
      </w:pPr>
      <w:bookmarkStart w:id="207" w:name="_Toc217446091"/>
      <w:r>
        <w:rPr>
          <w:rFonts w:hint="eastAsia" w:ascii="仿宋" w:hAnsi="仿宋" w:eastAsia="仿宋" w:cs="仿宋"/>
          <w:b/>
          <w:color w:val="000000" w:themeColor="text1"/>
          <w:sz w:val="22"/>
          <w:szCs w:val="22"/>
          <w14:textFill>
            <w14:solidFill>
              <w14:schemeClr w14:val="tx1"/>
            </w14:solidFill>
          </w14:textFill>
        </w:rPr>
        <w:br w:type="page"/>
      </w:r>
      <w:bookmarkEnd w:id="207"/>
      <w:bookmarkStart w:id="208" w:name="_Toc27363"/>
      <w:r>
        <w:rPr>
          <w:rFonts w:hint="eastAsia" w:ascii="仿宋" w:hAnsi="仿宋" w:eastAsia="仿宋" w:cs="仿宋"/>
          <w:b/>
          <w:bCs/>
          <w:color w:val="000000" w:themeColor="text1"/>
          <w:sz w:val="22"/>
          <w:szCs w:val="22"/>
          <w:lang w:eastAsia="zh-CN"/>
          <w14:textFill>
            <w14:solidFill>
              <w14:schemeClr w14:val="tx1"/>
            </w14:solidFill>
          </w14:textFill>
        </w:rPr>
        <w:t>七、</w:t>
      </w:r>
      <w:bookmarkStart w:id="209" w:name="_Toc494198609"/>
      <w:r>
        <w:rPr>
          <w:rFonts w:hint="eastAsia" w:ascii="仿宋" w:hAnsi="仿宋" w:eastAsia="仿宋" w:cs="仿宋"/>
          <w:b/>
          <w:bCs/>
          <w:color w:val="000000" w:themeColor="text1"/>
          <w:kern w:val="2"/>
          <w:sz w:val="24"/>
          <w:szCs w:val="24"/>
          <w:highlight w:val="none"/>
          <w:lang w:val="en-US"/>
          <w14:textFill>
            <w14:solidFill>
              <w14:schemeClr w14:val="tx1"/>
            </w14:solidFill>
          </w14:textFill>
        </w:rPr>
        <w:t>实施本项目的主要人员情况表</w:t>
      </w:r>
      <w:bookmarkEnd w:id="208"/>
      <w:bookmarkEnd w:id="209"/>
    </w:p>
    <w:p w14:paraId="4C9C280B">
      <w:pPr>
        <w:ind w:firstLine="48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bCs/>
          <w:color w:val="000000" w:themeColor="text1"/>
          <w:kern w:val="2"/>
          <w:sz w:val="22"/>
          <w:szCs w:val="22"/>
          <w:highlight w:val="none"/>
          <w:lang w:val="en-US"/>
          <w14:textFill>
            <w14:solidFill>
              <w14:schemeClr w14:val="tx1"/>
            </w14:solidFill>
          </w14:textFill>
        </w:rPr>
        <w:t>(</w:t>
      </w:r>
      <w:r>
        <w:rPr>
          <w:rFonts w:hint="eastAsia" w:ascii="仿宋" w:hAnsi="仿宋" w:eastAsia="仿宋" w:cs="仿宋"/>
          <w:b/>
          <w:bCs/>
          <w:color w:val="000000" w:themeColor="text1"/>
          <w:kern w:val="2"/>
          <w:sz w:val="22"/>
          <w:szCs w:val="22"/>
          <w:highlight w:val="none"/>
          <w:lang w:val="en-US" w:eastAsia="zh-CN"/>
          <w14:textFill>
            <w14:solidFill>
              <w14:schemeClr w14:val="tx1"/>
            </w14:solidFill>
          </w14:textFill>
        </w:rPr>
        <w:t>1</w:t>
      </w:r>
      <w:r>
        <w:rPr>
          <w:rFonts w:hint="eastAsia" w:ascii="仿宋" w:hAnsi="仿宋" w:eastAsia="仿宋" w:cs="仿宋"/>
          <w:b/>
          <w:bCs/>
          <w:color w:val="000000" w:themeColor="text1"/>
          <w:kern w:val="2"/>
          <w:sz w:val="22"/>
          <w:szCs w:val="22"/>
          <w:highlight w:val="none"/>
          <w:lang w:val="en-US"/>
          <w14:textFill>
            <w14:solidFill>
              <w14:schemeClr w14:val="tx1"/>
            </w14:solidFill>
          </w14:textFill>
        </w:rPr>
        <w:t>)项目管理机构组成表</w:t>
      </w:r>
    </w:p>
    <w:p w14:paraId="58FB1DA8">
      <w:pPr>
        <w:ind w:firstLine="480"/>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采购项目名称：</w:t>
      </w:r>
    </w:p>
    <w:p w14:paraId="7A05CC84">
      <w:pPr>
        <w:ind w:firstLine="480"/>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采购项目编号：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042"/>
        <w:gridCol w:w="933"/>
        <w:gridCol w:w="790"/>
        <w:gridCol w:w="1052"/>
        <w:gridCol w:w="1377"/>
        <w:gridCol w:w="752"/>
        <w:gridCol w:w="764"/>
        <w:gridCol w:w="886"/>
      </w:tblGrid>
      <w:tr w14:paraId="7EF9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67" w:type="pct"/>
            <w:vMerge w:val="restart"/>
            <w:noWrap w:val="0"/>
            <w:vAlign w:val="center"/>
          </w:tcPr>
          <w:p w14:paraId="17E27CCD">
            <w:pPr>
              <w:ind w:firstLine="480"/>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 xml:space="preserve"> </w:t>
            </w: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序号</w:t>
            </w:r>
          </w:p>
        </w:tc>
        <w:tc>
          <w:tcPr>
            <w:tcW w:w="1112" w:type="pct"/>
            <w:vMerge w:val="restart"/>
            <w:noWrap w:val="0"/>
            <w:vAlign w:val="center"/>
          </w:tcPr>
          <w:p w14:paraId="081A84BD">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职务</w:t>
            </w:r>
          </w:p>
        </w:tc>
        <w:tc>
          <w:tcPr>
            <w:tcW w:w="515" w:type="pct"/>
            <w:vMerge w:val="restart"/>
            <w:noWrap w:val="0"/>
            <w:vAlign w:val="center"/>
          </w:tcPr>
          <w:p w14:paraId="0B5F6587">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姓名</w:t>
            </w:r>
          </w:p>
        </w:tc>
        <w:tc>
          <w:tcPr>
            <w:tcW w:w="438" w:type="pct"/>
            <w:vMerge w:val="restart"/>
            <w:noWrap w:val="0"/>
            <w:vAlign w:val="center"/>
          </w:tcPr>
          <w:p w14:paraId="2CFB28D2">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职称</w:t>
            </w:r>
          </w:p>
        </w:tc>
        <w:tc>
          <w:tcPr>
            <w:tcW w:w="579" w:type="pct"/>
            <w:vMerge w:val="restart"/>
            <w:noWrap w:val="0"/>
            <w:vAlign w:val="center"/>
          </w:tcPr>
          <w:p w14:paraId="4AE3358D">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常住地</w:t>
            </w:r>
          </w:p>
        </w:tc>
        <w:tc>
          <w:tcPr>
            <w:tcW w:w="2086" w:type="pct"/>
            <w:gridSpan w:val="4"/>
            <w:noWrap w:val="0"/>
            <w:vAlign w:val="center"/>
          </w:tcPr>
          <w:p w14:paraId="1CE458AB">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相关资料（无可不提供）</w:t>
            </w:r>
          </w:p>
        </w:tc>
      </w:tr>
      <w:tr w14:paraId="7F70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67" w:type="pct"/>
            <w:vMerge w:val="continue"/>
            <w:noWrap w:val="0"/>
            <w:vAlign w:val="center"/>
          </w:tcPr>
          <w:p w14:paraId="697317FB">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1112" w:type="pct"/>
            <w:vMerge w:val="continue"/>
            <w:noWrap w:val="0"/>
            <w:vAlign w:val="center"/>
          </w:tcPr>
          <w:p w14:paraId="521E1915">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515" w:type="pct"/>
            <w:vMerge w:val="continue"/>
            <w:noWrap w:val="0"/>
            <w:vAlign w:val="center"/>
          </w:tcPr>
          <w:p w14:paraId="635AF976">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438" w:type="pct"/>
            <w:vMerge w:val="continue"/>
            <w:noWrap w:val="0"/>
            <w:vAlign w:val="center"/>
          </w:tcPr>
          <w:p w14:paraId="552EF87A">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579" w:type="pct"/>
            <w:vMerge w:val="continue"/>
            <w:noWrap w:val="0"/>
            <w:vAlign w:val="center"/>
          </w:tcPr>
          <w:p w14:paraId="76E73B2A">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754" w:type="pct"/>
            <w:noWrap w:val="0"/>
            <w:vAlign w:val="center"/>
          </w:tcPr>
          <w:p w14:paraId="7AD056F9">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证书名称</w:t>
            </w:r>
          </w:p>
        </w:tc>
        <w:tc>
          <w:tcPr>
            <w:tcW w:w="418" w:type="pct"/>
            <w:noWrap w:val="0"/>
            <w:vAlign w:val="center"/>
          </w:tcPr>
          <w:p w14:paraId="45FCE486">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级别</w:t>
            </w:r>
          </w:p>
        </w:tc>
        <w:tc>
          <w:tcPr>
            <w:tcW w:w="424" w:type="pct"/>
            <w:noWrap w:val="0"/>
            <w:vAlign w:val="center"/>
          </w:tcPr>
          <w:p w14:paraId="538B9B16">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证号</w:t>
            </w:r>
          </w:p>
        </w:tc>
        <w:tc>
          <w:tcPr>
            <w:tcW w:w="489" w:type="pct"/>
            <w:noWrap w:val="0"/>
            <w:vAlign w:val="center"/>
          </w:tcPr>
          <w:p w14:paraId="71A3A393">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专业</w:t>
            </w:r>
          </w:p>
        </w:tc>
      </w:tr>
      <w:tr w14:paraId="6104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67" w:type="pct"/>
            <w:noWrap w:val="0"/>
            <w:vAlign w:val="center"/>
          </w:tcPr>
          <w:p w14:paraId="3ED9332E">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1</w:t>
            </w:r>
          </w:p>
        </w:tc>
        <w:tc>
          <w:tcPr>
            <w:tcW w:w="1112" w:type="pct"/>
            <w:noWrap w:val="0"/>
            <w:vAlign w:val="center"/>
          </w:tcPr>
          <w:p w14:paraId="3309604E">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515" w:type="pct"/>
            <w:noWrap w:val="0"/>
            <w:vAlign w:val="center"/>
          </w:tcPr>
          <w:p w14:paraId="5967ED49">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438" w:type="pct"/>
            <w:noWrap w:val="0"/>
            <w:vAlign w:val="center"/>
          </w:tcPr>
          <w:p w14:paraId="4B99EF22">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579" w:type="pct"/>
            <w:noWrap w:val="0"/>
            <w:vAlign w:val="center"/>
          </w:tcPr>
          <w:p w14:paraId="605411D9">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754" w:type="pct"/>
            <w:noWrap w:val="0"/>
            <w:vAlign w:val="center"/>
          </w:tcPr>
          <w:p w14:paraId="47A68F27">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418" w:type="pct"/>
            <w:noWrap w:val="0"/>
            <w:vAlign w:val="center"/>
          </w:tcPr>
          <w:p w14:paraId="744C3DAA">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424" w:type="pct"/>
            <w:noWrap w:val="0"/>
            <w:vAlign w:val="center"/>
          </w:tcPr>
          <w:p w14:paraId="5CB373DE">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c>
          <w:tcPr>
            <w:tcW w:w="489" w:type="pct"/>
            <w:noWrap w:val="0"/>
            <w:vAlign w:val="center"/>
          </w:tcPr>
          <w:p w14:paraId="3AEE3871">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tc>
      </w:tr>
      <w:tr w14:paraId="7060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67" w:type="pct"/>
            <w:noWrap w:val="0"/>
            <w:vAlign w:val="center"/>
          </w:tcPr>
          <w:p w14:paraId="6DA20BBC">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2</w:t>
            </w:r>
          </w:p>
        </w:tc>
        <w:tc>
          <w:tcPr>
            <w:tcW w:w="1112" w:type="pct"/>
            <w:noWrap w:val="0"/>
            <w:vAlign w:val="center"/>
          </w:tcPr>
          <w:p w14:paraId="3B95FEE1">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p>
        </w:tc>
        <w:tc>
          <w:tcPr>
            <w:tcW w:w="515" w:type="pct"/>
            <w:noWrap w:val="0"/>
            <w:vAlign w:val="center"/>
          </w:tcPr>
          <w:p w14:paraId="28CD6BFA">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38" w:type="pct"/>
            <w:noWrap w:val="0"/>
            <w:vAlign w:val="center"/>
          </w:tcPr>
          <w:p w14:paraId="23A1DE9F">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579" w:type="pct"/>
            <w:noWrap w:val="0"/>
            <w:vAlign w:val="center"/>
          </w:tcPr>
          <w:p w14:paraId="20E71992">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754" w:type="pct"/>
            <w:noWrap w:val="0"/>
            <w:vAlign w:val="center"/>
          </w:tcPr>
          <w:p w14:paraId="522E223D">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18" w:type="pct"/>
            <w:noWrap w:val="0"/>
            <w:vAlign w:val="center"/>
          </w:tcPr>
          <w:p w14:paraId="0BDA893B">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24" w:type="pct"/>
            <w:noWrap w:val="0"/>
            <w:vAlign w:val="center"/>
          </w:tcPr>
          <w:p w14:paraId="03ECA471">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89" w:type="pct"/>
            <w:noWrap w:val="0"/>
            <w:vAlign w:val="center"/>
          </w:tcPr>
          <w:p w14:paraId="2FA97F96">
            <w:pPr>
              <w:jc w:val="center"/>
              <w:rPr>
                <w:rFonts w:hint="eastAsia" w:ascii="仿宋" w:hAnsi="仿宋" w:eastAsia="仿宋" w:cs="仿宋"/>
                <w:color w:val="000000" w:themeColor="text1"/>
                <w:sz w:val="22"/>
                <w:szCs w:val="22"/>
                <w:highlight w:val="none"/>
                <w14:textFill>
                  <w14:solidFill>
                    <w14:schemeClr w14:val="tx1"/>
                  </w14:solidFill>
                </w14:textFill>
              </w:rPr>
            </w:pPr>
          </w:p>
        </w:tc>
      </w:tr>
      <w:tr w14:paraId="127A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67" w:type="pct"/>
            <w:noWrap w:val="0"/>
            <w:vAlign w:val="center"/>
          </w:tcPr>
          <w:p w14:paraId="55305B2B">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3</w:t>
            </w:r>
          </w:p>
        </w:tc>
        <w:tc>
          <w:tcPr>
            <w:tcW w:w="1112" w:type="pct"/>
            <w:noWrap w:val="0"/>
            <w:vAlign w:val="center"/>
          </w:tcPr>
          <w:p w14:paraId="3D341DAE">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p>
        </w:tc>
        <w:tc>
          <w:tcPr>
            <w:tcW w:w="515" w:type="pct"/>
            <w:noWrap w:val="0"/>
            <w:vAlign w:val="center"/>
          </w:tcPr>
          <w:p w14:paraId="281B7C22">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38" w:type="pct"/>
            <w:noWrap w:val="0"/>
            <w:vAlign w:val="center"/>
          </w:tcPr>
          <w:p w14:paraId="53B4F991">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579" w:type="pct"/>
            <w:noWrap w:val="0"/>
            <w:vAlign w:val="center"/>
          </w:tcPr>
          <w:p w14:paraId="3FD8CB50">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754" w:type="pct"/>
            <w:noWrap w:val="0"/>
            <w:vAlign w:val="center"/>
          </w:tcPr>
          <w:p w14:paraId="1B378CA7">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18" w:type="pct"/>
            <w:noWrap w:val="0"/>
            <w:vAlign w:val="center"/>
          </w:tcPr>
          <w:p w14:paraId="7C843B1D">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24" w:type="pct"/>
            <w:noWrap w:val="0"/>
            <w:vAlign w:val="center"/>
          </w:tcPr>
          <w:p w14:paraId="3D75E604">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89" w:type="pct"/>
            <w:noWrap w:val="0"/>
            <w:vAlign w:val="center"/>
          </w:tcPr>
          <w:p w14:paraId="404C05CF">
            <w:pPr>
              <w:jc w:val="center"/>
              <w:rPr>
                <w:rFonts w:hint="eastAsia" w:ascii="仿宋" w:hAnsi="仿宋" w:eastAsia="仿宋" w:cs="仿宋"/>
                <w:color w:val="000000" w:themeColor="text1"/>
                <w:sz w:val="22"/>
                <w:szCs w:val="22"/>
                <w:highlight w:val="none"/>
                <w14:textFill>
                  <w14:solidFill>
                    <w14:schemeClr w14:val="tx1"/>
                  </w14:solidFill>
                </w14:textFill>
              </w:rPr>
            </w:pPr>
          </w:p>
        </w:tc>
      </w:tr>
      <w:tr w14:paraId="67E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67" w:type="pct"/>
            <w:noWrap w:val="0"/>
            <w:vAlign w:val="center"/>
          </w:tcPr>
          <w:p w14:paraId="0F8D3A94">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4</w:t>
            </w:r>
          </w:p>
        </w:tc>
        <w:tc>
          <w:tcPr>
            <w:tcW w:w="1112" w:type="pct"/>
            <w:noWrap w:val="0"/>
            <w:vAlign w:val="center"/>
          </w:tcPr>
          <w:p w14:paraId="0A3F3397">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p>
        </w:tc>
        <w:tc>
          <w:tcPr>
            <w:tcW w:w="515" w:type="pct"/>
            <w:noWrap w:val="0"/>
            <w:vAlign w:val="center"/>
          </w:tcPr>
          <w:p w14:paraId="709F9D8A">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38" w:type="pct"/>
            <w:noWrap w:val="0"/>
            <w:vAlign w:val="center"/>
          </w:tcPr>
          <w:p w14:paraId="0DCF022D">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579" w:type="pct"/>
            <w:noWrap w:val="0"/>
            <w:vAlign w:val="center"/>
          </w:tcPr>
          <w:p w14:paraId="6793D5F7">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754" w:type="pct"/>
            <w:noWrap w:val="0"/>
            <w:vAlign w:val="center"/>
          </w:tcPr>
          <w:p w14:paraId="36CFE7A6">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18" w:type="pct"/>
            <w:noWrap w:val="0"/>
            <w:vAlign w:val="center"/>
          </w:tcPr>
          <w:p w14:paraId="55808728">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24" w:type="pct"/>
            <w:noWrap w:val="0"/>
            <w:vAlign w:val="center"/>
          </w:tcPr>
          <w:p w14:paraId="6CFA6019">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89" w:type="pct"/>
            <w:noWrap w:val="0"/>
            <w:vAlign w:val="center"/>
          </w:tcPr>
          <w:p w14:paraId="3ED70E51">
            <w:pPr>
              <w:jc w:val="center"/>
              <w:rPr>
                <w:rFonts w:hint="eastAsia" w:ascii="仿宋" w:hAnsi="仿宋" w:eastAsia="仿宋" w:cs="仿宋"/>
                <w:color w:val="000000" w:themeColor="text1"/>
                <w:sz w:val="22"/>
                <w:szCs w:val="22"/>
                <w:highlight w:val="none"/>
                <w14:textFill>
                  <w14:solidFill>
                    <w14:schemeClr w14:val="tx1"/>
                  </w14:solidFill>
                </w14:textFill>
              </w:rPr>
            </w:pPr>
          </w:p>
        </w:tc>
      </w:tr>
      <w:tr w14:paraId="60CC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67" w:type="pct"/>
            <w:noWrap w:val="0"/>
            <w:vAlign w:val="center"/>
          </w:tcPr>
          <w:p w14:paraId="2BCEE036">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5</w:t>
            </w:r>
          </w:p>
        </w:tc>
        <w:tc>
          <w:tcPr>
            <w:tcW w:w="1112" w:type="pct"/>
            <w:noWrap w:val="0"/>
            <w:vAlign w:val="center"/>
          </w:tcPr>
          <w:p w14:paraId="7B9AB646">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p>
        </w:tc>
        <w:tc>
          <w:tcPr>
            <w:tcW w:w="515" w:type="pct"/>
            <w:noWrap w:val="0"/>
            <w:vAlign w:val="center"/>
          </w:tcPr>
          <w:p w14:paraId="7A945BC8">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38" w:type="pct"/>
            <w:noWrap w:val="0"/>
            <w:vAlign w:val="center"/>
          </w:tcPr>
          <w:p w14:paraId="4142212F">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579" w:type="pct"/>
            <w:noWrap w:val="0"/>
            <w:vAlign w:val="center"/>
          </w:tcPr>
          <w:p w14:paraId="44A993E4">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754" w:type="pct"/>
            <w:noWrap w:val="0"/>
            <w:vAlign w:val="center"/>
          </w:tcPr>
          <w:p w14:paraId="06441333">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18" w:type="pct"/>
            <w:noWrap w:val="0"/>
            <w:vAlign w:val="center"/>
          </w:tcPr>
          <w:p w14:paraId="4B2BEC2C">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24" w:type="pct"/>
            <w:noWrap w:val="0"/>
            <w:vAlign w:val="center"/>
          </w:tcPr>
          <w:p w14:paraId="024DC0EB">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89" w:type="pct"/>
            <w:noWrap w:val="0"/>
            <w:vAlign w:val="center"/>
          </w:tcPr>
          <w:p w14:paraId="792EDEC7">
            <w:pPr>
              <w:jc w:val="center"/>
              <w:rPr>
                <w:rFonts w:hint="eastAsia" w:ascii="仿宋" w:hAnsi="仿宋" w:eastAsia="仿宋" w:cs="仿宋"/>
                <w:color w:val="000000" w:themeColor="text1"/>
                <w:sz w:val="22"/>
                <w:szCs w:val="22"/>
                <w:highlight w:val="none"/>
                <w14:textFill>
                  <w14:solidFill>
                    <w14:schemeClr w14:val="tx1"/>
                  </w14:solidFill>
                </w14:textFill>
              </w:rPr>
            </w:pPr>
          </w:p>
        </w:tc>
      </w:tr>
      <w:tr w14:paraId="050A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67" w:type="pct"/>
            <w:noWrap w:val="0"/>
            <w:vAlign w:val="center"/>
          </w:tcPr>
          <w:p w14:paraId="75AF21F2">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w:t>
            </w:r>
          </w:p>
        </w:tc>
        <w:tc>
          <w:tcPr>
            <w:tcW w:w="1112" w:type="pct"/>
            <w:noWrap w:val="0"/>
            <w:vAlign w:val="center"/>
          </w:tcPr>
          <w:p w14:paraId="27E58EF0">
            <w:pPr>
              <w:snapToGrid/>
              <w:spacing w:line="400" w:lineRule="exact"/>
              <w:ind w:firstLine="0" w:firstLineChars="0"/>
              <w:jc w:val="cente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eastAsia="zh-CN"/>
                <w14:textFill>
                  <w14:solidFill>
                    <w14:schemeClr w14:val="tx1"/>
                  </w14:solidFill>
                </w14:textFill>
              </w:rPr>
              <w:t>…</w:t>
            </w:r>
          </w:p>
        </w:tc>
        <w:tc>
          <w:tcPr>
            <w:tcW w:w="515" w:type="pct"/>
            <w:noWrap w:val="0"/>
            <w:vAlign w:val="center"/>
          </w:tcPr>
          <w:p w14:paraId="54A0C667">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38" w:type="pct"/>
            <w:noWrap w:val="0"/>
            <w:vAlign w:val="center"/>
          </w:tcPr>
          <w:p w14:paraId="2E8BDD53">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579" w:type="pct"/>
            <w:noWrap w:val="0"/>
            <w:vAlign w:val="center"/>
          </w:tcPr>
          <w:p w14:paraId="3ED56EB4">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754" w:type="pct"/>
            <w:noWrap w:val="0"/>
            <w:vAlign w:val="center"/>
          </w:tcPr>
          <w:p w14:paraId="36EFB07E">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18" w:type="pct"/>
            <w:noWrap w:val="0"/>
            <w:vAlign w:val="center"/>
          </w:tcPr>
          <w:p w14:paraId="469C639D">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24" w:type="pct"/>
            <w:noWrap w:val="0"/>
            <w:vAlign w:val="center"/>
          </w:tcPr>
          <w:p w14:paraId="0FFF41BA">
            <w:pP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489" w:type="pct"/>
            <w:noWrap w:val="0"/>
            <w:vAlign w:val="center"/>
          </w:tcPr>
          <w:p w14:paraId="17D42BFB">
            <w:pPr>
              <w:jc w:val="center"/>
              <w:rPr>
                <w:rFonts w:hint="eastAsia" w:ascii="仿宋" w:hAnsi="仿宋" w:eastAsia="仿宋" w:cs="仿宋"/>
                <w:color w:val="000000" w:themeColor="text1"/>
                <w:sz w:val="22"/>
                <w:szCs w:val="22"/>
                <w:highlight w:val="none"/>
                <w14:textFill>
                  <w14:solidFill>
                    <w14:schemeClr w14:val="tx1"/>
                  </w14:solidFill>
                </w14:textFill>
              </w:rPr>
            </w:pPr>
          </w:p>
        </w:tc>
      </w:tr>
    </w:tbl>
    <w:p w14:paraId="5F087316">
      <w:pPr>
        <w:ind w:firstLine="480"/>
        <w:rPr>
          <w:rFonts w:hint="eastAsia" w:ascii="仿宋" w:hAnsi="仿宋" w:eastAsia="仿宋" w:cs="仿宋"/>
          <w:b w:val="0"/>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color w:val="000000" w:themeColor="text1"/>
          <w:kern w:val="2"/>
          <w:sz w:val="22"/>
          <w:szCs w:val="22"/>
          <w:highlight w:val="none"/>
          <w:lang w:val="en-US"/>
          <w14:textFill>
            <w14:solidFill>
              <w14:schemeClr w14:val="tx1"/>
            </w14:solidFill>
          </w14:textFill>
        </w:rPr>
        <w:t>注：</w:t>
      </w:r>
      <w:r>
        <w:rPr>
          <w:rFonts w:hint="eastAsia" w:ascii="仿宋" w:hAnsi="仿宋" w:eastAsia="仿宋" w:cs="仿宋"/>
          <w:b/>
          <w:bCs/>
          <w:color w:val="000000" w:themeColor="text1"/>
          <w:kern w:val="2"/>
          <w:sz w:val="22"/>
          <w:szCs w:val="22"/>
          <w:highlight w:val="none"/>
          <w:lang w:val="en-US"/>
          <w14:textFill>
            <w14:solidFill>
              <w14:schemeClr w14:val="tx1"/>
            </w14:solidFill>
          </w14:textFill>
        </w:rPr>
        <w:t>以上表格格式行可增减</w:t>
      </w:r>
      <w:r>
        <w:rPr>
          <w:rFonts w:hint="eastAsia" w:ascii="仿宋" w:hAnsi="仿宋" w:eastAsia="仿宋" w:cs="仿宋"/>
          <w:b/>
          <w:bCs/>
          <w:color w:val="000000" w:themeColor="text1"/>
          <w:kern w:val="2"/>
          <w:sz w:val="22"/>
          <w:szCs w:val="22"/>
          <w:highlight w:val="none"/>
          <w:lang w:val="en-US" w:eastAsia="zh-CN"/>
          <w14:textFill>
            <w14:solidFill>
              <w14:schemeClr w14:val="tx1"/>
            </w14:solidFill>
          </w14:textFill>
        </w:rPr>
        <w:t>（相关证明材料需按评分表提供）</w:t>
      </w:r>
      <w:r>
        <w:rPr>
          <w:rFonts w:hint="eastAsia" w:ascii="仿宋" w:hAnsi="仿宋" w:eastAsia="仿宋" w:cs="仿宋"/>
          <w:b/>
          <w:bCs/>
          <w:color w:val="000000" w:themeColor="text1"/>
          <w:kern w:val="2"/>
          <w:sz w:val="22"/>
          <w:szCs w:val="22"/>
          <w:highlight w:val="none"/>
          <w:lang w:val="en-US"/>
          <w14:textFill>
            <w14:solidFill>
              <w14:schemeClr w14:val="tx1"/>
            </w14:solidFill>
          </w14:textFill>
        </w:rPr>
        <w:t>。</w:t>
      </w:r>
    </w:p>
    <w:p w14:paraId="4D438ED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p w14:paraId="2881560F">
      <w:pPr>
        <w:ind w:firstLine="480"/>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p w14:paraId="151A5B89">
      <w:pPr>
        <w:ind w:firstLine="480"/>
        <w:rPr>
          <w:rFonts w:hint="eastAsia" w:ascii="仿宋" w:hAnsi="仿宋" w:eastAsia="仿宋" w:cs="仿宋"/>
          <w:b w:val="0"/>
          <w:color w:val="000000" w:themeColor="text1"/>
          <w:kern w:val="2"/>
          <w:sz w:val="22"/>
          <w:szCs w:val="22"/>
          <w:highlight w:val="none"/>
          <w:lang w:val="en-US"/>
          <w14:textFill>
            <w14:solidFill>
              <w14:schemeClr w14:val="tx1"/>
            </w14:solidFill>
          </w14:textFill>
        </w:rPr>
      </w:pPr>
    </w:p>
    <w:p w14:paraId="33912930">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lang w:eastAsia="zh-CN"/>
          <w14:textFill>
            <w14:solidFill>
              <w14:schemeClr w14:val="tx1"/>
            </w14:solidFill>
          </w14:textFill>
        </w:rPr>
        <w:t>供应商</w:t>
      </w:r>
      <w:r>
        <w:rPr>
          <w:rFonts w:hint="eastAsia" w:ascii="仿宋" w:hAnsi="仿宋" w:eastAsia="仿宋" w:cs="仿宋"/>
          <w:bCs/>
          <w:color w:val="000000" w:themeColor="text1"/>
          <w:kern w:val="2"/>
          <w:sz w:val="22"/>
          <w:szCs w:val="22"/>
          <w14:textFill>
            <w14:solidFill>
              <w14:schemeClr w14:val="tx1"/>
            </w14:solidFill>
          </w14:textFill>
        </w:rPr>
        <w:t>名称：        （盖章）</w:t>
      </w:r>
    </w:p>
    <w:p w14:paraId="724D1E8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法定代表人</w:t>
      </w:r>
      <w:r>
        <w:rPr>
          <w:rFonts w:hint="eastAsia" w:ascii="仿宋" w:hAnsi="仿宋" w:eastAsia="仿宋" w:cs="仿宋"/>
          <w:color w:val="000000" w:themeColor="text1"/>
          <w:kern w:val="2"/>
          <w:sz w:val="22"/>
          <w:szCs w:val="22"/>
          <w:lang w:val="en-US" w:eastAsia="zh-CN"/>
          <w14:textFill>
            <w14:solidFill>
              <w14:schemeClr w14:val="tx1"/>
            </w14:solidFill>
          </w14:textFill>
        </w:rPr>
        <w:t>或</w:t>
      </w:r>
      <w:r>
        <w:rPr>
          <w:rFonts w:hint="eastAsia" w:ascii="仿宋" w:hAnsi="仿宋" w:eastAsia="仿宋" w:cs="仿宋"/>
          <w:color w:val="000000" w:themeColor="text1"/>
          <w:kern w:val="2"/>
          <w:sz w:val="22"/>
          <w:szCs w:val="22"/>
          <w14:textFill>
            <w14:solidFill>
              <w14:schemeClr w14:val="tx1"/>
            </w14:solidFill>
          </w14:textFill>
        </w:rPr>
        <w:t>授权代表（签字</w:t>
      </w:r>
      <w:r>
        <w:rPr>
          <w:rFonts w:hint="eastAsia" w:ascii="仿宋" w:hAnsi="仿宋" w:eastAsia="仿宋" w:cs="仿宋"/>
          <w:color w:val="000000" w:themeColor="text1"/>
          <w:kern w:val="2"/>
          <w:sz w:val="22"/>
          <w:szCs w:val="22"/>
          <w:lang w:val="en-US" w:eastAsia="zh-CN"/>
          <w14:textFill>
            <w14:solidFill>
              <w14:schemeClr w14:val="tx1"/>
            </w14:solidFill>
          </w14:textFill>
        </w:rPr>
        <w:t>或盖章</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bCs/>
          <w:color w:val="000000" w:themeColor="text1"/>
          <w:kern w:val="2"/>
          <w:sz w:val="22"/>
          <w:szCs w:val="22"/>
          <w14:textFill>
            <w14:solidFill>
              <w14:schemeClr w14:val="tx1"/>
            </w14:solidFill>
          </w14:textFill>
        </w:rPr>
        <w:t>：</w:t>
      </w:r>
    </w:p>
    <w:p w14:paraId="7F3922AF">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14:textFill>
            <w14:solidFill>
              <w14:schemeClr w14:val="tx1"/>
            </w14:solidFill>
          </w14:textFill>
        </w:rPr>
        <w:t>投标日期：</w:t>
      </w:r>
    </w:p>
    <w:p w14:paraId="32351362">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 w:hAnsi="仿宋" w:eastAsia="仿宋" w:cs="仿宋"/>
          <w:color w:val="000000" w:themeColor="text1"/>
          <w:sz w:val="22"/>
          <w:szCs w:val="22"/>
          <w:highlight w:val="none"/>
          <w14:textFill>
            <w14:solidFill>
              <w14:schemeClr w14:val="tx1"/>
            </w14:solidFill>
          </w14:textFill>
        </w:rPr>
      </w:pPr>
    </w:p>
    <w:p w14:paraId="39E09AAA">
      <w:pP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br w:type="page"/>
      </w:r>
    </w:p>
    <w:p w14:paraId="12E2083C">
      <w:pPr>
        <w:bidi w:val="0"/>
        <w:jc w:val="center"/>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(2)主要人员简历表</w:t>
      </w:r>
    </w:p>
    <w:p w14:paraId="02B70182">
      <w:pPr>
        <w:bidi w:val="0"/>
        <w:rPr>
          <w:rFonts w:hint="eastAsia" w:ascii="仿宋" w:hAnsi="仿宋" w:eastAsia="仿宋" w:cs="仿宋"/>
          <w:color w:val="000000" w:themeColor="text1"/>
          <w:lang w:val="en-US" w:eastAsia="zh-CN"/>
          <w14:textFill>
            <w14:solidFill>
              <w14:schemeClr w14:val="tx1"/>
            </w14:solidFill>
          </w14:textFill>
        </w:rPr>
      </w:pPr>
    </w:p>
    <w:tbl>
      <w:tblPr>
        <w:tblStyle w:val="26"/>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14:paraId="717F89E6">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14:paraId="67C6AEB0">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noWrap w:val="0"/>
            <w:vAlign w:val="top"/>
          </w:tcPr>
          <w:p w14:paraId="1BF05DE7">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0"/>
            <w:vAlign w:val="center"/>
          </w:tcPr>
          <w:p w14:paraId="05D0D7DD">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noWrap w:val="0"/>
            <w:vAlign w:val="top"/>
          </w:tcPr>
          <w:p w14:paraId="3357CE49">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r>
      <w:tr w14:paraId="453BE5D7">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14:paraId="6B4C2899">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noWrap w:val="0"/>
            <w:vAlign w:val="top"/>
          </w:tcPr>
          <w:p w14:paraId="558FD493">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0"/>
            <w:vAlign w:val="center"/>
          </w:tcPr>
          <w:p w14:paraId="4A813023">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noWrap w:val="0"/>
            <w:vAlign w:val="top"/>
          </w:tcPr>
          <w:p w14:paraId="7C39ED96">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noWrap w:val="0"/>
            <w:vAlign w:val="center"/>
          </w:tcPr>
          <w:p w14:paraId="32E27865">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noWrap w:val="0"/>
            <w:vAlign w:val="top"/>
          </w:tcPr>
          <w:p w14:paraId="7A8941F7">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r>
      <w:tr w14:paraId="5FE408E1">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noWrap w:val="0"/>
            <w:vAlign w:val="center"/>
          </w:tcPr>
          <w:p w14:paraId="21D95EEC">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主要工作经历</w:t>
            </w:r>
          </w:p>
        </w:tc>
      </w:tr>
      <w:tr w14:paraId="1EE92DC5">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1D83C766">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noWrap w:val="0"/>
            <w:vAlign w:val="center"/>
          </w:tcPr>
          <w:p w14:paraId="0C168416">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noWrap w:val="0"/>
            <w:vAlign w:val="center"/>
          </w:tcPr>
          <w:p w14:paraId="5C10BB9C">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noWrap w:val="0"/>
            <w:vAlign w:val="center"/>
          </w:tcPr>
          <w:p w14:paraId="09096000">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color w:val="000000" w:themeColor="text1"/>
                <w:kern w:val="0"/>
                <w:sz w:val="22"/>
                <w:szCs w:val="22"/>
                <w:lang w:val="en-US" w:eastAsia="zh-CN" w:bidi="ar"/>
                <w14:textFill>
                  <w14:solidFill>
                    <w14:schemeClr w14:val="tx1"/>
                  </w14:solidFill>
                </w14:textFill>
              </w:rPr>
              <w:t>发包人</w:t>
            </w:r>
          </w:p>
        </w:tc>
      </w:tr>
      <w:tr w14:paraId="1AD6967B">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4E2D37F">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noWrap w:val="0"/>
            <w:vAlign w:val="center"/>
          </w:tcPr>
          <w:p w14:paraId="2542AB3C">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noWrap w:val="0"/>
            <w:vAlign w:val="center"/>
          </w:tcPr>
          <w:p w14:paraId="0E89F50E">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noWrap w:val="0"/>
            <w:vAlign w:val="center"/>
          </w:tcPr>
          <w:p w14:paraId="3C11B043">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r>
      <w:tr w14:paraId="42EFC2E4">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C7B2AB1">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noWrap w:val="0"/>
            <w:vAlign w:val="center"/>
          </w:tcPr>
          <w:p w14:paraId="5A9646C8">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noWrap w:val="0"/>
            <w:vAlign w:val="center"/>
          </w:tcPr>
          <w:p w14:paraId="617AC6A7">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noWrap w:val="0"/>
            <w:vAlign w:val="center"/>
          </w:tcPr>
          <w:p w14:paraId="49EBF3EF">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r>
      <w:tr w14:paraId="602C38D0">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36F39E3F">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noWrap w:val="0"/>
            <w:vAlign w:val="center"/>
          </w:tcPr>
          <w:p w14:paraId="0C59C355">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noWrap w:val="0"/>
            <w:vAlign w:val="center"/>
          </w:tcPr>
          <w:p w14:paraId="057610D9">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noWrap w:val="0"/>
            <w:vAlign w:val="center"/>
          </w:tcPr>
          <w:p w14:paraId="06998BED">
            <w:pPr>
              <w:keepNext/>
              <w:keepLines/>
              <w:numPr>
                <w:ilvl w:val="0"/>
                <w:numId w:val="0"/>
              </w:numPr>
              <w:tabs>
                <w:tab w:val="left" w:pos="360"/>
              </w:tabs>
              <w:spacing w:line="520" w:lineRule="exact"/>
              <w:ind w:leftChars="0"/>
              <w:jc w:val="center"/>
              <w:outlineLvl w:val="3"/>
              <w:rPr>
                <w:rFonts w:hint="eastAsia" w:ascii="仿宋" w:hAnsi="仿宋" w:eastAsia="仿宋" w:cs="仿宋"/>
                <w:b w:val="0"/>
                <w:color w:val="000000" w:themeColor="text1"/>
                <w:kern w:val="0"/>
                <w:sz w:val="22"/>
                <w:szCs w:val="22"/>
                <w:lang w:val="en-US" w:eastAsia="zh-CN" w:bidi="ar"/>
                <w14:textFill>
                  <w14:solidFill>
                    <w14:schemeClr w14:val="tx1"/>
                  </w14:solidFill>
                </w14:textFill>
              </w:rPr>
            </w:pPr>
          </w:p>
        </w:tc>
      </w:tr>
    </w:tbl>
    <w:p w14:paraId="01DF4819">
      <w:pPr>
        <w:bidi w:val="0"/>
        <w:rPr>
          <w:rFonts w:hint="eastAsia" w:ascii="仿宋" w:hAnsi="仿宋" w:eastAsia="仿宋" w:cs="仿宋"/>
          <w:color w:val="000000" w:themeColor="text1"/>
          <w:lang w:val="en-US" w:eastAsia="zh-CN"/>
          <w14:textFill>
            <w14:solidFill>
              <w14:schemeClr w14:val="tx1"/>
            </w14:solidFill>
          </w14:textFill>
        </w:rPr>
      </w:pPr>
    </w:p>
    <w:p w14:paraId="498D526B">
      <w:pPr>
        <w:bidi w:val="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注：</w:t>
      </w:r>
    </w:p>
    <w:p w14:paraId="3EF1C9E3">
      <w:pPr>
        <w:bidi w:val="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1、人员需为本单位人员，应附职称证书</w:t>
      </w:r>
      <w:r>
        <w:rPr>
          <w:rFonts w:hint="eastAsia" w:ascii="仿宋" w:hAnsi="仿宋" w:eastAsia="仿宋" w:cs="仿宋"/>
          <w:b/>
          <w:bCs/>
          <w:color w:val="000000" w:themeColor="text1"/>
          <w:kern w:val="2"/>
          <w:sz w:val="22"/>
          <w:szCs w:val="22"/>
          <w:highlight w:val="none"/>
          <w:lang w:val="en-US" w:eastAsia="zh-CN"/>
          <w14:textFill>
            <w14:solidFill>
              <w14:schemeClr w14:val="tx1"/>
            </w14:solidFill>
          </w14:textFill>
        </w:rPr>
        <w:t>（相关证明材料需按评分表提供）</w:t>
      </w:r>
      <w:r>
        <w:rPr>
          <w:rFonts w:hint="eastAsia" w:ascii="仿宋" w:hAnsi="仿宋" w:eastAsia="仿宋" w:cs="仿宋"/>
          <w:color w:val="000000" w:themeColor="text1"/>
          <w:lang w:val="en-US" w:eastAsia="zh-CN"/>
          <w14:textFill>
            <w14:solidFill>
              <w14:schemeClr w14:val="tx1"/>
            </w14:solidFill>
          </w14:textFill>
        </w:rPr>
        <w:t>。</w:t>
      </w:r>
    </w:p>
    <w:p w14:paraId="622D4AAC">
      <w:pPr>
        <w:bidi w:val="0"/>
        <w:rPr>
          <w:rFonts w:hint="eastAsia" w:ascii="仿宋" w:hAnsi="仿宋" w:eastAsia="仿宋" w:cs="仿宋"/>
          <w:color w:val="000000" w:themeColor="text1"/>
          <w:lang w:val="en-US" w:eastAsia="zh-CN"/>
          <w14:textFill>
            <w14:solidFill>
              <w14:schemeClr w14:val="tx1"/>
            </w14:solidFill>
          </w14:textFill>
        </w:rPr>
      </w:pPr>
    </w:p>
    <w:p w14:paraId="1564C713">
      <w:pPr>
        <w:pStyle w:val="38"/>
        <w:rPr>
          <w:rFonts w:hint="eastAsia" w:ascii="仿宋" w:hAnsi="仿宋" w:eastAsia="仿宋" w:cs="仿宋"/>
          <w:color w:val="000000" w:themeColor="text1"/>
          <w:lang w:val="en-US" w:eastAsia="zh-CN"/>
          <w14:textFill>
            <w14:solidFill>
              <w14:schemeClr w14:val="tx1"/>
            </w14:solidFill>
          </w14:textFill>
        </w:rPr>
      </w:pPr>
    </w:p>
    <w:p w14:paraId="10FE7929">
      <w:pP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br w:type="page"/>
      </w:r>
    </w:p>
    <w:p w14:paraId="61BAB71F">
      <w:pPr>
        <w:pStyle w:val="5"/>
        <w:bidi w:val="0"/>
        <w:jc w:val="center"/>
        <w:rPr>
          <w:rFonts w:hint="eastAsia" w:ascii="仿宋" w:hAnsi="仿宋" w:eastAsia="仿宋" w:cs="仿宋"/>
          <w:b/>
          <w:bCs/>
          <w:color w:val="000000" w:themeColor="text1"/>
          <w:lang w:val="en-US" w:eastAsia="zh-CN"/>
          <w14:textFill>
            <w14:solidFill>
              <w14:schemeClr w14:val="tx1"/>
            </w14:solidFill>
          </w14:textFill>
        </w:rPr>
      </w:pPr>
      <w:bookmarkStart w:id="210" w:name="_Toc4700"/>
      <w:r>
        <w:rPr>
          <w:rFonts w:hint="eastAsia" w:ascii="仿宋" w:hAnsi="仿宋" w:eastAsia="仿宋" w:cs="仿宋"/>
          <w:b/>
          <w:bCs/>
          <w:color w:val="000000" w:themeColor="text1"/>
          <w:lang w:val="en-US" w:eastAsia="zh-CN"/>
          <w14:textFill>
            <w14:solidFill>
              <w14:schemeClr w14:val="tx1"/>
            </w14:solidFill>
          </w14:textFill>
        </w:rPr>
        <w:t>八、项目团队在项目实施过程中未经采购人同意不得随意更换承诺书（格式自拟）</w:t>
      </w:r>
      <w:bookmarkEnd w:id="210"/>
    </w:p>
    <w:p w14:paraId="4B7ECA8C">
      <w:pPr>
        <w:ind w:left="0" w:leftChars="0" w:firstLine="0" w:firstLineChars="0"/>
        <w:rPr>
          <w:rFonts w:hint="eastAsia" w:ascii="仿宋" w:hAnsi="仿宋" w:eastAsia="仿宋" w:cs="仿宋"/>
          <w:b/>
          <w:color w:val="000000" w:themeColor="text1"/>
          <w:kern w:val="0"/>
          <w:sz w:val="22"/>
          <w:szCs w:val="22"/>
          <w:u w:val="none"/>
          <w:lang w:val="en-US" w:eastAsia="zh-CN" w:bidi="ar-SA"/>
          <w14:textFill>
            <w14:solidFill>
              <w14:schemeClr w14:val="tx1"/>
            </w14:solidFill>
          </w14:textFill>
        </w:rPr>
      </w:pPr>
    </w:p>
    <w:p w14:paraId="3464FBC1">
      <w:pPr>
        <w:rPr>
          <w:rFonts w:hint="eastAsia" w:ascii="仿宋" w:hAnsi="仿宋" w:eastAsia="仿宋" w:cs="仿宋"/>
          <w:b/>
          <w:color w:val="000000" w:themeColor="text1"/>
          <w:kern w:val="0"/>
          <w:sz w:val="22"/>
          <w:szCs w:val="22"/>
          <w:u w:val="none"/>
          <w:lang w:val="en-US" w:eastAsia="zh-CN" w:bidi="ar-SA"/>
          <w14:textFill>
            <w14:solidFill>
              <w14:schemeClr w14:val="tx1"/>
            </w14:solidFill>
          </w14:textFill>
        </w:rPr>
      </w:pPr>
    </w:p>
    <w:p w14:paraId="60901866">
      <w:pPr>
        <w:pStyle w:val="3"/>
        <w:rPr>
          <w:rFonts w:hint="eastAsia" w:ascii="仿宋" w:hAnsi="仿宋" w:eastAsia="仿宋" w:cs="仿宋"/>
          <w:b/>
          <w:color w:val="000000" w:themeColor="text1"/>
          <w:kern w:val="0"/>
          <w:sz w:val="22"/>
          <w:szCs w:val="22"/>
          <w:u w:val="none"/>
          <w:lang w:val="en-US" w:eastAsia="zh-CN" w:bidi="ar-SA"/>
          <w14:textFill>
            <w14:solidFill>
              <w14:schemeClr w14:val="tx1"/>
            </w14:solidFill>
          </w14:textFill>
        </w:rPr>
      </w:pPr>
    </w:p>
    <w:p w14:paraId="60CCD1D3">
      <w:pPr>
        <w:rPr>
          <w:rFonts w:hint="eastAsia" w:ascii="仿宋" w:hAnsi="仿宋" w:eastAsia="仿宋" w:cs="仿宋"/>
          <w:b/>
          <w:color w:val="000000" w:themeColor="text1"/>
          <w:kern w:val="0"/>
          <w:sz w:val="22"/>
          <w:szCs w:val="22"/>
          <w:u w:val="none"/>
          <w:lang w:val="en-US" w:eastAsia="zh-CN" w:bidi="ar-SA"/>
          <w14:textFill>
            <w14:solidFill>
              <w14:schemeClr w14:val="tx1"/>
            </w14:solidFill>
          </w14:textFill>
        </w:rPr>
      </w:pPr>
    </w:p>
    <w:p w14:paraId="02AEB68D">
      <w:pPr>
        <w:pStyle w:val="3"/>
        <w:rPr>
          <w:rFonts w:hint="eastAsia"/>
          <w:lang w:val="en-US" w:eastAsia="zh-CN"/>
        </w:rPr>
      </w:pPr>
    </w:p>
    <w:p w14:paraId="5723BE70">
      <w:pPr>
        <w:pStyle w:val="5"/>
        <w:numPr>
          <w:ilvl w:val="0"/>
          <w:numId w:val="0"/>
        </w:numPr>
        <w:bidi w:val="0"/>
        <w:ind w:leftChars="0"/>
        <w:jc w:val="center"/>
        <w:rPr>
          <w:rFonts w:hint="eastAsia" w:ascii="仿宋" w:hAnsi="仿宋" w:eastAsia="仿宋" w:cs="仿宋"/>
          <w:b/>
          <w:bCs/>
          <w:color w:val="000000" w:themeColor="text1"/>
          <w:lang w:val="en-US" w:eastAsia="zh-CN"/>
          <w14:textFill>
            <w14:solidFill>
              <w14:schemeClr w14:val="tx1"/>
            </w14:solidFill>
          </w14:textFill>
        </w:rPr>
      </w:pPr>
      <w:bookmarkStart w:id="211" w:name="_Toc17700"/>
      <w:r>
        <w:rPr>
          <w:rFonts w:hint="eastAsia" w:ascii="仿宋" w:hAnsi="仿宋" w:eastAsia="仿宋" w:cs="仿宋"/>
          <w:b/>
          <w:bCs/>
          <w:color w:val="000000" w:themeColor="text1"/>
          <w:lang w:val="en-US" w:eastAsia="zh-CN"/>
          <w14:textFill>
            <w14:solidFill>
              <w14:schemeClr w14:val="tx1"/>
            </w14:solidFill>
          </w14:textFill>
        </w:rPr>
        <w:t>九、</w:t>
      </w:r>
      <w:bookmarkEnd w:id="211"/>
      <w:bookmarkStart w:id="212" w:name="_Toc16995"/>
      <w:r>
        <w:rPr>
          <w:rFonts w:hint="eastAsia" w:ascii="仿宋" w:hAnsi="仿宋" w:eastAsia="仿宋" w:cs="仿宋"/>
          <w:b/>
          <w:bCs/>
          <w:color w:val="000000" w:themeColor="text1"/>
          <w:lang w:val="en-US" w:eastAsia="zh-CN"/>
          <w14:textFill>
            <w14:solidFill>
              <w14:schemeClr w14:val="tx1"/>
            </w14:solidFill>
          </w14:textFill>
        </w:rPr>
        <w:t>技术部分（包含但不限于评分细则表）</w:t>
      </w:r>
      <w:bookmarkEnd w:id="212"/>
    </w:p>
    <w:p w14:paraId="69B8B363">
      <w:pPr>
        <w:pStyle w:val="3"/>
        <w:widowControl w:val="0"/>
        <w:numPr>
          <w:ilvl w:val="0"/>
          <w:numId w:val="0"/>
        </w:numPr>
        <w:spacing w:line="360" w:lineRule="auto"/>
        <w:jc w:val="center"/>
        <w:rPr>
          <w:rFonts w:hint="eastAsia"/>
          <w:color w:val="000000" w:themeColor="text1"/>
          <w:lang w:val="en-US" w:eastAsia="zh-CN"/>
          <w14:textFill>
            <w14:solidFill>
              <w14:schemeClr w14:val="tx1"/>
            </w14:solidFill>
          </w14:textFill>
        </w:rPr>
      </w:pPr>
    </w:p>
    <w:p w14:paraId="6A8E3803">
      <w:pPr>
        <w:pStyle w:val="3"/>
        <w:widowControl w:val="0"/>
        <w:numPr>
          <w:ilvl w:val="0"/>
          <w:numId w:val="0"/>
        </w:numPr>
        <w:spacing w:line="360" w:lineRule="auto"/>
        <w:jc w:val="center"/>
        <w:rPr>
          <w:rFonts w:hint="eastAsia"/>
          <w:color w:val="000000" w:themeColor="text1"/>
          <w:lang w:val="en-US" w:eastAsia="zh-CN"/>
          <w14:textFill>
            <w14:solidFill>
              <w14:schemeClr w14:val="tx1"/>
            </w14:solidFill>
          </w14:textFill>
        </w:rPr>
      </w:pPr>
    </w:p>
    <w:p w14:paraId="4D398A8D">
      <w:pPr>
        <w:pStyle w:val="3"/>
        <w:widowControl w:val="0"/>
        <w:numPr>
          <w:ilvl w:val="0"/>
          <w:numId w:val="0"/>
        </w:numPr>
        <w:spacing w:line="360" w:lineRule="auto"/>
        <w:jc w:val="center"/>
        <w:rPr>
          <w:rFonts w:hint="eastAsia"/>
          <w:color w:val="000000" w:themeColor="text1"/>
          <w:lang w:val="en-US" w:eastAsia="zh-CN"/>
          <w14:textFill>
            <w14:solidFill>
              <w14:schemeClr w14:val="tx1"/>
            </w14:solidFill>
          </w14:textFill>
        </w:rPr>
      </w:pPr>
    </w:p>
    <w:p w14:paraId="48E5D451">
      <w:pPr>
        <w:pStyle w:val="3"/>
        <w:widowControl w:val="0"/>
        <w:numPr>
          <w:ilvl w:val="0"/>
          <w:numId w:val="0"/>
        </w:numPr>
        <w:spacing w:line="360" w:lineRule="auto"/>
        <w:jc w:val="center"/>
        <w:rPr>
          <w:rFonts w:hint="eastAsia"/>
          <w:color w:val="000000" w:themeColor="text1"/>
          <w:lang w:val="en-US" w:eastAsia="zh-CN"/>
          <w14:textFill>
            <w14:solidFill>
              <w14:schemeClr w14:val="tx1"/>
            </w14:solidFill>
          </w14:textFill>
        </w:rPr>
      </w:pPr>
    </w:p>
    <w:p w14:paraId="51CC682F">
      <w:pPr>
        <w:pStyle w:val="3"/>
        <w:widowControl w:val="0"/>
        <w:numPr>
          <w:ilvl w:val="0"/>
          <w:numId w:val="0"/>
        </w:numPr>
        <w:spacing w:line="360" w:lineRule="auto"/>
        <w:jc w:val="center"/>
        <w:rPr>
          <w:rFonts w:hint="eastAsia"/>
          <w:color w:val="000000" w:themeColor="text1"/>
          <w:lang w:val="en-US" w:eastAsia="zh-CN"/>
          <w14:textFill>
            <w14:solidFill>
              <w14:schemeClr w14:val="tx1"/>
            </w14:solidFill>
          </w14:textFill>
        </w:rPr>
      </w:pPr>
    </w:p>
    <w:p w14:paraId="5694D30C">
      <w:pPr>
        <w:pStyle w:val="3"/>
        <w:widowControl w:val="0"/>
        <w:numPr>
          <w:ilvl w:val="0"/>
          <w:numId w:val="0"/>
        </w:numPr>
        <w:spacing w:line="360" w:lineRule="auto"/>
        <w:jc w:val="center"/>
        <w:rPr>
          <w:rFonts w:hint="eastAsia"/>
          <w:color w:val="000000" w:themeColor="text1"/>
          <w:lang w:val="en-US" w:eastAsia="zh-CN"/>
          <w14:textFill>
            <w14:solidFill>
              <w14:schemeClr w14:val="tx1"/>
            </w14:solidFill>
          </w14:textFill>
        </w:rPr>
      </w:pPr>
    </w:p>
    <w:p w14:paraId="12FCFD0D">
      <w:pPr>
        <w:pStyle w:val="3"/>
        <w:widowControl w:val="0"/>
        <w:numPr>
          <w:ilvl w:val="0"/>
          <w:numId w:val="0"/>
        </w:numPr>
        <w:spacing w:line="360" w:lineRule="auto"/>
        <w:jc w:val="center"/>
        <w:rPr>
          <w:rFonts w:hint="eastAsia" w:ascii="仿宋" w:hAnsi="仿宋" w:eastAsia="仿宋" w:cs="仿宋"/>
          <w:color w:val="000000" w:themeColor="text1"/>
          <w:sz w:val="28"/>
          <w:szCs w:val="32"/>
          <w:lang w:val="en-US" w:eastAsia="zh-CN" w:bidi="ar-SA"/>
          <w14:textFill>
            <w14:solidFill>
              <w14:schemeClr w14:val="tx1"/>
            </w14:solidFill>
          </w14:textFill>
        </w:rPr>
      </w:pPr>
    </w:p>
    <w:p w14:paraId="51FBE05B">
      <w:pPr>
        <w:numPr>
          <w:ilvl w:val="0"/>
          <w:numId w:val="2"/>
        </w:numPr>
        <w:jc w:val="center"/>
        <w:outlineLvl w:val="9"/>
        <w:rPr>
          <w:rFonts w:hint="eastAsia" w:ascii="仿宋" w:hAnsi="仿宋" w:eastAsia="仿宋" w:cs="仿宋"/>
          <w:b/>
          <w:bCs/>
          <w:color w:val="000000" w:themeColor="text1"/>
          <w:sz w:val="28"/>
          <w:szCs w:val="32"/>
          <w:lang w:val="en-US" w:eastAsia="zh-CN" w:bidi="ar-SA"/>
          <w14:textFill>
            <w14:solidFill>
              <w14:schemeClr w14:val="tx1"/>
            </w14:solidFill>
          </w14:textFill>
        </w:rPr>
      </w:pPr>
      <w:bookmarkStart w:id="213" w:name="_Toc5709"/>
      <w:r>
        <w:rPr>
          <w:rFonts w:hint="eastAsia" w:ascii="仿宋" w:hAnsi="仿宋" w:eastAsia="仿宋" w:cs="仿宋"/>
          <w:b/>
          <w:bCs/>
          <w:color w:val="000000" w:themeColor="text1"/>
          <w:sz w:val="28"/>
          <w:szCs w:val="32"/>
          <w:lang w:val="en-US" w:eastAsia="zh-CN" w:bidi="ar-SA"/>
          <w14:textFill>
            <w14:solidFill>
              <w14:schemeClr w14:val="tx1"/>
            </w14:solidFill>
          </w14:textFill>
        </w:rPr>
        <w:t>投标供应商认为需提供的其他资料（如有）</w:t>
      </w:r>
      <w:bookmarkEnd w:id="213"/>
    </w:p>
    <w:p w14:paraId="05F2D538">
      <w:pPr>
        <w:numPr>
          <w:ilvl w:val="0"/>
          <w:numId w:val="2"/>
        </w:numPr>
        <w:outlineLvl w:val="9"/>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br w:type="page"/>
      </w:r>
    </w:p>
    <w:p w14:paraId="410302A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auto"/>
          <w:kern w:val="0"/>
          <w:sz w:val="24"/>
          <w:szCs w:val="24"/>
        </w:rPr>
      </w:pPr>
      <w:bookmarkStart w:id="214" w:name="_Toc13163"/>
      <w:bookmarkStart w:id="215" w:name="_Toc10941"/>
      <w:bookmarkStart w:id="216" w:name="_Toc32273"/>
      <w:bookmarkStart w:id="217" w:name="_Toc22590"/>
      <w:bookmarkStart w:id="218" w:name="_Toc16988"/>
      <w:r>
        <w:rPr>
          <w:rFonts w:hint="eastAsia" w:ascii="仿宋" w:hAnsi="仿宋" w:eastAsia="仿宋" w:cs="仿宋"/>
          <w:b/>
          <w:color w:val="auto"/>
          <w:kern w:val="0"/>
          <w:sz w:val="32"/>
          <w:szCs w:val="32"/>
        </w:rPr>
        <w:t>中小企业声明函</w:t>
      </w:r>
      <w:bookmarkEnd w:id="214"/>
      <w:bookmarkEnd w:id="215"/>
      <w:bookmarkEnd w:id="216"/>
      <w:bookmarkEnd w:id="217"/>
      <w:bookmarkEnd w:id="218"/>
    </w:p>
    <w:p w14:paraId="32970FDE">
      <w:pPr>
        <w:jc w:val="center"/>
        <w:outlineLvl w:val="9"/>
        <w:rPr>
          <w:rFonts w:hint="eastAsia" w:ascii="仿宋" w:hAnsi="仿宋" w:eastAsia="仿宋" w:cs="仿宋"/>
          <w:color w:val="auto"/>
          <w:sz w:val="24"/>
          <w:szCs w:val="24"/>
        </w:rPr>
      </w:pPr>
      <w:bookmarkStart w:id="219" w:name="_Toc10837"/>
      <w:bookmarkStart w:id="220" w:name="_Toc9054"/>
      <w:bookmarkStart w:id="221" w:name="_Toc16706"/>
      <w:bookmarkStart w:id="222" w:name="_Toc9221"/>
      <w:bookmarkStart w:id="223" w:name="_Toc28383"/>
      <w:r>
        <w:rPr>
          <w:rFonts w:hint="eastAsia" w:ascii="仿宋" w:hAnsi="仿宋" w:eastAsia="仿宋" w:cs="仿宋"/>
          <w:color w:val="auto"/>
          <w:sz w:val="24"/>
          <w:szCs w:val="24"/>
        </w:rPr>
        <w:t>中小企业声明函（服务）</w:t>
      </w:r>
      <w:bookmarkEnd w:id="219"/>
      <w:bookmarkEnd w:id="220"/>
      <w:bookmarkEnd w:id="221"/>
      <w:bookmarkEnd w:id="222"/>
      <w:bookmarkEnd w:id="223"/>
    </w:p>
    <w:p w14:paraId="04A34D81">
      <w:pPr>
        <w:jc w:val="center"/>
        <w:outlineLvl w:val="9"/>
        <w:rPr>
          <w:rFonts w:hint="eastAsia" w:ascii="仿宋" w:hAnsi="仿宋" w:eastAsia="仿宋" w:cs="仿宋"/>
          <w:color w:val="auto"/>
          <w:sz w:val="24"/>
          <w:szCs w:val="24"/>
        </w:rPr>
      </w:pPr>
    </w:p>
    <w:p w14:paraId="158545CB">
      <w:pPr>
        <w:widowControl/>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本公司郑重声明， 根据《政府采购促进中小企业发展管理办法》（财库﹝ 2020﹞ 46 号） 的规定，本公司参加</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项目采购活动，</w:t>
      </w:r>
      <w:r>
        <w:rPr>
          <w:rFonts w:hint="eastAsia" w:ascii="仿宋" w:hAnsi="仿宋" w:eastAsia="仿宋" w:cs="仿宋"/>
          <w:color w:val="auto"/>
          <w:kern w:val="0"/>
          <w:sz w:val="24"/>
          <w:szCs w:val="24"/>
          <w:lang w:eastAsia="zh-CN"/>
        </w:rPr>
        <w:t>提供的服务</w:t>
      </w:r>
      <w:r>
        <w:rPr>
          <w:rFonts w:hint="eastAsia" w:ascii="仿宋" w:hAnsi="仿宋" w:eastAsia="仿宋" w:cs="仿宋"/>
          <w:color w:val="auto"/>
          <w:kern w:val="0"/>
          <w:sz w:val="24"/>
          <w:szCs w:val="24"/>
        </w:rPr>
        <w:t>为符合政策要求的中小企业</w:t>
      </w:r>
      <w:r>
        <w:rPr>
          <w:rFonts w:hint="eastAsia" w:ascii="仿宋" w:hAnsi="仿宋" w:eastAsia="仿宋" w:cs="仿宋"/>
          <w:color w:val="auto"/>
          <w:kern w:val="0"/>
          <w:sz w:val="24"/>
          <w:szCs w:val="24"/>
          <w:lang w:eastAsia="zh-CN"/>
        </w:rPr>
        <w:t>承接</w:t>
      </w:r>
      <w:r>
        <w:rPr>
          <w:rFonts w:hint="eastAsia" w:ascii="仿宋" w:hAnsi="仿宋" w:eastAsia="仿宋" w:cs="仿宋"/>
          <w:color w:val="auto"/>
          <w:kern w:val="0"/>
          <w:sz w:val="24"/>
          <w:szCs w:val="24"/>
        </w:rPr>
        <w:t>。企业的具体情况如下：</w:t>
      </w:r>
    </w:p>
    <w:p w14:paraId="72EE88A7">
      <w:pPr>
        <w:widowControl/>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 </w:t>
      </w:r>
      <w:r>
        <w:rPr>
          <w:rFonts w:hint="eastAsia" w:ascii="仿宋" w:hAnsi="仿宋" w:eastAsia="仿宋" w:cs="仿宋"/>
          <w:color w:val="auto"/>
          <w:kern w:val="0"/>
          <w:sz w:val="24"/>
          <w:szCs w:val="24"/>
          <w:u w:val="single"/>
        </w:rPr>
        <w:t>（标的名称）</w:t>
      </w:r>
      <w:r>
        <w:rPr>
          <w:rFonts w:hint="eastAsia" w:ascii="仿宋" w:hAnsi="仿宋" w:eastAsia="仿宋" w:cs="仿宋"/>
          <w:color w:val="auto"/>
          <w:kern w:val="0"/>
          <w:sz w:val="24"/>
          <w:szCs w:val="24"/>
        </w:rPr>
        <w:t xml:space="preserve"> ， 属于</w:t>
      </w:r>
      <w:r>
        <w:rPr>
          <w:rFonts w:hint="eastAsia" w:ascii="仿宋" w:hAnsi="仿宋" w:eastAsia="仿宋" w:cs="仿宋"/>
          <w:color w:val="auto"/>
          <w:kern w:val="0"/>
          <w:sz w:val="24"/>
          <w:szCs w:val="24"/>
          <w:u w:val="single"/>
        </w:rPr>
        <w:t>（采购文件中明确的所属行业）行业</w:t>
      </w:r>
      <w:r>
        <w:rPr>
          <w:rFonts w:hint="eastAsia" w:ascii="仿宋" w:hAnsi="仿宋" w:eastAsia="仿宋" w:cs="仿宋"/>
          <w:color w:val="auto"/>
          <w:kern w:val="0"/>
          <w:sz w:val="24"/>
          <w:szCs w:val="24"/>
        </w:rPr>
        <w:t>；承接企业为</w:t>
      </w:r>
      <w:r>
        <w:rPr>
          <w:rFonts w:hint="eastAsia" w:ascii="仿宋" w:hAnsi="仿宋" w:eastAsia="仿宋" w:cs="仿宋"/>
          <w:color w:val="auto"/>
          <w:kern w:val="0"/>
          <w:sz w:val="24"/>
          <w:szCs w:val="24"/>
          <w:u w:val="single"/>
        </w:rPr>
        <w:t>（ 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w:t>
      </w:r>
      <w:r>
        <w:rPr>
          <w:rFonts w:hint="eastAsia" w:ascii="仿宋" w:hAnsi="仿宋" w:eastAsia="仿宋" w:cs="仿宋"/>
          <w:color w:val="auto"/>
          <w:kern w:val="0"/>
          <w:sz w:val="24"/>
          <w:szCs w:val="24"/>
          <w:vertAlign w:val="superscript"/>
        </w:rPr>
        <w:t>1</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中型企业、 小型企业、 微型企业</w:t>
      </w:r>
      <w:r>
        <w:rPr>
          <w:rFonts w:hint="eastAsia" w:ascii="仿宋" w:hAnsi="仿宋" w:eastAsia="仿宋" w:cs="仿宋"/>
          <w:color w:val="auto"/>
          <w:kern w:val="0"/>
          <w:sz w:val="24"/>
          <w:szCs w:val="24"/>
        </w:rPr>
        <w:t>）；</w:t>
      </w:r>
    </w:p>
    <w:p w14:paraId="45DE8CD1">
      <w:pPr>
        <w:widowControl/>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 不存在控股股东为大企业的情形， 也不存在与大企业的负责人为同一人的情形。</w:t>
      </w:r>
    </w:p>
    <w:p w14:paraId="7CAAD648">
      <w:pPr>
        <w:widowControl/>
        <w:spacing w:line="360" w:lineRule="auto"/>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 如有虚假，将依法承担相应责任。</w:t>
      </w:r>
    </w:p>
    <w:p w14:paraId="314EB734">
      <w:pPr>
        <w:widowControl/>
        <w:wordWrap w:val="0"/>
        <w:spacing w:line="360" w:lineRule="auto"/>
        <w:ind w:firstLine="480" w:firstLineChars="200"/>
        <w:jc w:val="right"/>
        <w:outlineLvl w:val="9"/>
        <w:rPr>
          <w:rFonts w:hint="eastAsia" w:ascii="仿宋" w:hAnsi="仿宋" w:eastAsia="仿宋" w:cs="仿宋"/>
          <w:color w:val="auto"/>
          <w:kern w:val="0"/>
          <w:sz w:val="24"/>
          <w:szCs w:val="24"/>
        </w:rPr>
      </w:pPr>
    </w:p>
    <w:p w14:paraId="51C9B8FF">
      <w:pPr>
        <w:widowControl/>
        <w:wordWrap w:val="0"/>
        <w:spacing w:line="360" w:lineRule="auto"/>
        <w:ind w:firstLine="480" w:firstLineChars="200"/>
        <w:jc w:val="righ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企业名称（盖章）：</w:t>
      </w:r>
    </w:p>
    <w:p w14:paraId="3D255548">
      <w:pPr>
        <w:widowControl/>
        <w:wordWrap w:val="0"/>
        <w:spacing w:line="360" w:lineRule="auto"/>
        <w:ind w:firstLine="480" w:firstLineChars="200"/>
        <w:jc w:val="center"/>
        <w:outlineLvl w:val="9"/>
        <w:rPr>
          <w:rFonts w:hint="eastAsia" w:ascii="仿宋" w:hAnsi="仿宋" w:eastAsia="仿宋" w:cs="仿宋"/>
          <w:color w:val="auto"/>
          <w:kern w:val="0"/>
          <w:sz w:val="24"/>
          <w:szCs w:val="24"/>
        </w:rPr>
      </w:pPr>
      <w:bookmarkStart w:id="224" w:name="_Toc22205"/>
      <w:bookmarkStart w:id="225" w:name="_Toc2223"/>
      <w:bookmarkStart w:id="226" w:name="_Toc13735"/>
      <w:bookmarkStart w:id="227" w:name="_Toc13354"/>
      <w:bookmarkStart w:id="228" w:name="_Toc12141"/>
      <w:r>
        <w:rPr>
          <w:rFonts w:hint="eastAsia" w:ascii="仿宋" w:hAnsi="仿宋" w:eastAsia="仿宋" w:cs="仿宋"/>
          <w:color w:val="auto"/>
          <w:kern w:val="0"/>
          <w:sz w:val="24"/>
          <w:szCs w:val="24"/>
        </w:rPr>
        <w:t>日 期：</w:t>
      </w:r>
      <w:bookmarkEnd w:id="224"/>
      <w:bookmarkEnd w:id="225"/>
      <w:bookmarkEnd w:id="226"/>
      <w:bookmarkEnd w:id="227"/>
      <w:bookmarkEnd w:id="228"/>
    </w:p>
    <w:p w14:paraId="330C4E74">
      <w:pPr>
        <w:spacing w:line="360" w:lineRule="auto"/>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vertAlign w:val="superscript"/>
        </w:rPr>
        <w:t>1</w:t>
      </w:r>
      <w:r>
        <w:rPr>
          <w:rFonts w:hint="eastAsia" w:ascii="仿宋" w:hAnsi="仿宋" w:eastAsia="仿宋" w:cs="仿宋"/>
          <w:color w:val="auto"/>
          <w:kern w:val="0"/>
          <w:sz w:val="24"/>
          <w:szCs w:val="24"/>
        </w:rPr>
        <w:t>从业人员、 营业收入、 资产总额填报上一年度数据， 无上一年度数据的新成立企业可不填报。</w:t>
      </w:r>
    </w:p>
    <w:p w14:paraId="43B88A9A">
      <w:pPr>
        <w:keepNext w:val="0"/>
        <w:keepLines w:val="0"/>
        <w:widowControl/>
        <w:suppressLineNumbers w:val="0"/>
        <w:jc w:val="left"/>
      </w:pPr>
      <w:r>
        <w:rPr>
          <w:rFonts w:hint="eastAsia" w:ascii="仿宋" w:hAnsi="仿宋" w:eastAsia="仿宋" w:cs="仿宋"/>
          <w:b/>
          <w:color w:val="auto"/>
          <w:sz w:val="24"/>
          <w:szCs w:val="24"/>
        </w:rPr>
        <w:br w:type="page"/>
      </w:r>
    </w:p>
    <w:p w14:paraId="6A9BBDC6">
      <w:pPr>
        <w:keepNext w:val="0"/>
        <w:keepLines w:val="0"/>
        <w:pageBreakBefore w:val="0"/>
        <w:widowControl w:val="0"/>
        <w:tabs>
          <w:tab w:val="left" w:pos="3777"/>
          <w:tab w:val="center" w:pos="4819"/>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color w:val="auto"/>
          <w:kern w:val="0"/>
          <w:sz w:val="32"/>
          <w:szCs w:val="32"/>
        </w:rPr>
      </w:pPr>
      <w:bookmarkStart w:id="229" w:name="_Toc13761"/>
      <w:bookmarkStart w:id="230" w:name="_Toc20474"/>
      <w:bookmarkStart w:id="231" w:name="_Toc11221"/>
      <w:bookmarkStart w:id="232" w:name="_Toc17612"/>
      <w:bookmarkStart w:id="233" w:name="_Toc2190"/>
      <w:r>
        <w:rPr>
          <w:rFonts w:hint="eastAsia" w:ascii="仿宋" w:hAnsi="仿宋" w:eastAsia="仿宋" w:cs="仿宋"/>
          <w:b/>
          <w:color w:val="auto"/>
          <w:kern w:val="0"/>
          <w:sz w:val="32"/>
          <w:szCs w:val="32"/>
        </w:rPr>
        <w:t>监狱企业声明函</w:t>
      </w:r>
      <w:bookmarkEnd w:id="229"/>
      <w:bookmarkEnd w:id="230"/>
      <w:bookmarkEnd w:id="231"/>
      <w:bookmarkEnd w:id="232"/>
      <w:bookmarkEnd w:id="233"/>
    </w:p>
    <w:p w14:paraId="7669F9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（监狱企业适用）</w:t>
      </w:r>
    </w:p>
    <w:p w14:paraId="189C4179">
      <w:pPr>
        <w:spacing w:line="360" w:lineRule="auto"/>
        <w:ind w:firstLine="540" w:firstLineChars="225"/>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本公司郑重声明，根据《关于政府采购支持监狱企业发展有关问题的通知》（财库[2014]68号）的规定，本公司为监狱企业。</w:t>
      </w:r>
    </w:p>
    <w:p w14:paraId="699E8480">
      <w:pPr>
        <w:spacing w:line="360" w:lineRule="auto"/>
        <w:ind w:firstLine="540" w:firstLineChars="225"/>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本公司参加______单位的______项目采购活动，采购活动提供本企业（填写制造的货物，由本企业承担工程、提供服务）。</w:t>
      </w:r>
    </w:p>
    <w:p w14:paraId="7D4E9124">
      <w:pPr>
        <w:spacing w:line="360" w:lineRule="auto"/>
        <w:ind w:firstLine="540" w:firstLineChars="225"/>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本条所称货物不包括使用大型企业注册商标的货物和服务。</w:t>
      </w:r>
    </w:p>
    <w:p w14:paraId="37D76137">
      <w:pPr>
        <w:spacing w:line="360" w:lineRule="auto"/>
        <w:ind w:firstLine="540" w:firstLineChars="225"/>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本公司对上述声明的真实性负责。如有虚假，将依法承担相应责任。</w:t>
      </w:r>
    </w:p>
    <w:p w14:paraId="5C09F415">
      <w:pPr>
        <w:spacing w:line="360" w:lineRule="auto"/>
        <w:outlineLvl w:val="9"/>
        <w:rPr>
          <w:rFonts w:hint="eastAsia" w:ascii="仿宋" w:hAnsi="仿宋" w:eastAsia="仿宋" w:cs="仿宋"/>
          <w:color w:val="auto"/>
          <w:kern w:val="0"/>
          <w:sz w:val="24"/>
          <w:szCs w:val="24"/>
        </w:rPr>
      </w:pPr>
    </w:p>
    <w:p w14:paraId="5E5C6498">
      <w:pPr>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企业名称（加盖公章）：</w:t>
      </w:r>
    </w:p>
    <w:p w14:paraId="146EDFFC">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法定代表人（负责人）或其授权代表(签字)：</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w:t>
      </w:r>
    </w:p>
    <w:p w14:paraId="68E60D3B">
      <w:pPr>
        <w:spacing w:line="360" w:lineRule="auto"/>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注：后附监狱企业资格证明文件</w:t>
      </w:r>
    </w:p>
    <w:p w14:paraId="6A4498BA">
      <w:pPr>
        <w:spacing w:line="440" w:lineRule="exact"/>
        <w:ind w:firstLine="567"/>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Cs w:val="24"/>
        </w:rPr>
        <w:t xml:space="preserve"> </w:t>
      </w:r>
      <w:r>
        <w:rPr>
          <w:rFonts w:hint="eastAsia" w:ascii="仿宋" w:hAnsi="仿宋" w:eastAsia="仿宋" w:cs="仿宋"/>
          <w:color w:val="auto"/>
          <w:sz w:val="24"/>
          <w:szCs w:val="24"/>
        </w:rPr>
        <w:t>省级以上监狱管理局、戒毒管理局（含新疆生产建设兵团）出具的属于监狱企业的证明文件；</w:t>
      </w:r>
    </w:p>
    <w:p w14:paraId="6CF428D8">
      <w:pPr>
        <w:bidi w:val="0"/>
        <w:rPr>
          <w:rFonts w:hint="eastAsia" w:ascii="仿宋" w:hAnsi="仿宋" w:eastAsia="仿宋" w:cs="仿宋"/>
        </w:rPr>
      </w:pPr>
      <w:bookmarkStart w:id="234" w:name="_Toc31077"/>
      <w:r>
        <w:rPr>
          <w:rFonts w:hint="eastAsia" w:ascii="仿宋" w:hAnsi="仿宋" w:eastAsia="仿宋" w:cs="仿宋"/>
        </w:rPr>
        <w:t>2.证明材料加盖</w:t>
      </w:r>
      <w:r>
        <w:rPr>
          <w:rFonts w:hint="eastAsia" w:ascii="仿宋" w:hAnsi="仿宋" w:eastAsia="仿宋" w:cs="仿宋"/>
          <w:lang w:eastAsia="zh-CN"/>
        </w:rPr>
        <w:t>供应商</w:t>
      </w:r>
      <w:r>
        <w:rPr>
          <w:rFonts w:hint="eastAsia" w:ascii="仿宋" w:hAnsi="仿宋" w:eastAsia="仿宋" w:cs="仿宋"/>
        </w:rPr>
        <w:t>公章。</w:t>
      </w:r>
      <w:bookmarkEnd w:id="234"/>
    </w:p>
    <w:p w14:paraId="4BBE28E5">
      <w:pPr>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（若响应性文件中无上述证明文件，则在评审时不考虑对该监狱企业的相关优惠。） </w:t>
      </w:r>
    </w:p>
    <w:p w14:paraId="47E2C042">
      <w:pPr>
        <w:widowControl/>
        <w:jc w:val="left"/>
        <w:outlineLvl w:val="9"/>
        <w:rPr>
          <w:rFonts w:hint="eastAsia" w:ascii="仿宋" w:hAnsi="仿宋" w:eastAsia="仿宋" w:cs="仿宋"/>
          <w:b/>
          <w:color w:val="auto"/>
          <w:sz w:val="24"/>
          <w:szCs w:val="24"/>
        </w:rPr>
      </w:pPr>
    </w:p>
    <w:p w14:paraId="7CE041AC">
      <w:pPr>
        <w:keepNext w:val="0"/>
        <w:keepLines w:val="0"/>
        <w:pageBreakBefore w:val="0"/>
        <w:widowControl w:val="0"/>
        <w:tabs>
          <w:tab w:val="left" w:pos="3777"/>
          <w:tab w:val="center" w:pos="4819"/>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color w:val="auto"/>
          <w:kern w:val="0"/>
          <w:sz w:val="32"/>
          <w:szCs w:val="32"/>
        </w:rPr>
      </w:pPr>
      <w:bookmarkStart w:id="235" w:name="_Toc27956"/>
      <w:bookmarkStart w:id="236" w:name="_Toc5089"/>
      <w:bookmarkStart w:id="237" w:name="_Toc17322"/>
      <w:bookmarkStart w:id="238" w:name="_Toc17866"/>
      <w:bookmarkStart w:id="239" w:name="_Toc13718"/>
      <w:bookmarkStart w:id="240" w:name="_Toc31856"/>
      <w:r>
        <w:rPr>
          <w:rFonts w:hint="eastAsia" w:ascii="仿宋" w:hAnsi="仿宋" w:eastAsia="仿宋" w:cs="仿宋"/>
          <w:b/>
          <w:color w:val="auto"/>
          <w:kern w:val="0"/>
          <w:sz w:val="32"/>
          <w:szCs w:val="32"/>
        </w:rPr>
        <w:t>残疾人福利性单位声明函</w:t>
      </w:r>
      <w:bookmarkEnd w:id="235"/>
      <w:bookmarkEnd w:id="236"/>
      <w:bookmarkEnd w:id="237"/>
      <w:bookmarkEnd w:id="238"/>
      <w:bookmarkEnd w:id="239"/>
      <w:bookmarkEnd w:id="240"/>
    </w:p>
    <w:p w14:paraId="3FEE44CE">
      <w:pPr>
        <w:autoSpaceDE w:val="0"/>
        <w:autoSpaceDN w:val="0"/>
        <w:adjustRightInd w:val="0"/>
        <w:spacing w:line="440" w:lineRule="exact"/>
        <w:outlineLvl w:val="9"/>
        <w:rPr>
          <w:rFonts w:hint="eastAsia" w:ascii="仿宋" w:hAnsi="仿宋" w:eastAsia="仿宋" w:cs="仿宋"/>
          <w:b/>
          <w:bCs/>
          <w:color w:val="auto"/>
          <w:spacing w:val="6"/>
          <w:kern w:val="0"/>
          <w:sz w:val="24"/>
          <w:szCs w:val="24"/>
        </w:rPr>
      </w:pPr>
    </w:p>
    <w:p w14:paraId="786D788F">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F0B1E3">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本单位对上述声明的真实性负责。如有虚假，将依法承担相应责任。 </w:t>
      </w:r>
    </w:p>
    <w:p w14:paraId="74951BE0">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p>
    <w:p w14:paraId="11FC52F9">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1F723885">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4C797413">
      <w:pPr>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br w:type="page"/>
      </w:r>
    </w:p>
    <w:p w14:paraId="40F33FB2">
      <w:pPr>
        <w:pStyle w:val="4"/>
        <w:numPr>
          <w:ilvl w:val="0"/>
          <w:numId w:val="3"/>
        </w:numPr>
        <w:bidi w:val="0"/>
        <w:ind w:leftChars="200"/>
        <w:rPr>
          <w:rFonts w:hint="eastAsia" w:ascii="仿宋" w:hAnsi="仿宋" w:eastAsia="仿宋" w:cs="仿宋"/>
          <w:color w:val="auto"/>
          <w:sz w:val="36"/>
          <w:szCs w:val="48"/>
          <w:lang w:val="en-US" w:eastAsia="zh-CN"/>
        </w:rPr>
      </w:pPr>
      <w:bookmarkStart w:id="241" w:name="_Toc14875"/>
      <w:bookmarkStart w:id="242" w:name="_Toc17248"/>
      <w:r>
        <w:rPr>
          <w:rFonts w:hint="eastAsia" w:ascii="仿宋" w:hAnsi="仿宋" w:eastAsia="仿宋" w:cs="仿宋"/>
          <w:color w:val="auto"/>
          <w:sz w:val="36"/>
          <w:szCs w:val="48"/>
          <w:lang w:val="en-US" w:eastAsia="zh-CN"/>
        </w:rPr>
        <w:t xml:space="preserve"> 采购需求</w:t>
      </w:r>
      <w:bookmarkEnd w:id="241"/>
      <w:bookmarkEnd w:id="242"/>
    </w:p>
    <w:p w14:paraId="29064E10">
      <w:pPr>
        <w:bidi w:val="0"/>
        <w:rPr>
          <w:rFonts w:hint="default" w:ascii="仿宋" w:hAnsi="仿宋" w:eastAsia="仿宋" w:cs="仿宋"/>
          <w:lang w:val="en-US" w:eastAsia="zh-CN"/>
        </w:rPr>
      </w:pPr>
      <w:r>
        <w:rPr>
          <w:rFonts w:hint="eastAsia" w:ascii="仿宋" w:hAnsi="仿宋" w:eastAsia="仿宋" w:cs="仿宋"/>
          <w:lang w:val="en-US" w:eastAsia="zh-CN"/>
        </w:rPr>
        <w:t>自治区自然资源厅下发的《关于开展加强和规范国有农用地管理专项工作的通知》按照新疆维吾尔自治区自然资源厅、昌吉回族自治州自然资源局及昌吉市人民政府相关工作安排，为摸清昌吉市国有农用地(耕地、园地)底数，全面梳理摸排发现的国有农用地相关问题，逐一建立台帐，依法依规、分类施策、稳妥有序解决，建立昌吉市国有农用地数据库。</w:t>
      </w:r>
    </w:p>
    <w:sectPr>
      <w:headerReference r:id="rId10" w:type="default"/>
      <w:footerReference r:id="rId11" w:type="default"/>
      <w:pgSz w:w="11911" w:h="16838"/>
      <w:pgMar w:top="1417" w:right="1417" w:bottom="1134" w:left="1417" w:header="0" w:footer="998"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5C3D">
    <w:pPr>
      <w:pStyle w:val="10"/>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B927">
    <w:pPr>
      <w:pStyle w:val="10"/>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BE6B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3BE6B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24DD">
    <w:pPr>
      <w:spacing w:before="1" w:line="181" w:lineRule="auto"/>
      <w:jc w:val="right"/>
      <w:rPr>
        <w:rFonts w:hint="eastAsia" w:eastAsia="宋体"/>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22EB1">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B22EB1">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40E1">
    <w:pPr>
      <w:pStyle w:val="10"/>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A12A">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59A12A">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6EFC">
    <w:pPr>
      <w:pStyle w:val="16"/>
      <w:spacing w:before="91" w:after="9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60775">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B60775">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2C33">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2C55">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AF6D"/>
    <w:multiLevelType w:val="singleLevel"/>
    <w:tmpl w:val="E8EFAF6D"/>
    <w:lvl w:ilvl="0" w:tentative="0">
      <w:start w:val="10"/>
      <w:numFmt w:val="chineseCounting"/>
      <w:suff w:val="nothing"/>
      <w:lvlText w:val="%1、"/>
      <w:lvlJc w:val="left"/>
      <w:rPr>
        <w:rFonts w:hint="eastAsia"/>
      </w:rPr>
    </w:lvl>
  </w:abstractNum>
  <w:abstractNum w:abstractNumId="1">
    <w:nsid w:val="FD39A85F"/>
    <w:multiLevelType w:val="singleLevel"/>
    <w:tmpl w:val="FD39A85F"/>
    <w:lvl w:ilvl="0" w:tentative="0">
      <w:start w:val="6"/>
      <w:numFmt w:val="chineseCounting"/>
      <w:suff w:val="space"/>
      <w:lvlText w:val="第%1章"/>
      <w:lvlJc w:val="left"/>
      <w:rPr>
        <w:rFonts w:hint="eastAsia"/>
      </w:rPr>
    </w:lvl>
  </w:abstractNum>
  <w:abstractNum w:abstractNumId="2">
    <w:nsid w:val="6E1124C2"/>
    <w:multiLevelType w:val="singleLevel"/>
    <w:tmpl w:val="6E1124C2"/>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2ZGIyN2FiMTVkMDdhOWUyYjQzMzExZGY3ZGJiZjgifQ=="/>
  </w:docVars>
  <w:rsids>
    <w:rsidRoot w:val="00172A27"/>
    <w:rsid w:val="00006FB3"/>
    <w:rsid w:val="000224BF"/>
    <w:rsid w:val="00026434"/>
    <w:rsid w:val="00040667"/>
    <w:rsid w:val="000414FC"/>
    <w:rsid w:val="00047E22"/>
    <w:rsid w:val="000C6F3E"/>
    <w:rsid w:val="000E2DBB"/>
    <w:rsid w:val="000F3D58"/>
    <w:rsid w:val="00101688"/>
    <w:rsid w:val="00112105"/>
    <w:rsid w:val="00131591"/>
    <w:rsid w:val="001A3719"/>
    <w:rsid w:val="0023539C"/>
    <w:rsid w:val="002373A9"/>
    <w:rsid w:val="00252A60"/>
    <w:rsid w:val="002572F4"/>
    <w:rsid w:val="002A2CC2"/>
    <w:rsid w:val="002C512B"/>
    <w:rsid w:val="002C63E9"/>
    <w:rsid w:val="00315974"/>
    <w:rsid w:val="00317B71"/>
    <w:rsid w:val="003548BC"/>
    <w:rsid w:val="00362DB5"/>
    <w:rsid w:val="00397C1B"/>
    <w:rsid w:val="003B1AF8"/>
    <w:rsid w:val="003F008B"/>
    <w:rsid w:val="004516C2"/>
    <w:rsid w:val="005127E5"/>
    <w:rsid w:val="0052058E"/>
    <w:rsid w:val="005207E4"/>
    <w:rsid w:val="00527BF5"/>
    <w:rsid w:val="00567906"/>
    <w:rsid w:val="00583FE8"/>
    <w:rsid w:val="005923B3"/>
    <w:rsid w:val="005A1AA8"/>
    <w:rsid w:val="005A3BE3"/>
    <w:rsid w:val="005C7490"/>
    <w:rsid w:val="005D6E61"/>
    <w:rsid w:val="005E61DB"/>
    <w:rsid w:val="0062065D"/>
    <w:rsid w:val="0062481E"/>
    <w:rsid w:val="006328E9"/>
    <w:rsid w:val="00633E63"/>
    <w:rsid w:val="00657868"/>
    <w:rsid w:val="00657F3E"/>
    <w:rsid w:val="006703B5"/>
    <w:rsid w:val="00691A83"/>
    <w:rsid w:val="006A46FC"/>
    <w:rsid w:val="006D13ED"/>
    <w:rsid w:val="006D2FA4"/>
    <w:rsid w:val="006E494C"/>
    <w:rsid w:val="00723722"/>
    <w:rsid w:val="00744D82"/>
    <w:rsid w:val="00754520"/>
    <w:rsid w:val="00775B4F"/>
    <w:rsid w:val="00795288"/>
    <w:rsid w:val="007965AB"/>
    <w:rsid w:val="00815E31"/>
    <w:rsid w:val="008460A6"/>
    <w:rsid w:val="008474B5"/>
    <w:rsid w:val="008628A5"/>
    <w:rsid w:val="008E5C66"/>
    <w:rsid w:val="008F7E8F"/>
    <w:rsid w:val="00907DB8"/>
    <w:rsid w:val="00923B0B"/>
    <w:rsid w:val="0093718F"/>
    <w:rsid w:val="00940861"/>
    <w:rsid w:val="0095378E"/>
    <w:rsid w:val="0097653C"/>
    <w:rsid w:val="009B5B07"/>
    <w:rsid w:val="009C5EEC"/>
    <w:rsid w:val="00A1741F"/>
    <w:rsid w:val="00A75521"/>
    <w:rsid w:val="00A86F04"/>
    <w:rsid w:val="00AB777E"/>
    <w:rsid w:val="00B31E92"/>
    <w:rsid w:val="00B447C8"/>
    <w:rsid w:val="00B66143"/>
    <w:rsid w:val="00B777A0"/>
    <w:rsid w:val="00BB20BF"/>
    <w:rsid w:val="00BC5583"/>
    <w:rsid w:val="00C00525"/>
    <w:rsid w:val="00C25BD2"/>
    <w:rsid w:val="00C37BA9"/>
    <w:rsid w:val="00C47256"/>
    <w:rsid w:val="00C70D41"/>
    <w:rsid w:val="00CA5106"/>
    <w:rsid w:val="00CD7BDA"/>
    <w:rsid w:val="00CE24E8"/>
    <w:rsid w:val="00D043F5"/>
    <w:rsid w:val="00D17504"/>
    <w:rsid w:val="00D30465"/>
    <w:rsid w:val="00D838EC"/>
    <w:rsid w:val="00DB0BC4"/>
    <w:rsid w:val="00DB5C40"/>
    <w:rsid w:val="00DC5A5E"/>
    <w:rsid w:val="00E179B6"/>
    <w:rsid w:val="00E272A7"/>
    <w:rsid w:val="00E44818"/>
    <w:rsid w:val="00E64A32"/>
    <w:rsid w:val="00E65A74"/>
    <w:rsid w:val="00E82800"/>
    <w:rsid w:val="00E849CA"/>
    <w:rsid w:val="00E940AA"/>
    <w:rsid w:val="00E97F2C"/>
    <w:rsid w:val="00EB35AA"/>
    <w:rsid w:val="00EF4AA5"/>
    <w:rsid w:val="00F71C58"/>
    <w:rsid w:val="00F91216"/>
    <w:rsid w:val="00FA0FB1"/>
    <w:rsid w:val="00FA1E22"/>
    <w:rsid w:val="00FB4C88"/>
    <w:rsid w:val="00FD0A77"/>
    <w:rsid w:val="00FE1FFD"/>
    <w:rsid w:val="00FF732A"/>
    <w:rsid w:val="01073190"/>
    <w:rsid w:val="01292339"/>
    <w:rsid w:val="019C5710"/>
    <w:rsid w:val="021210FC"/>
    <w:rsid w:val="024645A0"/>
    <w:rsid w:val="02C170CB"/>
    <w:rsid w:val="02C57250"/>
    <w:rsid w:val="02CA58D9"/>
    <w:rsid w:val="030E7E36"/>
    <w:rsid w:val="034C0256"/>
    <w:rsid w:val="045714B8"/>
    <w:rsid w:val="04635A71"/>
    <w:rsid w:val="054A4089"/>
    <w:rsid w:val="054A4D4F"/>
    <w:rsid w:val="05745D17"/>
    <w:rsid w:val="05860F45"/>
    <w:rsid w:val="05B93485"/>
    <w:rsid w:val="072A6919"/>
    <w:rsid w:val="075B0DF7"/>
    <w:rsid w:val="07CC4E47"/>
    <w:rsid w:val="08162F31"/>
    <w:rsid w:val="08202026"/>
    <w:rsid w:val="0822558E"/>
    <w:rsid w:val="0892025E"/>
    <w:rsid w:val="0952428F"/>
    <w:rsid w:val="09536E6E"/>
    <w:rsid w:val="099F7FEA"/>
    <w:rsid w:val="09B334AD"/>
    <w:rsid w:val="09B871BE"/>
    <w:rsid w:val="09E35EA0"/>
    <w:rsid w:val="0A2128CD"/>
    <w:rsid w:val="0A7B5B6C"/>
    <w:rsid w:val="0AB43F3D"/>
    <w:rsid w:val="0ADC3C8C"/>
    <w:rsid w:val="0B244FBB"/>
    <w:rsid w:val="0B350656"/>
    <w:rsid w:val="0B470B80"/>
    <w:rsid w:val="0B7A60BD"/>
    <w:rsid w:val="0B964000"/>
    <w:rsid w:val="0BCD67F5"/>
    <w:rsid w:val="0BFA2726"/>
    <w:rsid w:val="0C5B302D"/>
    <w:rsid w:val="0C5F58B4"/>
    <w:rsid w:val="0C874949"/>
    <w:rsid w:val="0C8E0D6F"/>
    <w:rsid w:val="0C9C64B3"/>
    <w:rsid w:val="0CCB2A57"/>
    <w:rsid w:val="0D1A3929"/>
    <w:rsid w:val="0D2A1C21"/>
    <w:rsid w:val="0DAF74EC"/>
    <w:rsid w:val="0DC76A25"/>
    <w:rsid w:val="0DFB4E74"/>
    <w:rsid w:val="0DFF107D"/>
    <w:rsid w:val="0E327669"/>
    <w:rsid w:val="0E9C44F8"/>
    <w:rsid w:val="0F234C69"/>
    <w:rsid w:val="0F993FF3"/>
    <w:rsid w:val="0FBC49E5"/>
    <w:rsid w:val="0FE50629"/>
    <w:rsid w:val="10011197"/>
    <w:rsid w:val="101B36BE"/>
    <w:rsid w:val="10200EB3"/>
    <w:rsid w:val="10C3128A"/>
    <w:rsid w:val="11222550"/>
    <w:rsid w:val="11710238"/>
    <w:rsid w:val="11974729"/>
    <w:rsid w:val="12062D4C"/>
    <w:rsid w:val="12806698"/>
    <w:rsid w:val="13086650"/>
    <w:rsid w:val="130E05C1"/>
    <w:rsid w:val="13757C95"/>
    <w:rsid w:val="139A04F1"/>
    <w:rsid w:val="13A56DBC"/>
    <w:rsid w:val="13A94A92"/>
    <w:rsid w:val="142E6ED4"/>
    <w:rsid w:val="14A865B3"/>
    <w:rsid w:val="14C53E6C"/>
    <w:rsid w:val="150C58E2"/>
    <w:rsid w:val="15B57075"/>
    <w:rsid w:val="1624461B"/>
    <w:rsid w:val="16244ADC"/>
    <w:rsid w:val="16262E37"/>
    <w:rsid w:val="16603C09"/>
    <w:rsid w:val="169F29F1"/>
    <w:rsid w:val="174E5EA4"/>
    <w:rsid w:val="177B2FA5"/>
    <w:rsid w:val="17CA55E9"/>
    <w:rsid w:val="18C55CA7"/>
    <w:rsid w:val="193C62BB"/>
    <w:rsid w:val="1942093C"/>
    <w:rsid w:val="195D74F1"/>
    <w:rsid w:val="1A3A31F8"/>
    <w:rsid w:val="1AFC46EF"/>
    <w:rsid w:val="1B85512B"/>
    <w:rsid w:val="1C1572C2"/>
    <w:rsid w:val="1C3C330C"/>
    <w:rsid w:val="1D021087"/>
    <w:rsid w:val="1DC2139C"/>
    <w:rsid w:val="1E340824"/>
    <w:rsid w:val="1E4236EC"/>
    <w:rsid w:val="1E4726AC"/>
    <w:rsid w:val="1E736F56"/>
    <w:rsid w:val="1E754E68"/>
    <w:rsid w:val="1F072A00"/>
    <w:rsid w:val="1F090849"/>
    <w:rsid w:val="1F3C650D"/>
    <w:rsid w:val="20090A55"/>
    <w:rsid w:val="20D768DB"/>
    <w:rsid w:val="212209C3"/>
    <w:rsid w:val="21483EAE"/>
    <w:rsid w:val="21AB6618"/>
    <w:rsid w:val="22132D01"/>
    <w:rsid w:val="22143DCB"/>
    <w:rsid w:val="221E2427"/>
    <w:rsid w:val="224C5A1C"/>
    <w:rsid w:val="23610465"/>
    <w:rsid w:val="2407416D"/>
    <w:rsid w:val="2437543E"/>
    <w:rsid w:val="24564030"/>
    <w:rsid w:val="248402C8"/>
    <w:rsid w:val="24A96CB7"/>
    <w:rsid w:val="24D36AD7"/>
    <w:rsid w:val="268E666D"/>
    <w:rsid w:val="26B71B19"/>
    <w:rsid w:val="26BF7767"/>
    <w:rsid w:val="26D3098E"/>
    <w:rsid w:val="26D70E7F"/>
    <w:rsid w:val="26E277AE"/>
    <w:rsid w:val="276F276F"/>
    <w:rsid w:val="27903ECB"/>
    <w:rsid w:val="285A61DD"/>
    <w:rsid w:val="28657C45"/>
    <w:rsid w:val="288F3368"/>
    <w:rsid w:val="28967EE0"/>
    <w:rsid w:val="29410EDE"/>
    <w:rsid w:val="29932309"/>
    <w:rsid w:val="2A0F212C"/>
    <w:rsid w:val="2A12178A"/>
    <w:rsid w:val="2A264135"/>
    <w:rsid w:val="2A482032"/>
    <w:rsid w:val="2AAC37B9"/>
    <w:rsid w:val="2B145B37"/>
    <w:rsid w:val="2B247F26"/>
    <w:rsid w:val="2B6915DE"/>
    <w:rsid w:val="2BB85EF2"/>
    <w:rsid w:val="2BEE55D3"/>
    <w:rsid w:val="2C1B76F4"/>
    <w:rsid w:val="2C1C43A1"/>
    <w:rsid w:val="2C526479"/>
    <w:rsid w:val="2C5D0261"/>
    <w:rsid w:val="2C8A70C1"/>
    <w:rsid w:val="2CE95F26"/>
    <w:rsid w:val="2CEB030A"/>
    <w:rsid w:val="2D392A66"/>
    <w:rsid w:val="2D4877A3"/>
    <w:rsid w:val="2D8C344F"/>
    <w:rsid w:val="2D9C784B"/>
    <w:rsid w:val="2DA84860"/>
    <w:rsid w:val="2DE37F3B"/>
    <w:rsid w:val="2E7A7D0C"/>
    <w:rsid w:val="2EF53AD4"/>
    <w:rsid w:val="2FCE474C"/>
    <w:rsid w:val="3144298A"/>
    <w:rsid w:val="32911E14"/>
    <w:rsid w:val="32C36F1F"/>
    <w:rsid w:val="331C26E2"/>
    <w:rsid w:val="332B78A7"/>
    <w:rsid w:val="33551FF4"/>
    <w:rsid w:val="33681CC6"/>
    <w:rsid w:val="339668E2"/>
    <w:rsid w:val="33C305D9"/>
    <w:rsid w:val="34145BD4"/>
    <w:rsid w:val="349B2343"/>
    <w:rsid w:val="34CE5329"/>
    <w:rsid w:val="34DC61A9"/>
    <w:rsid w:val="35C92B32"/>
    <w:rsid w:val="361147D5"/>
    <w:rsid w:val="36237179"/>
    <w:rsid w:val="36391E56"/>
    <w:rsid w:val="363F162B"/>
    <w:rsid w:val="369B6AB8"/>
    <w:rsid w:val="369E1E16"/>
    <w:rsid w:val="36BC7B03"/>
    <w:rsid w:val="36D0237E"/>
    <w:rsid w:val="373D7534"/>
    <w:rsid w:val="377B14D5"/>
    <w:rsid w:val="38C81FE1"/>
    <w:rsid w:val="38DA1AC5"/>
    <w:rsid w:val="38FD1451"/>
    <w:rsid w:val="39894F37"/>
    <w:rsid w:val="39AE267B"/>
    <w:rsid w:val="39D05A50"/>
    <w:rsid w:val="3A0A32A1"/>
    <w:rsid w:val="3A28377B"/>
    <w:rsid w:val="3A851BD3"/>
    <w:rsid w:val="3AAA6E5A"/>
    <w:rsid w:val="3B1A193C"/>
    <w:rsid w:val="3C683B38"/>
    <w:rsid w:val="3D2E5A8C"/>
    <w:rsid w:val="3D40588B"/>
    <w:rsid w:val="3D4E5CD2"/>
    <w:rsid w:val="3D537361"/>
    <w:rsid w:val="3D795E50"/>
    <w:rsid w:val="3E2510DE"/>
    <w:rsid w:val="3E6831C8"/>
    <w:rsid w:val="3E8B772C"/>
    <w:rsid w:val="3F5D2510"/>
    <w:rsid w:val="3F7143EE"/>
    <w:rsid w:val="3FC504C6"/>
    <w:rsid w:val="3FCB7112"/>
    <w:rsid w:val="400F0C83"/>
    <w:rsid w:val="40755D81"/>
    <w:rsid w:val="407833B9"/>
    <w:rsid w:val="40942C72"/>
    <w:rsid w:val="409D1876"/>
    <w:rsid w:val="40E4642E"/>
    <w:rsid w:val="410E7EA5"/>
    <w:rsid w:val="419B32B6"/>
    <w:rsid w:val="41A171F5"/>
    <w:rsid w:val="41CB7A1F"/>
    <w:rsid w:val="41F265E3"/>
    <w:rsid w:val="429E3FA1"/>
    <w:rsid w:val="435A3FEF"/>
    <w:rsid w:val="437F092D"/>
    <w:rsid w:val="439108A0"/>
    <w:rsid w:val="444B54AC"/>
    <w:rsid w:val="45356E34"/>
    <w:rsid w:val="457B5892"/>
    <w:rsid w:val="45810C0E"/>
    <w:rsid w:val="459F511B"/>
    <w:rsid w:val="46AA7D6D"/>
    <w:rsid w:val="46BE4385"/>
    <w:rsid w:val="46C357CA"/>
    <w:rsid w:val="46D06E48"/>
    <w:rsid w:val="47336544"/>
    <w:rsid w:val="47663175"/>
    <w:rsid w:val="478B5BE9"/>
    <w:rsid w:val="48865145"/>
    <w:rsid w:val="497B1D64"/>
    <w:rsid w:val="4A262554"/>
    <w:rsid w:val="4A7651A3"/>
    <w:rsid w:val="4AB16AA5"/>
    <w:rsid w:val="4B1728B2"/>
    <w:rsid w:val="4B1B32D9"/>
    <w:rsid w:val="4B7F49FA"/>
    <w:rsid w:val="4B8C65A9"/>
    <w:rsid w:val="4BB24043"/>
    <w:rsid w:val="4C442333"/>
    <w:rsid w:val="4C7C0B76"/>
    <w:rsid w:val="4CC629D5"/>
    <w:rsid w:val="4CC84748"/>
    <w:rsid w:val="4D0833D5"/>
    <w:rsid w:val="4D6854C6"/>
    <w:rsid w:val="4E1B141E"/>
    <w:rsid w:val="4E644BA3"/>
    <w:rsid w:val="4E8E6F20"/>
    <w:rsid w:val="4EC36637"/>
    <w:rsid w:val="4EC62359"/>
    <w:rsid w:val="4EDA1E5E"/>
    <w:rsid w:val="4F027E1C"/>
    <w:rsid w:val="4F252DDD"/>
    <w:rsid w:val="4FA54022"/>
    <w:rsid w:val="4FBB428E"/>
    <w:rsid w:val="500604F8"/>
    <w:rsid w:val="50167C11"/>
    <w:rsid w:val="502A6D89"/>
    <w:rsid w:val="504944BD"/>
    <w:rsid w:val="509F1CDE"/>
    <w:rsid w:val="51415469"/>
    <w:rsid w:val="517C1952"/>
    <w:rsid w:val="51B33374"/>
    <w:rsid w:val="530744A9"/>
    <w:rsid w:val="530C5C3B"/>
    <w:rsid w:val="532B7911"/>
    <w:rsid w:val="53394775"/>
    <w:rsid w:val="538452A3"/>
    <w:rsid w:val="538E31FF"/>
    <w:rsid w:val="54711256"/>
    <w:rsid w:val="548360EA"/>
    <w:rsid w:val="54A554CE"/>
    <w:rsid w:val="54F26474"/>
    <w:rsid w:val="55225FE1"/>
    <w:rsid w:val="55596CAE"/>
    <w:rsid w:val="55955727"/>
    <w:rsid w:val="563C1E65"/>
    <w:rsid w:val="56404CD3"/>
    <w:rsid w:val="56836F07"/>
    <w:rsid w:val="56BF4844"/>
    <w:rsid w:val="56EB7613"/>
    <w:rsid w:val="572B77EA"/>
    <w:rsid w:val="57323C10"/>
    <w:rsid w:val="573A7C63"/>
    <w:rsid w:val="58300179"/>
    <w:rsid w:val="58360ED0"/>
    <w:rsid w:val="58653DF8"/>
    <w:rsid w:val="5877348B"/>
    <w:rsid w:val="5882779A"/>
    <w:rsid w:val="58C25566"/>
    <w:rsid w:val="5A183665"/>
    <w:rsid w:val="5B3A01FD"/>
    <w:rsid w:val="5B976287"/>
    <w:rsid w:val="5BAA61CB"/>
    <w:rsid w:val="5C070989"/>
    <w:rsid w:val="5C091669"/>
    <w:rsid w:val="5C9116E4"/>
    <w:rsid w:val="5CB44580"/>
    <w:rsid w:val="5CF3633D"/>
    <w:rsid w:val="5D8F5786"/>
    <w:rsid w:val="5D9F0832"/>
    <w:rsid w:val="5DF25CC5"/>
    <w:rsid w:val="5E130BCA"/>
    <w:rsid w:val="5E251483"/>
    <w:rsid w:val="5E446A94"/>
    <w:rsid w:val="5E6B14D4"/>
    <w:rsid w:val="5EF60E2D"/>
    <w:rsid w:val="5F667F51"/>
    <w:rsid w:val="5F6F43EE"/>
    <w:rsid w:val="60040F32"/>
    <w:rsid w:val="600B38B6"/>
    <w:rsid w:val="60204982"/>
    <w:rsid w:val="60546986"/>
    <w:rsid w:val="60604CAE"/>
    <w:rsid w:val="60EA2816"/>
    <w:rsid w:val="61190304"/>
    <w:rsid w:val="616D55C9"/>
    <w:rsid w:val="61E26339"/>
    <w:rsid w:val="623F40CD"/>
    <w:rsid w:val="624B793D"/>
    <w:rsid w:val="633003F6"/>
    <w:rsid w:val="63307DCE"/>
    <w:rsid w:val="6334781D"/>
    <w:rsid w:val="633A64B1"/>
    <w:rsid w:val="637476D0"/>
    <w:rsid w:val="63A853ED"/>
    <w:rsid w:val="63B41573"/>
    <w:rsid w:val="63B97A74"/>
    <w:rsid w:val="63FC1C68"/>
    <w:rsid w:val="64412D3D"/>
    <w:rsid w:val="64AF2911"/>
    <w:rsid w:val="64FF63B8"/>
    <w:rsid w:val="650C46F8"/>
    <w:rsid w:val="65281415"/>
    <w:rsid w:val="6543553F"/>
    <w:rsid w:val="657A5E9F"/>
    <w:rsid w:val="658E5DFA"/>
    <w:rsid w:val="66B675AE"/>
    <w:rsid w:val="66BB225B"/>
    <w:rsid w:val="673A1E91"/>
    <w:rsid w:val="673F46F0"/>
    <w:rsid w:val="677C63BC"/>
    <w:rsid w:val="6854771B"/>
    <w:rsid w:val="68CE48AF"/>
    <w:rsid w:val="69160DAB"/>
    <w:rsid w:val="69436120"/>
    <w:rsid w:val="69570E78"/>
    <w:rsid w:val="69603BCB"/>
    <w:rsid w:val="6ACF42F2"/>
    <w:rsid w:val="6AFE265C"/>
    <w:rsid w:val="6C192524"/>
    <w:rsid w:val="6C484C17"/>
    <w:rsid w:val="6C6352EC"/>
    <w:rsid w:val="6D851134"/>
    <w:rsid w:val="6D9E171F"/>
    <w:rsid w:val="6DBB0873"/>
    <w:rsid w:val="6DBB5AEE"/>
    <w:rsid w:val="6DFE254B"/>
    <w:rsid w:val="6EB505AF"/>
    <w:rsid w:val="6F764579"/>
    <w:rsid w:val="709A4BF5"/>
    <w:rsid w:val="70BA5B2F"/>
    <w:rsid w:val="71144DB0"/>
    <w:rsid w:val="713F78B0"/>
    <w:rsid w:val="714C7866"/>
    <w:rsid w:val="715C410F"/>
    <w:rsid w:val="7338754A"/>
    <w:rsid w:val="736336FA"/>
    <w:rsid w:val="73667F84"/>
    <w:rsid w:val="736A401D"/>
    <w:rsid w:val="73F90F3E"/>
    <w:rsid w:val="7402228E"/>
    <w:rsid w:val="74122000"/>
    <w:rsid w:val="743C7F0A"/>
    <w:rsid w:val="748A15FF"/>
    <w:rsid w:val="74EF4115"/>
    <w:rsid w:val="753660EF"/>
    <w:rsid w:val="75564194"/>
    <w:rsid w:val="757D2A54"/>
    <w:rsid w:val="75B76D76"/>
    <w:rsid w:val="75C07E51"/>
    <w:rsid w:val="76C80F2C"/>
    <w:rsid w:val="76D86DD7"/>
    <w:rsid w:val="76E05B3B"/>
    <w:rsid w:val="780F5A5C"/>
    <w:rsid w:val="78171FDB"/>
    <w:rsid w:val="78487737"/>
    <w:rsid w:val="78B05F90"/>
    <w:rsid w:val="79036A8D"/>
    <w:rsid w:val="792133F6"/>
    <w:rsid w:val="79FA7E0F"/>
    <w:rsid w:val="7A6F3A8C"/>
    <w:rsid w:val="7A7E4330"/>
    <w:rsid w:val="7AA243FD"/>
    <w:rsid w:val="7B583DCC"/>
    <w:rsid w:val="7B9B0A91"/>
    <w:rsid w:val="7BB410B5"/>
    <w:rsid w:val="7C417174"/>
    <w:rsid w:val="7C4C1E24"/>
    <w:rsid w:val="7C5238E1"/>
    <w:rsid w:val="7CB46098"/>
    <w:rsid w:val="7CEA6E2A"/>
    <w:rsid w:val="7D3702E5"/>
    <w:rsid w:val="7D5A4173"/>
    <w:rsid w:val="7E633B84"/>
    <w:rsid w:val="7F0E43F3"/>
    <w:rsid w:val="7F96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560" w:firstLineChars="200"/>
      <w:jc w:val="both"/>
    </w:pPr>
    <w:rPr>
      <w:rFonts w:ascii="宋体" w:hAnsi="宋体" w:eastAsia="宋体" w:cs="Times New Roman"/>
      <w:sz w:val="24"/>
      <w:lang w:val="en-US" w:eastAsia="zh-CN" w:bidi="ar-SA"/>
    </w:rPr>
  </w:style>
  <w:style w:type="paragraph" w:styleId="4">
    <w:name w:val="heading 1"/>
    <w:basedOn w:val="1"/>
    <w:next w:val="1"/>
    <w:link w:val="33"/>
    <w:autoRedefine/>
    <w:qFormat/>
    <w:uiPriority w:val="0"/>
    <w:pPr>
      <w:keepNext/>
      <w:keepLines/>
      <w:spacing w:line="480" w:lineRule="auto"/>
      <w:ind w:firstLine="0" w:firstLineChars="0"/>
      <w:jc w:val="center"/>
      <w:outlineLvl w:val="0"/>
    </w:pPr>
    <w:rPr>
      <w:rFonts w:ascii="Times New Roman"/>
      <w:b/>
      <w:bCs/>
      <w:kern w:val="44"/>
      <w:sz w:val="32"/>
      <w:szCs w:val="44"/>
    </w:rPr>
  </w:style>
  <w:style w:type="paragraph" w:styleId="5">
    <w:name w:val="heading 2"/>
    <w:basedOn w:val="1"/>
    <w:next w:val="3"/>
    <w:link w:val="45"/>
    <w:autoRedefine/>
    <w:unhideWhenUsed/>
    <w:qFormat/>
    <w:uiPriority w:val="0"/>
    <w:pPr>
      <w:keepNext/>
      <w:keepLines/>
      <w:spacing w:before="50" w:beforeLines="50" w:after="50" w:afterLines="50" w:line="380" w:lineRule="exact"/>
      <w:ind w:firstLine="0" w:firstLineChars="0"/>
      <w:outlineLvl w:val="1"/>
    </w:pPr>
    <w:rPr>
      <w:rFonts w:eastAsia="宋体" w:asciiTheme="majorAscii" w:hAnsiTheme="majorAscii" w:cstheme="majorBidi"/>
      <w:sz w:val="28"/>
      <w:szCs w:val="32"/>
    </w:rPr>
  </w:style>
  <w:style w:type="paragraph" w:styleId="6">
    <w:name w:val="heading 3"/>
    <w:basedOn w:val="1"/>
    <w:next w:val="1"/>
    <w:link w:val="35"/>
    <w:autoRedefine/>
    <w:qFormat/>
    <w:uiPriority w:val="0"/>
    <w:pPr>
      <w:keepNext/>
      <w:keepLines/>
      <w:spacing w:before="20" w:beforeLines="0" w:after="20" w:afterLines="0" w:line="360" w:lineRule="auto"/>
      <w:ind w:firstLine="883" w:firstLineChars="200"/>
      <w:outlineLvl w:val="2"/>
    </w:pPr>
    <w:rPr>
      <w:rFonts w:ascii="Times New Roman" w:hAnsi="Times New Roman" w:eastAsia="宋体"/>
      <w:b/>
      <w:bCs/>
      <w:sz w:val="28"/>
      <w:szCs w:val="32"/>
    </w:rPr>
  </w:style>
  <w:style w:type="paragraph" w:styleId="2">
    <w:name w:val="heading 4"/>
    <w:basedOn w:val="1"/>
    <w:next w:val="3"/>
    <w:link w:val="34"/>
    <w:autoRedefine/>
    <w:unhideWhenUsed/>
    <w:qFormat/>
    <w:uiPriority w:val="9"/>
    <w:pPr>
      <w:keepNext/>
      <w:keepLines/>
      <w:spacing w:before="20" w:after="20" w:line="377" w:lineRule="auto"/>
      <w:outlineLvl w:val="3"/>
    </w:pPr>
    <w:rPr>
      <w:rFonts w:eastAsia="宋体" w:asciiTheme="majorAscii" w:hAnsiTheme="majorAscii" w:cstheme="majorBidi"/>
      <w:b/>
      <w:bCs/>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44"/>
    <w:autoRedefine/>
    <w:unhideWhenUsed/>
    <w:qFormat/>
    <w:uiPriority w:val="0"/>
    <w:pPr>
      <w:ind w:firstLine="420"/>
    </w:pPr>
  </w:style>
  <w:style w:type="paragraph" w:styleId="7">
    <w:name w:val="index 5"/>
    <w:basedOn w:val="1"/>
    <w:next w:val="1"/>
    <w:autoRedefine/>
    <w:unhideWhenUsed/>
    <w:qFormat/>
    <w:uiPriority w:val="0"/>
    <w:pPr>
      <w:ind w:left="1680"/>
    </w:pPr>
  </w:style>
  <w:style w:type="paragraph" w:styleId="8">
    <w:name w:val="toa heading"/>
    <w:basedOn w:val="1"/>
    <w:next w:val="1"/>
    <w:autoRedefine/>
    <w:semiHidden/>
    <w:qFormat/>
    <w:uiPriority w:val="0"/>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w:basedOn w:val="1"/>
    <w:next w:val="11"/>
    <w:link w:val="51"/>
    <w:autoRedefine/>
    <w:semiHidden/>
    <w:unhideWhenUsed/>
    <w:qFormat/>
    <w:uiPriority w:val="99"/>
    <w:pPr>
      <w:spacing w:after="120"/>
    </w:pPr>
  </w:style>
  <w:style w:type="paragraph" w:styleId="11">
    <w:name w:val="toc 4"/>
    <w:basedOn w:val="1"/>
    <w:next w:val="1"/>
    <w:autoRedefine/>
    <w:qFormat/>
    <w:uiPriority w:val="39"/>
    <w:pPr>
      <w:ind w:left="960"/>
      <w:jc w:val="left"/>
    </w:pPr>
    <w:rPr>
      <w:rFonts w:ascii="Calibri" w:hAnsi="Calibri"/>
      <w:sz w:val="18"/>
      <w:szCs w:val="18"/>
    </w:rPr>
  </w:style>
  <w:style w:type="paragraph" w:styleId="12">
    <w:name w:val="Body Text Indent"/>
    <w:basedOn w:val="1"/>
    <w:next w:val="2"/>
    <w:link w:val="48"/>
    <w:autoRedefine/>
    <w:qFormat/>
    <w:uiPriority w:val="0"/>
    <w:pPr>
      <w:spacing w:line="240" w:lineRule="auto"/>
      <w:ind w:firstLine="630" w:firstLineChars="0"/>
    </w:pPr>
    <w:rPr>
      <w:rFonts w:ascii="Times New Roman"/>
      <w:kern w:val="2"/>
      <w:sz w:val="32"/>
    </w:rPr>
  </w:style>
  <w:style w:type="paragraph" w:styleId="13">
    <w:name w:val="List 2"/>
    <w:basedOn w:val="1"/>
    <w:next w:val="14"/>
    <w:autoRedefine/>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4">
    <w:name w:val="Plain Text"/>
    <w:basedOn w:val="1"/>
    <w:link w:val="50"/>
    <w:autoRedefine/>
    <w:semiHidden/>
    <w:unhideWhenUsed/>
    <w:qFormat/>
    <w:uiPriority w:val="99"/>
    <w:rPr>
      <w:rFonts w:hAnsi="Courier New" w:cs="Courier New" w:asciiTheme="minorEastAsia" w:eastAsiaTheme="minorEastAsia"/>
    </w:rPr>
  </w:style>
  <w:style w:type="paragraph" w:styleId="15">
    <w:name w:val="toc 3"/>
    <w:basedOn w:val="1"/>
    <w:next w:val="1"/>
    <w:autoRedefine/>
    <w:semiHidden/>
    <w:unhideWhenUsed/>
    <w:qFormat/>
    <w:uiPriority w:val="39"/>
    <w:pPr>
      <w:ind w:left="840" w:leftChars="400"/>
    </w:pPr>
  </w:style>
  <w:style w:type="paragraph" w:styleId="16">
    <w:name w:val="footer"/>
    <w:basedOn w:val="1"/>
    <w:link w:val="43"/>
    <w:autoRedefine/>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7">
    <w:name w:val="header"/>
    <w:basedOn w:val="1"/>
    <w:next w:val="1"/>
    <w:link w:val="42"/>
    <w:autoRedefine/>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18">
    <w:name w:val="toc 1"/>
    <w:basedOn w:val="1"/>
    <w:next w:val="1"/>
    <w:autoRedefine/>
    <w:qFormat/>
    <w:uiPriority w:val="39"/>
    <w:pPr>
      <w:spacing w:beforeLines="38" w:afterLines="38" w:line="480" w:lineRule="exact"/>
      <w:ind w:firstLine="0" w:firstLineChars="0"/>
    </w:pPr>
    <w:rPr>
      <w:rFonts w:ascii="Times New Roman"/>
      <w:b/>
      <w:bCs/>
      <w:kern w:val="2"/>
      <w:sz w:val="21"/>
    </w:rPr>
  </w:style>
  <w:style w:type="paragraph" w:styleId="19">
    <w:name w:val="Subtitle"/>
    <w:basedOn w:val="1"/>
    <w:next w:val="1"/>
    <w:link w:val="64"/>
    <w:autoRedefine/>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0">
    <w:name w:val="footnote text"/>
    <w:basedOn w:val="1"/>
    <w:autoRedefine/>
    <w:qFormat/>
    <w:uiPriority w:val="0"/>
    <w:pPr>
      <w:snapToGrid w:val="0"/>
      <w:jc w:val="left"/>
    </w:pPr>
    <w:rPr>
      <w:sz w:val="18"/>
    </w:rPr>
  </w:style>
  <w:style w:type="paragraph" w:styleId="21">
    <w:name w:val="toc 2"/>
    <w:basedOn w:val="1"/>
    <w:next w:val="1"/>
    <w:autoRedefine/>
    <w:semiHidden/>
    <w:unhideWhenUsed/>
    <w:qFormat/>
    <w:uiPriority w:val="39"/>
    <w:pPr>
      <w:ind w:left="420" w:leftChars="200"/>
    </w:pPr>
  </w:style>
  <w:style w:type="paragraph" w:styleId="22">
    <w:name w:val="Normal (Web)"/>
    <w:basedOn w:val="1"/>
    <w:next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3">
    <w:name w:val="Title"/>
    <w:basedOn w:val="1"/>
    <w:next w:val="1"/>
    <w:link w:val="63"/>
    <w:autoRedefine/>
    <w:qFormat/>
    <w:uiPriority w:val="10"/>
    <w:pPr>
      <w:spacing w:before="60" w:after="60"/>
      <w:jc w:val="center"/>
      <w:outlineLvl w:val="0"/>
    </w:pPr>
    <w:rPr>
      <w:rFonts w:ascii="Cambria" w:hAnsi="Cambria" w:cs="Times New Roman"/>
      <w:b/>
      <w:bCs/>
      <w:szCs w:val="32"/>
    </w:rPr>
  </w:style>
  <w:style w:type="paragraph" w:styleId="24">
    <w:name w:val="Body Text First Indent"/>
    <w:basedOn w:val="10"/>
    <w:next w:val="1"/>
    <w:autoRedefine/>
    <w:semiHidden/>
    <w:unhideWhenUsed/>
    <w:qFormat/>
    <w:uiPriority w:val="0"/>
    <w:pPr>
      <w:spacing w:after="120"/>
      <w:ind w:firstLine="420" w:firstLineChars="100"/>
    </w:pPr>
    <w:rPr>
      <w:color w:val="auto"/>
      <w:sz w:val="21"/>
    </w:rPr>
  </w:style>
  <w:style w:type="paragraph" w:styleId="25">
    <w:name w:val="Body Text First Indent 2"/>
    <w:basedOn w:val="12"/>
    <w:next w:val="24"/>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bCs/>
    </w:rPr>
  </w:style>
  <w:style w:type="character" w:styleId="30">
    <w:name w:val="page number"/>
    <w:basedOn w:val="28"/>
    <w:autoRedefine/>
    <w:qFormat/>
    <w:uiPriority w:val="0"/>
  </w:style>
  <w:style w:type="character" w:styleId="31">
    <w:name w:val="Emphasis"/>
    <w:basedOn w:val="28"/>
    <w:autoRedefine/>
    <w:qFormat/>
    <w:uiPriority w:val="20"/>
    <w:rPr>
      <w:i/>
    </w:rPr>
  </w:style>
  <w:style w:type="character" w:styleId="32">
    <w:name w:val="Hyperlink"/>
    <w:basedOn w:val="28"/>
    <w:autoRedefine/>
    <w:unhideWhenUsed/>
    <w:qFormat/>
    <w:uiPriority w:val="99"/>
    <w:rPr>
      <w:color w:val="0563C1" w:themeColor="hyperlink"/>
      <w:u w:val="single"/>
      <w14:textFill>
        <w14:solidFill>
          <w14:schemeClr w14:val="hlink"/>
        </w14:solidFill>
      </w14:textFill>
    </w:rPr>
  </w:style>
  <w:style w:type="character" w:customStyle="1" w:styleId="33">
    <w:name w:val="标题 1 字符"/>
    <w:basedOn w:val="28"/>
    <w:link w:val="4"/>
    <w:autoRedefine/>
    <w:qFormat/>
    <w:uiPriority w:val="0"/>
    <w:rPr>
      <w:rFonts w:ascii="Times New Roman" w:hAnsi="Times New Roman" w:eastAsia="宋体" w:cs="Times New Roman"/>
      <w:b/>
      <w:bCs/>
      <w:kern w:val="44"/>
      <w:sz w:val="32"/>
      <w:szCs w:val="44"/>
    </w:rPr>
  </w:style>
  <w:style w:type="character" w:customStyle="1" w:styleId="34">
    <w:name w:val="标题 4 字符"/>
    <w:basedOn w:val="28"/>
    <w:link w:val="2"/>
    <w:autoRedefine/>
    <w:qFormat/>
    <w:uiPriority w:val="9"/>
    <w:rPr>
      <w:rFonts w:eastAsia="宋体" w:asciiTheme="majorAscii" w:hAnsiTheme="majorAscii" w:cstheme="majorBidi"/>
      <w:b/>
      <w:bCs/>
      <w:kern w:val="0"/>
      <w:sz w:val="24"/>
      <w:szCs w:val="28"/>
    </w:rPr>
  </w:style>
  <w:style w:type="character" w:customStyle="1" w:styleId="35">
    <w:name w:val="标题 3 Char"/>
    <w:link w:val="6"/>
    <w:autoRedefine/>
    <w:qFormat/>
    <w:uiPriority w:val="0"/>
    <w:rPr>
      <w:rFonts w:ascii="Times New Roman" w:hAnsi="Times New Roman" w:eastAsia="宋体"/>
      <w:b/>
      <w:bCs/>
      <w:sz w:val="28"/>
      <w:szCs w:val="32"/>
    </w:rPr>
  </w:style>
  <w:style w:type="paragraph" w:customStyle="1" w:styleId="36">
    <w:name w:val="Body Text First Indent 21"/>
    <w:basedOn w:val="37"/>
    <w:autoRedefine/>
    <w:qFormat/>
    <w:uiPriority w:val="99"/>
    <w:pPr>
      <w:ind w:firstLine="420"/>
    </w:pPr>
  </w:style>
  <w:style w:type="paragraph" w:customStyle="1" w:styleId="37">
    <w:name w:val="Body Text Indent1"/>
    <w:basedOn w:val="1"/>
    <w:autoRedefine/>
    <w:qFormat/>
    <w:uiPriority w:val="99"/>
    <w:pPr>
      <w:ind w:left="420" w:leftChars="200"/>
    </w:pPr>
    <w:rPr>
      <w:rFonts w:ascii="Times New Roman" w:hAnsi="Times New Roman"/>
    </w:rPr>
  </w:style>
  <w:style w:type="paragraph" w:customStyle="1" w:styleId="38">
    <w:name w:val="Plain Text1"/>
    <w:basedOn w:val="1"/>
    <w:autoRedefine/>
    <w:qFormat/>
    <w:uiPriority w:val="99"/>
    <w:rPr>
      <w:rFonts w:hAnsi="Courier New" w:cs="Courier New"/>
      <w:szCs w:val="21"/>
    </w:rPr>
  </w:style>
  <w:style w:type="paragraph" w:customStyle="1" w:styleId="39">
    <w:name w:val="Default"/>
    <w:autoRedefine/>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40">
    <w:name w:val="无间隔1"/>
    <w:basedOn w:val="1"/>
    <w:autoRedefine/>
    <w:qFormat/>
    <w:uiPriority w:val="1"/>
    <w:pPr>
      <w:spacing w:line="400" w:lineRule="exact"/>
    </w:pPr>
    <w:rPr>
      <w:rFonts w:eastAsia="宋体"/>
      <w:sz w:val="24"/>
    </w:rPr>
  </w:style>
  <w:style w:type="paragraph" w:customStyle="1" w:styleId="41">
    <w:name w:val="样式1"/>
    <w:basedOn w:val="8"/>
    <w:autoRedefine/>
    <w:qFormat/>
    <w:uiPriority w:val="0"/>
    <w:rPr>
      <w:rFonts w:ascii="Arial" w:hAnsi="Arial"/>
    </w:rPr>
  </w:style>
  <w:style w:type="character" w:customStyle="1" w:styleId="42">
    <w:name w:val="页眉 字符"/>
    <w:basedOn w:val="28"/>
    <w:link w:val="17"/>
    <w:autoRedefine/>
    <w:qFormat/>
    <w:uiPriority w:val="99"/>
    <w:rPr>
      <w:sz w:val="18"/>
      <w:szCs w:val="18"/>
    </w:rPr>
  </w:style>
  <w:style w:type="character" w:customStyle="1" w:styleId="43">
    <w:name w:val="页脚 字符"/>
    <w:basedOn w:val="28"/>
    <w:link w:val="16"/>
    <w:autoRedefine/>
    <w:qFormat/>
    <w:uiPriority w:val="99"/>
    <w:rPr>
      <w:sz w:val="18"/>
      <w:szCs w:val="18"/>
    </w:rPr>
  </w:style>
  <w:style w:type="character" w:customStyle="1" w:styleId="44">
    <w:name w:val="正文缩进 字符"/>
    <w:link w:val="3"/>
    <w:autoRedefine/>
    <w:qFormat/>
    <w:uiPriority w:val="0"/>
    <w:rPr>
      <w:rFonts w:ascii="宋体" w:hAnsi="Times New Roman" w:eastAsia="宋体" w:cs="Times New Roman"/>
      <w:kern w:val="0"/>
      <w:sz w:val="24"/>
      <w:szCs w:val="20"/>
    </w:rPr>
  </w:style>
  <w:style w:type="character" w:customStyle="1" w:styleId="45">
    <w:name w:val="标题 2 字符"/>
    <w:basedOn w:val="28"/>
    <w:link w:val="5"/>
    <w:autoRedefine/>
    <w:qFormat/>
    <w:uiPriority w:val="0"/>
    <w:rPr>
      <w:rFonts w:eastAsia="宋体" w:asciiTheme="majorAscii" w:hAnsiTheme="majorAscii" w:cstheme="majorBidi"/>
      <w:b/>
      <w:bCs/>
      <w:kern w:val="0"/>
      <w:sz w:val="28"/>
      <w:szCs w:val="32"/>
    </w:rPr>
  </w:style>
  <w:style w:type="character" w:customStyle="1" w:styleId="46">
    <w:name w:val="font11"/>
    <w:autoRedefine/>
    <w:qFormat/>
    <w:uiPriority w:val="0"/>
    <w:rPr>
      <w:rFonts w:hint="eastAsia" w:ascii="宋体" w:hAnsi="宋体" w:eastAsia="宋体" w:cs="宋体"/>
      <w:color w:val="000000"/>
      <w:sz w:val="21"/>
      <w:szCs w:val="21"/>
      <w:u w:val="none"/>
    </w:rPr>
  </w:style>
  <w:style w:type="character" w:customStyle="1" w:styleId="47">
    <w:name w:val="标题 1 Char"/>
    <w:autoRedefine/>
    <w:qFormat/>
    <w:uiPriority w:val="0"/>
    <w:rPr>
      <w:rFonts w:ascii="Times New Roman" w:hAnsi="Times New Roman" w:eastAsia="宋体"/>
      <w:b/>
      <w:bCs/>
      <w:kern w:val="44"/>
      <w:sz w:val="32"/>
      <w:szCs w:val="44"/>
    </w:rPr>
  </w:style>
  <w:style w:type="character" w:customStyle="1" w:styleId="48">
    <w:name w:val="正文文本缩进 字符"/>
    <w:basedOn w:val="28"/>
    <w:link w:val="12"/>
    <w:autoRedefine/>
    <w:qFormat/>
    <w:uiPriority w:val="0"/>
    <w:rPr>
      <w:rFonts w:ascii="Times New Roman" w:hAnsi="Times New Roman" w:eastAsia="宋体" w:cs="Times New Roman"/>
      <w:sz w:val="32"/>
      <w:szCs w:val="20"/>
    </w:rPr>
  </w:style>
  <w:style w:type="paragraph" w:customStyle="1" w:styleId="49">
    <w:name w:val="WPS Plain"/>
    <w:basedOn w:val="1"/>
    <w:autoRedefine/>
    <w:qFormat/>
    <w:uiPriority w:val="0"/>
    <w:pPr>
      <w:widowControl/>
      <w:spacing w:line="240" w:lineRule="auto"/>
      <w:ind w:firstLine="0" w:firstLineChars="0"/>
      <w:jc w:val="left"/>
    </w:pPr>
    <w:rPr>
      <w:rFonts w:ascii="Times New Roman"/>
      <w:kern w:val="2"/>
      <w:szCs w:val="24"/>
    </w:rPr>
  </w:style>
  <w:style w:type="character" w:customStyle="1" w:styleId="50">
    <w:name w:val="纯文本 字符"/>
    <w:basedOn w:val="28"/>
    <w:link w:val="14"/>
    <w:autoRedefine/>
    <w:semiHidden/>
    <w:qFormat/>
    <w:uiPriority w:val="99"/>
    <w:rPr>
      <w:rFonts w:hAnsi="Courier New" w:cs="Courier New" w:asciiTheme="minorEastAsia"/>
      <w:kern w:val="0"/>
      <w:sz w:val="24"/>
      <w:szCs w:val="20"/>
    </w:rPr>
  </w:style>
  <w:style w:type="character" w:customStyle="1" w:styleId="51">
    <w:name w:val="正文文本 字符"/>
    <w:basedOn w:val="28"/>
    <w:link w:val="10"/>
    <w:autoRedefine/>
    <w:semiHidden/>
    <w:qFormat/>
    <w:uiPriority w:val="99"/>
    <w:rPr>
      <w:rFonts w:ascii="宋体" w:hAnsi="Times New Roman" w:eastAsia="宋体" w:cs="Times New Roman"/>
      <w:sz w:val="24"/>
    </w:rPr>
  </w:style>
  <w:style w:type="paragraph" w:customStyle="1" w:styleId="52">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3">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54">
    <w:name w:val="_Style 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Table Paragraph"/>
    <w:basedOn w:val="1"/>
    <w:autoRedefine/>
    <w:qFormat/>
    <w:uiPriority w:val="1"/>
    <w:rPr>
      <w:rFonts w:ascii="宋体" w:hAnsi="宋体" w:eastAsia="宋体" w:cs="宋体"/>
      <w:lang w:val="zh-CN" w:eastAsia="zh-CN" w:bidi="zh-CN"/>
    </w:rPr>
  </w:style>
  <w:style w:type="paragraph" w:customStyle="1" w:styleId="57">
    <w:name w:val="Body text|1"/>
    <w:basedOn w:val="1"/>
    <w:autoRedefine/>
    <w:qFormat/>
    <w:uiPriority w:val="0"/>
    <w:pPr>
      <w:spacing w:line="408" w:lineRule="auto"/>
      <w:ind w:firstLine="400"/>
    </w:pPr>
    <w:rPr>
      <w:rFonts w:ascii="宋体" w:hAnsi="宋体" w:eastAsia="宋体" w:cs="宋体"/>
      <w:sz w:val="26"/>
      <w:szCs w:val="26"/>
      <w:lang w:val="zh-TW" w:eastAsia="zh-TW" w:bidi="zh-TW"/>
    </w:rPr>
  </w:style>
  <w:style w:type="paragraph" w:customStyle="1" w:styleId="58">
    <w:name w:val="Other|1"/>
    <w:basedOn w:val="1"/>
    <w:autoRedefine/>
    <w:qFormat/>
    <w:uiPriority w:val="0"/>
    <w:pPr>
      <w:widowControl w:val="0"/>
      <w:shd w:val="clear" w:color="auto" w:fill="auto"/>
      <w:spacing w:line="288" w:lineRule="auto"/>
      <w:ind w:firstLine="20"/>
    </w:pPr>
    <w:rPr>
      <w:rFonts w:ascii="宋体" w:hAnsi="宋体" w:eastAsia="宋体" w:cs="宋体"/>
      <w:sz w:val="20"/>
      <w:szCs w:val="20"/>
      <w:u w:val="none"/>
      <w:shd w:val="clear" w:color="auto" w:fill="auto"/>
      <w:lang w:val="zh-TW" w:eastAsia="zh-TW" w:bidi="zh-TW"/>
    </w:rPr>
  </w:style>
  <w:style w:type="paragraph" w:customStyle="1" w:styleId="59">
    <w:name w:val="zhang"/>
    <w:basedOn w:val="1"/>
    <w:autoRedefine/>
    <w:qFormat/>
    <w:uiPriority w:val="0"/>
    <w:pPr>
      <w:spacing w:before="100" w:beforeAutospacing="1" w:after="100" w:afterAutospacing="1"/>
    </w:pPr>
    <w:rPr>
      <w:b/>
      <w:bCs/>
      <w:smallCaps/>
      <w:color w:val="000000"/>
      <w:sz w:val="20"/>
      <w:szCs w:val="20"/>
    </w:rPr>
  </w:style>
  <w:style w:type="paragraph" w:customStyle="1" w:styleId="60">
    <w:name w:val="TOC 标题1"/>
    <w:basedOn w:val="4"/>
    <w:next w:val="1"/>
    <w:autoRedefine/>
    <w:qFormat/>
    <w:uiPriority w:val="0"/>
    <w:pPr>
      <w:widowControl w:val="0"/>
      <w:spacing w:line="576" w:lineRule="auto"/>
      <w:jc w:val="both"/>
      <w:outlineLvl w:val="9"/>
    </w:pPr>
    <w:rPr>
      <w:rFonts w:ascii="Calibri" w:hAnsi="Calibri"/>
    </w:rPr>
  </w:style>
  <w:style w:type="paragraph" w:customStyle="1" w:styleId="61">
    <w:name w:val="p0"/>
    <w:basedOn w:val="1"/>
    <w:autoRedefine/>
    <w:qFormat/>
    <w:uiPriority w:val="0"/>
    <w:pPr>
      <w:jc w:val="both"/>
    </w:pPr>
    <w:rPr>
      <w:rFonts w:ascii="Times New Roman" w:hAnsi="Times New Roman" w:cs="Times New Roman"/>
      <w:sz w:val="21"/>
      <w:szCs w:val="21"/>
    </w:rPr>
  </w:style>
  <w:style w:type="character" w:customStyle="1" w:styleId="62">
    <w:name w:val="15"/>
    <w:autoRedefine/>
    <w:qFormat/>
    <w:uiPriority w:val="0"/>
    <w:rPr>
      <w:rFonts w:hint="default" w:ascii="Times New Roman" w:hAnsi="Times New Roman" w:cs="Times New Roman"/>
      <w:color w:val="464445"/>
      <w:u w:val="none"/>
    </w:rPr>
  </w:style>
  <w:style w:type="character" w:customStyle="1" w:styleId="63">
    <w:name w:val="标题 Char"/>
    <w:link w:val="23"/>
    <w:autoRedefine/>
    <w:qFormat/>
    <w:uiPriority w:val="10"/>
    <w:rPr>
      <w:rFonts w:ascii="Cambria" w:hAnsi="Cambria" w:cs="Times New Roman"/>
      <w:b/>
      <w:bCs/>
      <w:szCs w:val="32"/>
    </w:rPr>
  </w:style>
  <w:style w:type="character" w:customStyle="1" w:styleId="64">
    <w:name w:val="副标题 Char"/>
    <w:link w:val="19"/>
    <w:autoRedefine/>
    <w:qFormat/>
    <w:uiPriority w:val="11"/>
    <w:rPr>
      <w:rFonts w:ascii="Calibri Light" w:hAnsi="Calibri Light" w:cs="Times New Roman"/>
      <w:b/>
      <w:bCs/>
      <w:kern w:val="28"/>
      <w:sz w:val="32"/>
      <w:szCs w:val="32"/>
    </w:rPr>
  </w:style>
  <w:style w:type="paragraph" w:customStyle="1" w:styleId="65">
    <w:name w:val="_Style 5"/>
    <w:basedOn w:val="4"/>
    <w:next w:val="1"/>
    <w:autoRedefine/>
    <w:qFormat/>
    <w:uiPriority w:val="0"/>
    <w:pPr>
      <w:widowControl w:val="0"/>
      <w:spacing w:line="576" w:lineRule="auto"/>
      <w:jc w:val="both"/>
      <w:outlineLvl w:val="9"/>
    </w:pPr>
    <w:rPr>
      <w:rFonts w:ascii="Calibri" w:hAnsi="Calibri" w:cs="Times New Roman"/>
    </w:rPr>
  </w:style>
  <w:style w:type="paragraph" w:customStyle="1" w:styleId="66">
    <w:name w:val="Heading 2"/>
    <w:basedOn w:val="1"/>
    <w:autoRedefine/>
    <w:qFormat/>
    <w:uiPriority w:val="1"/>
    <w:pPr>
      <w:jc w:val="center"/>
      <w:outlineLvl w:val="2"/>
    </w:pPr>
    <w:rPr>
      <w:b/>
      <w:bCs/>
      <w:sz w:val="30"/>
      <w:szCs w:val="30"/>
    </w:rPr>
  </w:style>
  <w:style w:type="paragraph" w:customStyle="1" w:styleId="67">
    <w:name w:val="Heading 1"/>
    <w:basedOn w:val="1"/>
    <w:autoRedefine/>
    <w:qFormat/>
    <w:uiPriority w:val="1"/>
    <w:pPr>
      <w:spacing w:line="514" w:lineRule="exact"/>
      <w:jc w:val="center"/>
      <w:outlineLvl w:val="1"/>
    </w:pPr>
    <w:rPr>
      <w:b/>
      <w:bCs/>
      <w:sz w:val="44"/>
      <w:szCs w:val="44"/>
    </w:rPr>
  </w:style>
  <w:style w:type="paragraph" w:customStyle="1" w:styleId="68">
    <w:name w:val="TOC 1"/>
    <w:basedOn w:val="1"/>
    <w:autoRedefine/>
    <w:qFormat/>
    <w:uiPriority w:val="1"/>
    <w:pPr>
      <w:spacing w:before="153"/>
      <w:ind w:left="120"/>
    </w:pPr>
    <w:rPr>
      <w:b/>
      <w:bCs/>
      <w:sz w:val="24"/>
      <w:szCs w:val="24"/>
    </w:rPr>
  </w:style>
  <w:style w:type="paragraph" w:customStyle="1" w:styleId="69">
    <w:name w:val="TOC 2"/>
    <w:basedOn w:val="1"/>
    <w:autoRedefine/>
    <w:qFormat/>
    <w:uiPriority w:val="1"/>
    <w:pPr>
      <w:spacing w:before="153"/>
      <w:ind w:left="360"/>
    </w:pPr>
    <w:rPr>
      <w:sz w:val="24"/>
      <w:szCs w:val="24"/>
    </w:rPr>
  </w:style>
  <w:style w:type="paragraph" w:customStyle="1" w:styleId="70">
    <w:name w:val="TOC 3"/>
    <w:basedOn w:val="1"/>
    <w:autoRedefine/>
    <w:qFormat/>
    <w:uiPriority w:val="1"/>
    <w:pPr>
      <w:spacing w:before="151"/>
      <w:ind w:left="1020" w:hanging="420"/>
    </w:pPr>
    <w:rPr>
      <w:sz w:val="24"/>
      <w:szCs w:val="24"/>
    </w:rPr>
  </w:style>
  <w:style w:type="paragraph" w:customStyle="1" w:styleId="71">
    <w:name w:val="TOC 4"/>
    <w:basedOn w:val="1"/>
    <w:autoRedefine/>
    <w:qFormat/>
    <w:uiPriority w:val="1"/>
    <w:pPr>
      <w:spacing w:before="151"/>
      <w:ind w:left="1020" w:hanging="420"/>
    </w:pPr>
    <w:rPr>
      <w:b/>
      <w:bCs/>
      <w:i/>
    </w:rPr>
  </w:style>
  <w:style w:type="paragraph" w:customStyle="1" w:styleId="72">
    <w:name w:val="Heading 3"/>
    <w:basedOn w:val="1"/>
    <w:autoRedefine/>
    <w:qFormat/>
    <w:uiPriority w:val="1"/>
    <w:pPr>
      <w:ind w:left="600"/>
      <w:outlineLvl w:val="3"/>
    </w:pPr>
    <w:rPr>
      <w:b/>
      <w:bCs/>
      <w:sz w:val="24"/>
      <w:szCs w:val="24"/>
    </w:rPr>
  </w:style>
  <w:style w:type="paragraph" w:styleId="73">
    <w:name w:val="List Paragraph"/>
    <w:basedOn w:val="1"/>
    <w:autoRedefine/>
    <w:qFormat/>
    <w:uiPriority w:val="1"/>
    <w:pPr>
      <w:spacing w:before="151"/>
      <w:ind w:left="1020" w:hanging="420"/>
    </w:pPr>
  </w:style>
  <w:style w:type="table" w:customStyle="1" w:styleId="74">
    <w:name w:val="Table Normal"/>
    <w:autoRedefine/>
    <w:semiHidden/>
    <w:unhideWhenUsed/>
    <w:qFormat/>
    <w:uiPriority w:val="2"/>
    <w:tblPr>
      <w:tblCellMar>
        <w:top w:w="0" w:type="dxa"/>
        <w:left w:w="0" w:type="dxa"/>
        <w:bottom w:w="0" w:type="dxa"/>
        <w:right w:w="0" w:type="dxa"/>
      </w:tblCellMar>
    </w:tblPr>
  </w:style>
  <w:style w:type="paragraph" w:customStyle="1" w:styleId="75">
    <w:name w:val="WPSOffice手动目录 1"/>
    <w:autoRedefine/>
    <w:qFormat/>
    <w:uiPriority w:val="0"/>
    <w:pPr>
      <w:ind w:leftChars="0"/>
    </w:pPr>
    <w:rPr>
      <w:rFonts w:ascii="Times New Roman" w:hAnsi="Times New Roman" w:eastAsia="宋体" w:cs="Times New Roman"/>
      <w:sz w:val="20"/>
      <w:szCs w:val="20"/>
    </w:rPr>
  </w:style>
  <w:style w:type="paragraph" w:customStyle="1" w:styleId="76">
    <w:name w:val="WPSOffice手动目录 2"/>
    <w:autoRedefine/>
    <w:qFormat/>
    <w:uiPriority w:val="0"/>
    <w:pPr>
      <w:ind w:leftChars="200"/>
    </w:pPr>
    <w:rPr>
      <w:rFonts w:ascii="Times New Roman" w:hAnsi="Times New Roman" w:eastAsia="宋体" w:cs="Times New Roman"/>
      <w:sz w:val="20"/>
      <w:szCs w:val="20"/>
    </w:rPr>
  </w:style>
  <w:style w:type="paragraph" w:customStyle="1" w:styleId="77">
    <w:name w:val="WPSOffice手动目录 3"/>
    <w:autoRedefine/>
    <w:qFormat/>
    <w:uiPriority w:val="0"/>
    <w:pPr>
      <w:ind w:leftChars="400"/>
    </w:pPr>
    <w:rPr>
      <w:rFonts w:ascii="Times New Roman" w:hAnsi="Times New Roman" w:eastAsia="宋体" w:cs="Times New Roman"/>
      <w:sz w:val="20"/>
      <w:szCs w:val="20"/>
    </w:rPr>
  </w:style>
  <w:style w:type="character" w:customStyle="1" w:styleId="78">
    <w:name w:val="font21"/>
    <w:basedOn w:val="28"/>
    <w:autoRedefine/>
    <w:qFormat/>
    <w:uiPriority w:val="0"/>
    <w:rPr>
      <w:rFonts w:hint="eastAsia" w:ascii="仿宋_GB2312" w:eastAsia="仿宋_GB2312" w:cs="仿宋_GB2312"/>
      <w:color w:val="000000"/>
      <w:sz w:val="24"/>
      <w:szCs w:val="24"/>
      <w:u w:val="none"/>
    </w:rPr>
  </w:style>
  <w:style w:type="character" w:customStyle="1" w:styleId="79">
    <w:name w:val="font31"/>
    <w:basedOn w:val="28"/>
    <w:autoRedefine/>
    <w:qFormat/>
    <w:uiPriority w:val="0"/>
    <w:rPr>
      <w:rFonts w:hint="eastAsia" w:ascii="仿宋_GB2312" w:eastAsia="仿宋_GB2312" w:cs="仿宋_GB2312"/>
      <w:color w:val="000000"/>
      <w:sz w:val="24"/>
      <w:szCs w:val="24"/>
      <w:u w:val="none"/>
      <w:vertAlign w:val="subscript"/>
    </w:rPr>
  </w:style>
  <w:style w:type="character" w:customStyle="1" w:styleId="80">
    <w:name w:val="font61"/>
    <w:basedOn w:val="28"/>
    <w:autoRedefine/>
    <w:qFormat/>
    <w:uiPriority w:val="0"/>
    <w:rPr>
      <w:rFonts w:hint="default" w:ascii="Times New Roman" w:hAnsi="Times New Roman" w:cs="Times New Roman"/>
      <w:color w:val="000000"/>
      <w:sz w:val="21"/>
      <w:szCs w:val="21"/>
      <w:u w:val="none"/>
    </w:rPr>
  </w:style>
  <w:style w:type="character" w:customStyle="1" w:styleId="81">
    <w:name w:val="font101"/>
    <w:basedOn w:val="28"/>
    <w:autoRedefine/>
    <w:qFormat/>
    <w:uiPriority w:val="0"/>
    <w:rPr>
      <w:rFonts w:hint="eastAsia" w:ascii="仿宋_GB2312" w:eastAsia="仿宋_GB2312" w:cs="仿宋_GB2312"/>
      <w:color w:val="000000"/>
      <w:sz w:val="24"/>
      <w:szCs w:val="24"/>
      <w:u w:val="none"/>
    </w:rPr>
  </w:style>
  <w:style w:type="character" w:customStyle="1" w:styleId="82">
    <w:name w:val="font121"/>
    <w:basedOn w:val="28"/>
    <w:autoRedefine/>
    <w:qFormat/>
    <w:uiPriority w:val="0"/>
    <w:rPr>
      <w:rFonts w:hint="eastAsia" w:ascii="仿宋_GB2312" w:eastAsia="仿宋_GB2312" w:cs="仿宋_GB2312"/>
      <w:color w:val="000000"/>
      <w:sz w:val="24"/>
      <w:szCs w:val="24"/>
      <w:u w:val="none"/>
      <w:vertAlign w:val="subscript"/>
    </w:rPr>
  </w:style>
  <w:style w:type="character" w:customStyle="1" w:styleId="83">
    <w:name w:val="font91"/>
    <w:basedOn w:val="28"/>
    <w:autoRedefine/>
    <w:qFormat/>
    <w:uiPriority w:val="0"/>
    <w:rPr>
      <w:rFonts w:hint="eastAsia" w:ascii="仿宋_GB2312" w:eastAsia="仿宋_GB2312" w:cs="仿宋_GB2312"/>
      <w:color w:val="000000"/>
      <w:sz w:val="24"/>
      <w:szCs w:val="24"/>
      <w:u w:val="none"/>
      <w:vertAlign w:val="superscript"/>
    </w:rPr>
  </w:style>
  <w:style w:type="character" w:customStyle="1" w:styleId="84">
    <w:name w:val="font01"/>
    <w:basedOn w:val="28"/>
    <w:autoRedefine/>
    <w:qFormat/>
    <w:uiPriority w:val="0"/>
    <w:rPr>
      <w:rFonts w:hint="eastAsia" w:ascii="仿宋_GB2312" w:eastAsia="仿宋_GB2312" w:cs="仿宋_GB2312"/>
      <w:color w:val="000000"/>
      <w:sz w:val="24"/>
      <w:szCs w:val="24"/>
      <w:u w:val="none"/>
      <w:vertAlign w:val="subscript"/>
    </w:rPr>
  </w:style>
  <w:style w:type="paragraph" w:customStyle="1" w:styleId="85">
    <w:name w:val="表格"/>
    <w:basedOn w:val="1"/>
    <w:autoRedefine/>
    <w:qFormat/>
    <w:uiPriority w:val="0"/>
    <w:pPr>
      <w:spacing w:line="240" w:lineRule="auto"/>
      <w:ind w:firstLine="0" w:firstLineChars="0"/>
      <w:jc w:val="center"/>
    </w:pPr>
    <w:rPr>
      <w:rFonts w:hint="eastAsi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14641</Words>
  <Characters>16196</Characters>
  <Lines>1</Lines>
  <Paragraphs>1</Paragraphs>
  <TotalTime>0</TotalTime>
  <ScaleCrop>false</ScaleCrop>
  <LinksUpToDate>false</LinksUpToDate>
  <CharactersWithSpaces>17224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2021-10-01T08:57:00Z</dcterms:created>
  <dc:creator>acer</dc:creator>
  <cp:lastModifiedBy>。</cp:lastModifiedBy>
  <cp:lastPrinted>2023-11-01T03:23:00Z</cp:lastPrinted>
  <dcterms:modified xsi:type="dcterms:W3CDTF">2025-06-11T11:56:34Z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2D595F142F034C078F960B8DAD23C617_13</vt:lpwstr>
  </property>
  <property fmtid="{D5CDD505-2E9C-101B-9397-08002B2CF9AE}" pid="4" name="commondata">
    <vt:lpwstr>eyJoZGlkIjoiNzE4OTI3NTZiM2UxZDUwMGY5NjFlYjI5ODg2YTc2OTQifQ==</vt:lpwstr>
  </property>
  <property fmtid="{D5CDD505-2E9C-101B-9397-08002B2CF9AE}" pid="5" name="KSOTemplateDocerSaveRecord">
    <vt:lpwstr>eyJoZGlkIjoiYTEzMGZkYjFkMzg0MzgwZTZhMGIzMzBjMTYwYTExZjEiLCJ1c2VySWQiOiIyOTc0ODg1ODcifQ==</vt:lpwstr>
  </property>
</Properties>
</file>