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D1" w:rsidRPr="00A6491B" w:rsidRDefault="00135CD1" w:rsidP="00135CD1">
      <w:pPr>
        <w:pStyle w:val="1"/>
        <w:jc w:val="center"/>
        <w:rPr>
          <w:rFonts w:ascii="仿宋" w:eastAsia="仿宋" w:hAnsi="仿宋"/>
          <w:sz w:val="36"/>
          <w:szCs w:val="36"/>
        </w:rPr>
      </w:pPr>
      <w:proofErr w:type="spellStart"/>
      <w:r w:rsidRPr="00A6491B"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  <w:proofErr w:type="spellEnd"/>
    </w:p>
    <w:p w:rsidR="00135CD1" w:rsidRPr="00A6491B" w:rsidRDefault="00135CD1" w:rsidP="00135CD1">
      <w:pPr>
        <w:spacing w:line="400" w:lineRule="exact"/>
        <w:ind w:firstLineChars="98" w:firstLine="236"/>
        <w:rPr>
          <w:rFonts w:ascii="仿宋" w:eastAsia="仿宋" w:hAnsi="仿宋"/>
          <w:b/>
          <w:bCs/>
          <w:sz w:val="24"/>
        </w:rPr>
      </w:pPr>
      <w:bookmarkStart w:id="0" w:name="_Toc217446094"/>
      <w:r w:rsidRPr="00A6491B">
        <w:rPr>
          <w:rFonts w:ascii="仿宋" w:eastAsia="仿宋" w:hAnsi="仿宋" w:hint="eastAsia"/>
          <w:b/>
          <w:bCs/>
          <w:sz w:val="24"/>
        </w:rPr>
        <w:t>前提：本章中标注“</w:t>
      </w:r>
      <w:r w:rsidRPr="00A6491B">
        <w:rPr>
          <w:rFonts w:ascii="仿宋" w:eastAsia="仿宋" w:hAnsi="仿宋"/>
          <w:b/>
          <w:bCs/>
          <w:sz w:val="24"/>
        </w:rPr>
        <w:t>*”的条款为本项目的实质性条款，投标人不满足的，将按照无效投标处理。</w:t>
      </w:r>
    </w:p>
    <w:p w:rsidR="00135CD1" w:rsidRPr="00A6491B" w:rsidRDefault="00135CD1" w:rsidP="00135CD1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proofErr w:type="spellStart"/>
      <w:r w:rsidRPr="00A6491B">
        <w:rPr>
          <w:rFonts w:ascii="仿宋" w:eastAsia="仿宋" w:hAnsi="仿宋" w:hint="eastAsia"/>
          <w:sz w:val="24"/>
          <w:szCs w:val="24"/>
        </w:rPr>
        <w:t>一、项目概述</w:t>
      </w:r>
      <w:bookmarkEnd w:id="0"/>
      <w:proofErr w:type="spellEnd"/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bCs/>
          <w:sz w:val="24"/>
        </w:rPr>
      </w:pPr>
      <w:bookmarkStart w:id="1" w:name="_Toc217446095"/>
      <w:r w:rsidRPr="00A6491B">
        <w:rPr>
          <w:rFonts w:ascii="仿宋" w:eastAsia="仿宋" w:hAnsi="仿宋" w:hint="eastAsia"/>
          <w:bCs/>
          <w:sz w:val="24"/>
        </w:rPr>
        <w:t>1、项目概况：</w:t>
      </w:r>
    </w:p>
    <w:p w:rsidR="00135CD1" w:rsidRPr="00A6491B" w:rsidRDefault="00135CD1" w:rsidP="00135CD1">
      <w:pPr>
        <w:pStyle w:val="a3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A6491B">
        <w:rPr>
          <w:rFonts w:ascii="仿宋" w:eastAsia="仿宋" w:hAnsi="仿宋" w:hint="eastAsia"/>
          <w:bCs/>
          <w:sz w:val="24"/>
        </w:rPr>
        <w:t>自然资源是发展之基、生态之要、生存之本，在保障经济平稳较快发展，促进社会和谐稳定和生态文明建设中肩负着重要使命。土地资源是自然资源的重要组成部分，大力推进土地节约集约利用，是土地管理工作落实科学发展、可持续发展和包容性发展的具体实践和重大举措。党的十九大报告中指出：“我国经济已由高速增长阶段转向高质量发展阶段”，要求向追求高质量和高效益增长的模式转变，以供给侧结构性改革为主线，以土地利用方式转变促经济发展方式转变，着力推动科学发展。以土地资源为重点开展成都市自然资源评价工作将为推动科学、合理、高效用地，以稳定、持续的土地资源供应支撑经济的平稳较快增长提供重要依据。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bCs/>
          <w:sz w:val="24"/>
        </w:rPr>
      </w:pPr>
      <w:r w:rsidRPr="00A6491B">
        <w:rPr>
          <w:rFonts w:ascii="仿宋" w:eastAsia="仿宋" w:hAnsi="仿宋" w:hint="eastAsia"/>
          <w:bCs/>
          <w:sz w:val="24"/>
        </w:rPr>
        <w:t>2、标的名称及所属行业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4407"/>
        <w:gridCol w:w="2672"/>
      </w:tblGrid>
      <w:tr w:rsidR="00135CD1" w:rsidRPr="00A6491B" w:rsidTr="00C81551">
        <w:trPr>
          <w:jc w:val="center"/>
        </w:trPr>
        <w:tc>
          <w:tcPr>
            <w:tcW w:w="1242" w:type="dxa"/>
            <w:vAlign w:val="center"/>
          </w:tcPr>
          <w:p w:rsidR="00135CD1" w:rsidRPr="00A6491B" w:rsidRDefault="00135CD1" w:rsidP="00C81551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lang w:val="en-US" w:eastAsia="zh-CN"/>
              </w:rPr>
            </w:pPr>
            <w:proofErr w:type="gramStart"/>
            <w:r w:rsidRPr="00A6491B">
              <w:rPr>
                <w:rFonts w:ascii="仿宋" w:eastAsia="仿宋" w:hAnsi="仿宋" w:hint="eastAsia"/>
                <w:bCs/>
                <w:kern w:val="2"/>
                <w:sz w:val="24"/>
                <w:lang w:val="en-US" w:eastAsia="zh-CN"/>
              </w:rPr>
              <w:t>包号</w:t>
            </w:r>
            <w:proofErr w:type="gramEnd"/>
          </w:p>
        </w:tc>
        <w:tc>
          <w:tcPr>
            <w:tcW w:w="4536" w:type="dxa"/>
            <w:vAlign w:val="center"/>
          </w:tcPr>
          <w:p w:rsidR="00135CD1" w:rsidRPr="00A6491B" w:rsidRDefault="00135CD1" w:rsidP="00C81551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lang w:val="en-US" w:eastAsia="zh-CN"/>
              </w:rPr>
            </w:pPr>
            <w:r w:rsidRPr="00A6491B">
              <w:rPr>
                <w:rFonts w:ascii="仿宋" w:eastAsia="仿宋" w:hAnsi="仿宋" w:hint="eastAsia"/>
                <w:bCs/>
                <w:kern w:val="2"/>
                <w:sz w:val="24"/>
                <w:lang w:val="en-US" w:eastAsia="zh-CN"/>
              </w:rPr>
              <w:t>标的名称</w:t>
            </w:r>
          </w:p>
        </w:tc>
        <w:tc>
          <w:tcPr>
            <w:tcW w:w="2745" w:type="dxa"/>
            <w:vAlign w:val="center"/>
          </w:tcPr>
          <w:p w:rsidR="00135CD1" w:rsidRPr="00A6491B" w:rsidRDefault="00135CD1" w:rsidP="00C81551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lang w:val="en-US" w:eastAsia="zh-CN"/>
              </w:rPr>
            </w:pPr>
            <w:r w:rsidRPr="00A6491B">
              <w:rPr>
                <w:rFonts w:ascii="仿宋" w:eastAsia="仿宋" w:hAnsi="仿宋" w:hint="eastAsia"/>
                <w:bCs/>
                <w:kern w:val="2"/>
                <w:sz w:val="24"/>
                <w:lang w:val="en-US" w:eastAsia="zh-CN"/>
              </w:rPr>
              <w:t>所属行业</w:t>
            </w:r>
          </w:p>
        </w:tc>
      </w:tr>
      <w:tr w:rsidR="00135CD1" w:rsidRPr="00A6491B" w:rsidTr="00C81551">
        <w:trPr>
          <w:jc w:val="center"/>
        </w:trPr>
        <w:tc>
          <w:tcPr>
            <w:tcW w:w="1242" w:type="dxa"/>
            <w:vAlign w:val="center"/>
          </w:tcPr>
          <w:p w:rsidR="00135CD1" w:rsidRPr="00A6491B" w:rsidRDefault="00135CD1" w:rsidP="00C81551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lang w:val="en-US" w:eastAsia="zh-CN"/>
              </w:rPr>
            </w:pPr>
            <w:r w:rsidRPr="00A6491B">
              <w:rPr>
                <w:rFonts w:ascii="仿宋" w:eastAsia="仿宋" w:hAnsi="仿宋" w:hint="eastAsia"/>
                <w:bCs/>
                <w:kern w:val="2"/>
                <w:sz w:val="24"/>
                <w:lang w:val="en-US" w:eastAsia="zh-CN"/>
              </w:rPr>
              <w:t>0</w:t>
            </w:r>
            <w:r w:rsidRPr="00A6491B">
              <w:rPr>
                <w:rFonts w:ascii="仿宋" w:eastAsia="仿宋" w:hAnsi="仿宋"/>
                <w:bCs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135CD1" w:rsidRPr="00A6491B" w:rsidRDefault="00135CD1" w:rsidP="00C81551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lang w:val="en-US" w:eastAsia="zh-CN"/>
              </w:rPr>
            </w:pPr>
            <w:r w:rsidRPr="00A6491B">
              <w:rPr>
                <w:rFonts w:ascii="仿宋" w:eastAsia="仿宋" w:hAnsi="仿宋" w:hint="eastAsia"/>
                <w:bCs/>
                <w:kern w:val="2"/>
                <w:sz w:val="24"/>
                <w:lang w:val="en-US" w:eastAsia="zh-CN"/>
              </w:rPr>
              <w:t>成都市自然资源利用评价项目</w:t>
            </w:r>
          </w:p>
        </w:tc>
        <w:tc>
          <w:tcPr>
            <w:tcW w:w="2745" w:type="dxa"/>
            <w:vAlign w:val="center"/>
          </w:tcPr>
          <w:p w:rsidR="00135CD1" w:rsidRPr="00A6491B" w:rsidRDefault="00135CD1" w:rsidP="00C81551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lang w:val="en-US" w:eastAsia="zh-CN"/>
              </w:rPr>
            </w:pPr>
            <w:r w:rsidRPr="00A6491B">
              <w:rPr>
                <w:rFonts w:ascii="仿宋" w:eastAsia="仿宋" w:hAnsi="仿宋" w:hint="eastAsia"/>
                <w:bCs/>
                <w:kern w:val="2"/>
                <w:sz w:val="24"/>
                <w:lang w:val="en-US" w:eastAsia="zh-CN"/>
              </w:rPr>
              <w:t>其他未列明行业</w:t>
            </w:r>
          </w:p>
        </w:tc>
      </w:tr>
    </w:tbl>
    <w:p w:rsidR="00135CD1" w:rsidRPr="00A6491B" w:rsidRDefault="00135CD1" w:rsidP="00135CD1">
      <w:pPr>
        <w:pStyle w:val="a3"/>
        <w:spacing w:line="400" w:lineRule="exact"/>
        <w:ind w:firstLineChars="0" w:firstLine="0"/>
        <w:rPr>
          <w:rFonts w:ascii="仿宋" w:eastAsia="仿宋" w:hAnsi="仿宋"/>
          <w:bCs/>
          <w:sz w:val="24"/>
        </w:rPr>
      </w:pPr>
    </w:p>
    <w:p w:rsidR="00135CD1" w:rsidRPr="00A6491B" w:rsidRDefault="00135CD1" w:rsidP="00135CD1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A6491B">
        <w:rPr>
          <w:rFonts w:ascii="仿宋" w:eastAsia="仿宋" w:hAnsi="仿宋" w:hint="eastAsia"/>
          <w:sz w:val="24"/>
          <w:szCs w:val="24"/>
        </w:rPr>
        <w:t>*</w:t>
      </w:r>
      <w:proofErr w:type="spellStart"/>
      <w:r w:rsidRPr="00A6491B">
        <w:rPr>
          <w:rFonts w:ascii="仿宋" w:eastAsia="仿宋" w:hAnsi="仿宋" w:hint="eastAsia"/>
          <w:sz w:val="24"/>
          <w:szCs w:val="24"/>
        </w:rPr>
        <w:t>二、商务要求</w:t>
      </w:r>
      <w:proofErr w:type="spellEnd"/>
    </w:p>
    <w:p w:rsidR="00135CD1" w:rsidRPr="00A6491B" w:rsidRDefault="00135CD1" w:rsidP="00135CD1">
      <w:pPr>
        <w:spacing w:line="360" w:lineRule="auto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1、服务期限：自合同签订之日起3年，中标供应商应于各工作年度12月31日前或采购项目部署要求的时间节点，完成并提交最终工作成果。在各工作年度各阶段中，中标供应商需落实采购人及上级部门各层级审查意见，按审查意见修改完善相关成果直至通过审查，相关费用包含在投标报价中。</w:t>
      </w:r>
    </w:p>
    <w:p w:rsidR="00135CD1" w:rsidRPr="00A6491B" w:rsidRDefault="00135CD1" w:rsidP="00135CD1">
      <w:pPr>
        <w:spacing w:line="360" w:lineRule="auto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lastRenderedPageBreak/>
        <w:t>2、服务地点：成都市规划和自然资源局。</w:t>
      </w:r>
    </w:p>
    <w:p w:rsidR="00135CD1" w:rsidRPr="00A6491B" w:rsidRDefault="00135CD1" w:rsidP="00135CD1">
      <w:pPr>
        <w:spacing w:line="360" w:lineRule="auto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3、付款方式和条件：</w:t>
      </w:r>
    </w:p>
    <w:p w:rsidR="00135CD1" w:rsidRPr="00A6491B" w:rsidRDefault="00135CD1" w:rsidP="00135CD1">
      <w:pPr>
        <w:spacing w:line="360" w:lineRule="auto"/>
        <w:rPr>
          <w:rFonts w:ascii="仿宋" w:eastAsia="仿宋" w:hAnsi="仿宋" w:hint="eastAsia"/>
          <w:sz w:val="24"/>
        </w:rPr>
      </w:pPr>
      <w:r w:rsidRPr="00A6491B">
        <w:rPr>
          <w:rFonts w:ascii="仿宋" w:eastAsia="仿宋" w:hAnsi="仿宋" w:hint="eastAsia"/>
          <w:sz w:val="24"/>
        </w:rPr>
        <w:t>合同一年</w:t>
      </w:r>
      <w:proofErr w:type="gramStart"/>
      <w:r w:rsidRPr="00A6491B">
        <w:rPr>
          <w:rFonts w:ascii="仿宋" w:eastAsia="仿宋" w:hAnsi="仿宋" w:hint="eastAsia"/>
          <w:sz w:val="24"/>
        </w:rPr>
        <w:t>一</w:t>
      </w:r>
      <w:proofErr w:type="gramEnd"/>
      <w:r w:rsidRPr="00A6491B">
        <w:rPr>
          <w:rFonts w:ascii="仿宋" w:eastAsia="仿宋" w:hAnsi="仿宋" w:hint="eastAsia"/>
          <w:sz w:val="24"/>
        </w:rPr>
        <w:t>签订。签订生效之日起10个工作日内支</w:t>
      </w:r>
      <w:proofErr w:type="gramStart"/>
      <w:r w:rsidRPr="00A6491B">
        <w:rPr>
          <w:rFonts w:ascii="仿宋" w:eastAsia="仿宋" w:hAnsi="仿宋" w:hint="eastAsia"/>
          <w:sz w:val="24"/>
        </w:rPr>
        <w:t>付本</w:t>
      </w:r>
      <w:proofErr w:type="gramEnd"/>
      <w:r w:rsidRPr="00A6491B">
        <w:rPr>
          <w:rFonts w:ascii="仿宋" w:eastAsia="仿宋" w:hAnsi="仿宋" w:hint="eastAsia"/>
          <w:sz w:val="24"/>
        </w:rPr>
        <w:t>年度合同总金额的50%，提交所有本年度</w:t>
      </w:r>
      <w:proofErr w:type="gramStart"/>
      <w:r w:rsidRPr="00A6491B">
        <w:rPr>
          <w:rFonts w:ascii="仿宋" w:eastAsia="仿宋" w:hAnsi="仿宋" w:hint="eastAsia"/>
          <w:sz w:val="24"/>
        </w:rPr>
        <w:t>正式成果</w:t>
      </w:r>
      <w:proofErr w:type="gramEnd"/>
      <w:r w:rsidRPr="00A6491B">
        <w:rPr>
          <w:rFonts w:ascii="仿宋" w:eastAsia="仿宋" w:hAnsi="仿宋" w:hint="eastAsia"/>
          <w:sz w:val="24"/>
        </w:rPr>
        <w:t>并获得采购人验收后10个工作日内支</w:t>
      </w:r>
      <w:proofErr w:type="gramStart"/>
      <w:r w:rsidRPr="00A6491B">
        <w:rPr>
          <w:rFonts w:ascii="仿宋" w:eastAsia="仿宋" w:hAnsi="仿宋" w:hint="eastAsia"/>
          <w:sz w:val="24"/>
        </w:rPr>
        <w:t>付本</w:t>
      </w:r>
      <w:proofErr w:type="gramEnd"/>
      <w:r w:rsidRPr="00A6491B">
        <w:rPr>
          <w:rFonts w:ascii="仿宋" w:eastAsia="仿宋" w:hAnsi="仿宋" w:hint="eastAsia"/>
          <w:sz w:val="24"/>
        </w:rPr>
        <w:t>年度剩余合同金额。</w:t>
      </w:r>
    </w:p>
    <w:p w:rsidR="00135CD1" w:rsidRPr="00A6491B" w:rsidRDefault="00135CD1" w:rsidP="00135CD1">
      <w:pPr>
        <w:spacing w:line="360" w:lineRule="auto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注：采购人付款前，中标人需向采购人开具等额符合财政要求的付款凭证，采购人收到上述内容的资料后10个工作日内付款，</w:t>
      </w:r>
      <w:r w:rsidRPr="00A6491B">
        <w:rPr>
          <w:rFonts w:ascii="仿宋" w:eastAsia="仿宋" w:hAnsi="仿宋" w:hint="eastAsia"/>
          <w:bCs/>
          <w:sz w:val="24"/>
        </w:rPr>
        <w:t>否则采购人付款时间顺延，且不承担延迟支付的违约责任。</w:t>
      </w:r>
      <w:r w:rsidRPr="00A6491B">
        <w:rPr>
          <w:rFonts w:ascii="仿宋" w:eastAsia="仿宋" w:hAnsi="仿宋" w:hint="eastAsia"/>
          <w:sz w:val="24"/>
        </w:rPr>
        <w:t>。</w:t>
      </w:r>
    </w:p>
    <w:p w:rsidR="00135CD1" w:rsidRPr="00A6491B" w:rsidRDefault="00135CD1" w:rsidP="00135CD1">
      <w:pPr>
        <w:spacing w:line="360" w:lineRule="auto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4、履约验收：</w:t>
      </w:r>
    </w:p>
    <w:p w:rsidR="00135CD1" w:rsidRPr="00A6491B" w:rsidRDefault="00135CD1" w:rsidP="00135CD1">
      <w:pPr>
        <w:spacing w:line="360" w:lineRule="auto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由采购人组织专业人员会同中标供应</w:t>
      </w:r>
      <w:proofErr w:type="gramStart"/>
      <w:r w:rsidRPr="00A6491B">
        <w:rPr>
          <w:rFonts w:ascii="仿宋" w:eastAsia="仿宋" w:hAnsi="仿宋" w:hint="eastAsia"/>
          <w:sz w:val="24"/>
        </w:rPr>
        <w:t>商按照</w:t>
      </w:r>
      <w:proofErr w:type="gramEnd"/>
      <w:r w:rsidRPr="00A6491B">
        <w:rPr>
          <w:rFonts w:ascii="仿宋" w:eastAsia="仿宋" w:hAnsi="仿宋" w:hint="eastAsia"/>
          <w:sz w:val="24"/>
        </w:rPr>
        <w:t>政府采购相关法律法规以及财政部《关于进一步加强政府采购需求和履约验收管理的指导意见》（财库〔2016〕205号）的要求进行验收。</w:t>
      </w:r>
    </w:p>
    <w:p w:rsidR="00135CD1" w:rsidRPr="00A6491B" w:rsidRDefault="00135CD1" w:rsidP="00135CD1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proofErr w:type="spellStart"/>
      <w:r w:rsidRPr="00A6491B">
        <w:rPr>
          <w:rFonts w:ascii="仿宋" w:eastAsia="仿宋" w:hAnsi="仿宋" w:hint="eastAsia"/>
          <w:sz w:val="24"/>
          <w:szCs w:val="24"/>
        </w:rPr>
        <w:t>三、技术</w:t>
      </w:r>
      <w:r w:rsidRPr="00A6491B">
        <w:rPr>
          <w:rFonts w:ascii="仿宋" w:eastAsia="仿宋" w:hAnsi="仿宋"/>
          <w:sz w:val="24"/>
          <w:szCs w:val="24"/>
        </w:rPr>
        <w:t>、服务要求</w:t>
      </w:r>
      <w:bookmarkEnd w:id="1"/>
      <w:proofErr w:type="spellEnd"/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b/>
          <w:bCs/>
          <w:sz w:val="24"/>
        </w:rPr>
      </w:pPr>
      <w:r w:rsidRPr="00A6491B">
        <w:rPr>
          <w:rFonts w:ascii="仿宋" w:eastAsia="仿宋" w:hAnsi="仿宋"/>
          <w:b/>
          <w:bCs/>
          <w:sz w:val="24"/>
        </w:rPr>
        <w:t>*</w:t>
      </w:r>
      <w:r w:rsidRPr="00A6491B">
        <w:rPr>
          <w:rFonts w:ascii="仿宋" w:eastAsia="仿宋" w:hAnsi="仿宋" w:hint="eastAsia"/>
          <w:b/>
          <w:bCs/>
          <w:sz w:val="24"/>
        </w:rPr>
        <w:t>1、服务的工作范围及服务内容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（1）成都市开发区“亩均论英雄”评价审核分析技术服务；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sz w:val="24"/>
        </w:rPr>
      </w:pPr>
      <w:proofErr w:type="spellStart"/>
      <w:r w:rsidRPr="00A6491B">
        <w:rPr>
          <w:rFonts w:ascii="仿宋" w:eastAsia="仿宋" w:hAnsi="仿宋" w:hint="eastAsia"/>
          <w:sz w:val="24"/>
        </w:rPr>
        <w:t>供应商需按照四川省、成都市下发年度“亩均论英雄”改革评价工作要求</w:t>
      </w:r>
      <w:proofErr w:type="spellEnd"/>
      <w:r w:rsidRPr="00A6491B">
        <w:rPr>
          <w:rFonts w:ascii="仿宋" w:eastAsia="仿宋" w:hAnsi="仿宋" w:hint="eastAsia"/>
          <w:sz w:val="24"/>
        </w:rPr>
        <w:t>、《</w:t>
      </w:r>
      <w:proofErr w:type="spellStart"/>
      <w:r w:rsidRPr="00A6491B">
        <w:rPr>
          <w:rFonts w:ascii="仿宋" w:eastAsia="仿宋" w:hAnsi="仿宋" w:hint="eastAsia"/>
          <w:sz w:val="24"/>
        </w:rPr>
        <w:t>开发区土地集约利用评价数据库标准</w:t>
      </w:r>
      <w:proofErr w:type="spellEnd"/>
      <w:r w:rsidRPr="00A6491B">
        <w:rPr>
          <w:rFonts w:ascii="仿宋" w:eastAsia="仿宋" w:hAnsi="仿宋" w:hint="eastAsia"/>
          <w:sz w:val="24"/>
        </w:rPr>
        <w:t xml:space="preserve">(2014 </w:t>
      </w:r>
      <w:proofErr w:type="spellStart"/>
      <w:r w:rsidRPr="00A6491B">
        <w:rPr>
          <w:rFonts w:ascii="仿宋" w:eastAsia="仿宋" w:hAnsi="仿宋" w:hint="eastAsia"/>
          <w:sz w:val="24"/>
        </w:rPr>
        <w:t>年度试行</w:t>
      </w:r>
      <w:proofErr w:type="spellEnd"/>
      <w:r w:rsidRPr="00A6491B">
        <w:rPr>
          <w:rFonts w:ascii="仿宋" w:eastAsia="仿宋" w:hAnsi="仿宋" w:hint="eastAsia"/>
          <w:sz w:val="24"/>
        </w:rPr>
        <w:t>)》等技术标准，开展2022-2024年度成都市“亩均论英雄”审核分析工作，并提供相关评价成果，完成相应成果分析。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（2）成都市产业功能区节约集约用地评价；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供应商按照《成都市产业功能区精细化筑基行动计划》的相关要求，基于“成都市产业功能区基础信息数据库”已有数据成果，参考《四川省"亩均论英雄"改革评价暨产业园用地情况总调查技术方案》、《开发区土地集约利用评价规程（2014年度试行）》、《开发区土地集约利用评价数据库标准（2014年度试行）》、《开发区土地集约利用评价制图规范（2014年度试行）》等技术规范，探索开展产业</w:t>
      </w:r>
      <w:r w:rsidRPr="00A6491B">
        <w:rPr>
          <w:rFonts w:ascii="仿宋" w:eastAsia="仿宋" w:hAnsi="仿宋" w:hint="eastAsia"/>
          <w:sz w:val="24"/>
        </w:rPr>
        <w:lastRenderedPageBreak/>
        <w:t>功能区节约集约用地评价，通过汇总分析产业功能区内各类土地利用状况、用地效益以及不同年度开发建设和节约集约用地的变化趋势，为优化产业功能区用地结构、推动低效用地再开发提供支持。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（3）成都市工业园区用地调查；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供应商需根据成都市下发的存量低效工业用地数据基础，通过影像判别或内外业调查等方法，核实各区（市）县上报的2022-2024年度存量低效工业用地盘活矢量数据和相关证明材料，最终形成2022-2024年度低效工业用地盘活数据和各年度存量低效工业用地数据。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b/>
          <w:bCs/>
          <w:sz w:val="24"/>
        </w:rPr>
      </w:pPr>
      <w:r w:rsidRPr="00A6491B">
        <w:rPr>
          <w:rFonts w:ascii="仿宋" w:eastAsia="仿宋" w:hAnsi="仿宋"/>
          <w:b/>
          <w:bCs/>
          <w:sz w:val="24"/>
        </w:rPr>
        <w:t>*</w:t>
      </w:r>
      <w:r w:rsidRPr="00A6491B">
        <w:rPr>
          <w:rFonts w:ascii="仿宋" w:eastAsia="仿宋" w:hAnsi="仿宋" w:hint="eastAsia"/>
          <w:b/>
          <w:bCs/>
          <w:sz w:val="24"/>
        </w:rPr>
        <w:t>2、服务的各项具体职责及要求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供应商需根据采购人要求的“服务的工作范围及服务内容”各项工作部署安排，按照相关工作要求、遵循相关工作时间节点，完成各项工作内容并提交正式成果。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b/>
          <w:bCs/>
          <w:sz w:val="24"/>
        </w:rPr>
      </w:pPr>
      <w:r w:rsidRPr="00A6491B">
        <w:rPr>
          <w:rFonts w:ascii="仿宋" w:eastAsia="仿宋" w:hAnsi="仿宋"/>
          <w:b/>
          <w:bCs/>
          <w:sz w:val="24"/>
        </w:rPr>
        <w:t>*</w:t>
      </w:r>
      <w:r w:rsidRPr="00A6491B">
        <w:rPr>
          <w:rFonts w:ascii="仿宋" w:eastAsia="仿宋" w:hAnsi="仿宋" w:hint="eastAsia"/>
          <w:b/>
          <w:bCs/>
          <w:sz w:val="24"/>
        </w:rPr>
        <w:t>3、成果要求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（1）验收标准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1）符合国家、四川省、成都市相关法规规范要求；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2）成果通过采购人或以上各项工作内容的相关部署单位的验收评审。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（2）成果形式及数量要求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1）成果形式：产业功能区基础数据表格及评价分析报告、开发区状况基础数据表格及评价分析报告、工业用地调查表格数据。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sz w:val="24"/>
        </w:rPr>
      </w:pPr>
      <w:r w:rsidRPr="00A6491B">
        <w:rPr>
          <w:rFonts w:ascii="仿宋" w:eastAsia="仿宋" w:hAnsi="仿宋" w:hint="eastAsia"/>
          <w:sz w:val="24"/>
        </w:rPr>
        <w:t>2）成果数量：送审成果提供成果4份；正式成果提供纸质成果4份，电子光盘1份。电子文件应提供可编辑的数据文件，包括word格式、excel格式等资料。</w:t>
      </w:r>
    </w:p>
    <w:p w:rsidR="00135CD1" w:rsidRPr="00A6491B" w:rsidRDefault="00135CD1" w:rsidP="00135CD1">
      <w:pPr>
        <w:pStyle w:val="a3"/>
        <w:spacing w:line="360" w:lineRule="auto"/>
        <w:ind w:firstLineChars="0" w:firstLine="0"/>
        <w:rPr>
          <w:rFonts w:ascii="仿宋" w:eastAsia="仿宋" w:hAnsi="仿宋"/>
          <w:b/>
          <w:bCs/>
          <w:sz w:val="24"/>
        </w:rPr>
      </w:pPr>
      <w:r w:rsidRPr="00A6491B">
        <w:rPr>
          <w:rFonts w:ascii="仿宋" w:eastAsia="仿宋" w:hAnsi="仿宋"/>
          <w:b/>
          <w:bCs/>
          <w:sz w:val="24"/>
        </w:rPr>
        <w:t>*</w:t>
      </w:r>
      <w:r w:rsidRPr="00A6491B">
        <w:rPr>
          <w:rFonts w:ascii="仿宋" w:eastAsia="仿宋" w:hAnsi="仿宋" w:hint="eastAsia"/>
          <w:b/>
          <w:bCs/>
          <w:sz w:val="24"/>
        </w:rPr>
        <w:t>4、其他要求</w:t>
      </w:r>
    </w:p>
    <w:p w:rsidR="00322FC9" w:rsidRDefault="00135CD1" w:rsidP="00135CD1">
      <w:r w:rsidRPr="00A6491B">
        <w:rPr>
          <w:rFonts w:ascii="仿宋" w:eastAsia="仿宋" w:hAnsi="仿宋" w:hint="eastAsia"/>
          <w:sz w:val="24"/>
        </w:rPr>
        <w:t>采购人拥有本项目成果知识产权。本项目提交成果应包括经批复的成果，还包含过程中形成的、有利于各项调查评价工作成果的理解和使用的所有基础性、关键性、可编辑的数据文件（包括但不限于评价文本、图表的excel、word文件）。采购人在结清所有委托服务费用后,完全享有委托供应商完成的成果著作权，署</w:t>
      </w:r>
      <w:r w:rsidRPr="00A6491B">
        <w:rPr>
          <w:rFonts w:ascii="仿宋" w:eastAsia="仿宋" w:hAnsi="仿宋" w:hint="eastAsia"/>
          <w:sz w:val="24"/>
        </w:rPr>
        <w:lastRenderedPageBreak/>
        <w:t>名权除外。</w:t>
      </w:r>
      <w:bookmarkStart w:id="2" w:name="_GoBack"/>
      <w:bookmarkEnd w:id="2"/>
    </w:p>
    <w:sectPr w:rsidR="00322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D1"/>
    <w:rsid w:val="00135CD1"/>
    <w:rsid w:val="003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195C5-8F5B-49BC-94F7-15354C6D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D1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135C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135CD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135CD1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0">
    <w:name w:val="标题 2 字符"/>
    <w:basedOn w:val="a0"/>
    <w:link w:val="2"/>
    <w:rsid w:val="00135CD1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a3">
    <w:name w:val="Normal Indent"/>
    <w:basedOn w:val="a"/>
    <w:link w:val="a4"/>
    <w:qFormat/>
    <w:rsid w:val="00135CD1"/>
    <w:pPr>
      <w:ind w:firstLineChars="200" w:firstLine="200"/>
    </w:pPr>
    <w:rPr>
      <w:kern w:val="0"/>
      <w:sz w:val="20"/>
      <w:lang w:val="x-none" w:eastAsia="x-none"/>
    </w:rPr>
  </w:style>
  <w:style w:type="character" w:customStyle="1" w:styleId="a4">
    <w:name w:val="正文缩进 字符"/>
    <w:link w:val="a3"/>
    <w:qFormat/>
    <w:rsid w:val="00135CD1"/>
    <w:rPr>
      <w:rFonts w:ascii="Calibri" w:eastAsia="宋体" w:hAnsi="Calibri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1635</Characters>
  <Application>Microsoft Office Word</Application>
  <DocSecurity>0</DocSecurity>
  <Lines>13</Lines>
  <Paragraphs>3</Paragraphs>
  <ScaleCrop>false</ScaleCrop>
  <Company>DoubleOX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2022-05-11T01:57:00Z</dcterms:created>
  <dcterms:modified xsi:type="dcterms:W3CDTF">2022-05-11T01:57:00Z</dcterms:modified>
</cp:coreProperties>
</file>