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13" w:rsidRPr="003F10F6" w:rsidRDefault="00517313" w:rsidP="00517313">
      <w:pPr>
        <w:pStyle w:val="a4"/>
        <w:rPr>
          <w:rFonts w:ascii="仿宋" w:eastAsia="仿宋" w:hAnsi="仿宋"/>
        </w:rPr>
      </w:pPr>
      <w:r w:rsidRPr="003F10F6">
        <w:rPr>
          <w:rFonts w:ascii="仿宋" w:eastAsia="仿宋" w:hAnsi="仿宋" w:hint="eastAsia"/>
        </w:rPr>
        <w:t>采购项目技术、服务、政府采购合同内容条款及其他商务要求</w:t>
      </w:r>
    </w:p>
    <w:p w:rsidR="00517313" w:rsidRPr="003F10F6" w:rsidRDefault="00517313" w:rsidP="00517313">
      <w:pPr>
        <w:pStyle w:val="2"/>
        <w:keepNext w:val="0"/>
        <w:keepLines w:val="0"/>
        <w:spacing w:before="0" w:after="0" w:line="400" w:lineRule="exact"/>
        <w:ind w:firstLineChars="49" w:firstLine="118"/>
        <w:jc w:val="left"/>
        <w:rPr>
          <w:rFonts w:ascii="仿宋" w:eastAsia="仿宋" w:hAnsi="仿宋"/>
          <w:sz w:val="24"/>
          <w:szCs w:val="24"/>
        </w:rPr>
      </w:pPr>
    </w:p>
    <w:p w:rsidR="00517313" w:rsidRPr="003F10F6" w:rsidRDefault="00517313" w:rsidP="00517313">
      <w:pPr>
        <w:pStyle w:val="2"/>
        <w:keepNext w:val="0"/>
        <w:keepLines w:val="0"/>
        <w:spacing w:before="0" w:after="0" w:line="400" w:lineRule="exact"/>
        <w:ind w:firstLineChars="49" w:firstLine="118"/>
        <w:jc w:val="left"/>
        <w:rPr>
          <w:rFonts w:ascii="仿宋" w:eastAsia="仿宋" w:hAnsi="仿宋"/>
          <w:sz w:val="24"/>
          <w:szCs w:val="24"/>
        </w:rPr>
      </w:pPr>
      <w:bookmarkStart w:id="0" w:name="PO_默认文件内容_27"/>
      <w:r w:rsidRPr="003F10F6">
        <w:rPr>
          <w:rFonts w:ascii="仿宋" w:eastAsia="仿宋" w:hAnsi="仿宋" w:hint="eastAsia"/>
          <w:sz w:val="24"/>
          <w:szCs w:val="24"/>
        </w:rPr>
        <w:t>前提：</w:t>
      </w:r>
      <w:r w:rsidRPr="003F10F6">
        <w:rPr>
          <w:rFonts w:ascii="仿宋" w:eastAsia="仿宋" w:hAnsi="仿宋"/>
          <w:sz w:val="24"/>
          <w:szCs w:val="24"/>
        </w:rPr>
        <w:t>本章采购需求中标注“*”号的条款为本次磋商采购项目的实质性要求，供应商应全部满足。</w:t>
      </w:r>
    </w:p>
    <w:p w:rsidR="00517313" w:rsidRPr="003F10F6" w:rsidRDefault="00517313" w:rsidP="00517313">
      <w:pPr>
        <w:pStyle w:val="2"/>
        <w:spacing w:line="560" w:lineRule="exact"/>
        <w:ind w:firstLineChars="98" w:firstLine="236"/>
        <w:rPr>
          <w:rFonts w:ascii="仿宋" w:eastAsia="仿宋" w:hAnsi="仿宋"/>
          <w:b w:val="0"/>
          <w:sz w:val="24"/>
          <w:szCs w:val="24"/>
        </w:rPr>
      </w:pPr>
      <w:r w:rsidRPr="003F10F6">
        <w:rPr>
          <w:rFonts w:ascii="仿宋" w:eastAsia="仿宋" w:hAnsi="仿宋" w:hint="eastAsia"/>
          <w:sz w:val="24"/>
          <w:szCs w:val="24"/>
        </w:rPr>
        <w:t xml:space="preserve">一. </w:t>
      </w:r>
      <w:r w:rsidRPr="003F10F6">
        <w:rPr>
          <w:rFonts w:ascii="仿宋" w:eastAsia="仿宋" w:hAnsi="仿宋" w:hint="eastAsia"/>
          <w:b w:val="0"/>
          <w:sz w:val="24"/>
          <w:szCs w:val="24"/>
        </w:rPr>
        <w:t>项目概述</w:t>
      </w:r>
    </w:p>
    <w:p w:rsidR="00517313" w:rsidRPr="003F10F6" w:rsidRDefault="00517313" w:rsidP="00517313">
      <w:pPr>
        <w:pStyle w:val="a3"/>
        <w:spacing w:line="560" w:lineRule="exact"/>
        <w:ind w:firstLineChars="100" w:firstLine="240"/>
        <w:rPr>
          <w:rFonts w:ascii="仿宋" w:eastAsia="仿宋" w:hAnsi="仿宋"/>
          <w:bCs/>
          <w:sz w:val="24"/>
        </w:rPr>
      </w:pPr>
      <w:r w:rsidRPr="003F10F6">
        <w:rPr>
          <w:rFonts w:ascii="仿宋" w:eastAsia="仿宋" w:hAnsi="仿宋" w:hint="eastAsia"/>
          <w:bCs/>
          <w:sz w:val="24"/>
        </w:rPr>
        <w:t>1、</w:t>
      </w:r>
      <w:r w:rsidRPr="003F10F6">
        <w:rPr>
          <w:rFonts w:ascii="仿宋" w:eastAsia="仿宋" w:hAnsi="仿宋"/>
          <w:bCs/>
          <w:sz w:val="24"/>
        </w:rPr>
        <w:t>按照《中共成都市委成都市人民政府关于营造新生态发展新经济培育新动能的意见》（成委发〔2017〕32号）关于“建立新经济发展监测评价体系，强化服务支撑”的工作要求，我委于2018年底基本建成成都新经济大数据监测平台（以下简称“监测平台”）并运营至今。监测平台是我市发展新经济培育新动能工作的数字化决策辅助系统，提供态势感知和决策参考动态数据服务，通过模型算法实时抓取和分析网络大数据，力求客观反映我市及各区（市）县新经济发展情况。目前，2020年监测运维工作已顺利完成，为持续做好监测平台运行维护工作，</w:t>
      </w:r>
      <w:r w:rsidRPr="003F10F6">
        <w:rPr>
          <w:rFonts w:ascii="仿宋" w:eastAsia="仿宋" w:hAnsi="仿宋" w:hint="eastAsia"/>
          <w:bCs/>
          <w:sz w:val="24"/>
        </w:rPr>
        <w:t>拟</w:t>
      </w:r>
      <w:r w:rsidRPr="003F10F6">
        <w:rPr>
          <w:rFonts w:ascii="仿宋" w:eastAsia="仿宋" w:hAnsi="仿宋"/>
          <w:bCs/>
          <w:sz w:val="24"/>
        </w:rPr>
        <w:t>开展2021年成都新经济大数据监测平台运维服务项目。</w:t>
      </w:r>
    </w:p>
    <w:p w:rsidR="00517313" w:rsidRPr="003F10F6" w:rsidRDefault="00517313" w:rsidP="00517313">
      <w:pPr>
        <w:pStyle w:val="a3"/>
        <w:spacing w:line="560" w:lineRule="exact"/>
        <w:ind w:firstLineChars="100" w:firstLine="240"/>
        <w:rPr>
          <w:rFonts w:ascii="仿宋" w:eastAsia="仿宋" w:hAnsi="仿宋"/>
          <w:bCs/>
          <w:sz w:val="24"/>
        </w:rPr>
      </w:pPr>
      <w:r w:rsidRPr="003F10F6">
        <w:rPr>
          <w:rFonts w:ascii="仿宋" w:eastAsia="仿宋" w:hAnsi="仿宋" w:hint="eastAsia"/>
          <w:bCs/>
          <w:sz w:val="24"/>
        </w:rPr>
        <w:t>本项目</w:t>
      </w:r>
      <w:r w:rsidRPr="003F10F6">
        <w:rPr>
          <w:rFonts w:ascii="仿宋" w:eastAsia="仿宋" w:hAnsi="仿宋"/>
          <w:bCs/>
          <w:sz w:val="24"/>
        </w:rPr>
        <w:t>共</w:t>
      </w:r>
      <w:r w:rsidRPr="003F10F6">
        <w:rPr>
          <w:rFonts w:ascii="仿宋" w:eastAsia="仿宋" w:hAnsi="仿宋" w:hint="eastAsia"/>
          <w:bCs/>
          <w:sz w:val="24"/>
        </w:rPr>
        <w:t>1个包。采购2</w:t>
      </w:r>
      <w:r w:rsidRPr="003F10F6">
        <w:rPr>
          <w:rFonts w:ascii="仿宋" w:eastAsia="仿宋" w:hAnsi="仿宋"/>
          <w:bCs/>
          <w:sz w:val="24"/>
        </w:rPr>
        <w:t>021</w:t>
      </w:r>
      <w:r w:rsidRPr="003F10F6">
        <w:rPr>
          <w:rFonts w:ascii="仿宋" w:eastAsia="仿宋" w:hAnsi="仿宋" w:hint="eastAsia"/>
          <w:bCs/>
          <w:sz w:val="24"/>
        </w:rPr>
        <w:t>年</w:t>
      </w:r>
      <w:r w:rsidRPr="003F10F6">
        <w:rPr>
          <w:rFonts w:ascii="仿宋" w:eastAsia="仿宋" w:hAnsi="仿宋"/>
          <w:bCs/>
          <w:sz w:val="24"/>
        </w:rPr>
        <w:t>成都新经济大数据监测平台运维服务</w:t>
      </w:r>
      <w:r w:rsidRPr="003F10F6">
        <w:rPr>
          <w:rFonts w:ascii="仿宋" w:eastAsia="仿宋" w:hAnsi="仿宋" w:hint="eastAsia"/>
          <w:bCs/>
          <w:sz w:val="24"/>
        </w:rPr>
        <w:t>。</w:t>
      </w:r>
    </w:p>
    <w:p w:rsidR="00517313" w:rsidRPr="003F10F6" w:rsidRDefault="00517313" w:rsidP="00517313">
      <w:pPr>
        <w:pStyle w:val="a3"/>
        <w:spacing w:line="560" w:lineRule="exact"/>
        <w:ind w:firstLineChars="100" w:firstLine="240"/>
        <w:rPr>
          <w:rFonts w:ascii="仿宋" w:eastAsia="仿宋" w:hAnsi="仿宋"/>
          <w:bCs/>
          <w:sz w:val="24"/>
        </w:rPr>
      </w:pPr>
    </w:p>
    <w:p w:rsidR="00517313" w:rsidRPr="003F10F6" w:rsidRDefault="00517313" w:rsidP="00517313">
      <w:pPr>
        <w:pStyle w:val="a3"/>
        <w:spacing w:line="560" w:lineRule="exact"/>
        <w:ind w:firstLineChars="100" w:firstLine="240"/>
        <w:rPr>
          <w:rFonts w:ascii="仿宋" w:eastAsia="仿宋" w:hAnsi="仿宋"/>
          <w:b/>
          <w:sz w:val="24"/>
        </w:rPr>
      </w:pPr>
      <w:r w:rsidRPr="003F10F6">
        <w:rPr>
          <w:rFonts w:ascii="仿宋" w:eastAsia="仿宋" w:hAnsi="仿宋" w:hint="eastAsia"/>
          <w:bCs/>
          <w:sz w:val="24"/>
        </w:rPr>
        <w:t>2、</w:t>
      </w:r>
      <w:r w:rsidRPr="003F10F6">
        <w:rPr>
          <w:rFonts w:ascii="仿宋" w:eastAsia="仿宋" w:hAnsi="仿宋" w:hint="eastAsia"/>
          <w:b/>
          <w:sz w:val="24"/>
        </w:rPr>
        <w:t>项目清单</w:t>
      </w:r>
    </w:p>
    <w:tbl>
      <w:tblPr>
        <w:tblW w:w="703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208"/>
        <w:gridCol w:w="2126"/>
      </w:tblGrid>
      <w:tr w:rsidR="00517313" w:rsidRPr="003F10F6" w:rsidTr="00072043">
        <w:trPr>
          <w:trHeight w:val="390"/>
        </w:trPr>
        <w:tc>
          <w:tcPr>
            <w:tcW w:w="701" w:type="dxa"/>
            <w:vAlign w:val="center"/>
          </w:tcPr>
          <w:p w:rsidR="00517313" w:rsidRPr="003F10F6" w:rsidRDefault="00517313" w:rsidP="00072043">
            <w:pPr>
              <w:widowControl/>
              <w:spacing w:line="560" w:lineRule="exact"/>
              <w:jc w:val="center"/>
              <w:outlineLvl w:val="1"/>
              <w:rPr>
                <w:rFonts w:ascii="仿宋" w:eastAsia="仿宋" w:hAnsi="仿宋"/>
                <w:sz w:val="24"/>
              </w:rPr>
            </w:pPr>
            <w:r w:rsidRPr="003F10F6">
              <w:rPr>
                <w:rFonts w:ascii="仿宋" w:eastAsia="仿宋" w:hAnsi="仿宋" w:hint="eastAsia"/>
                <w:sz w:val="24"/>
              </w:rPr>
              <w:t>包号</w:t>
            </w:r>
          </w:p>
        </w:tc>
        <w:tc>
          <w:tcPr>
            <w:tcW w:w="4208" w:type="dxa"/>
            <w:vAlign w:val="center"/>
          </w:tcPr>
          <w:p w:rsidR="00517313" w:rsidRPr="003F10F6" w:rsidRDefault="00517313" w:rsidP="00072043">
            <w:pPr>
              <w:widowControl/>
              <w:spacing w:line="560" w:lineRule="exact"/>
              <w:jc w:val="center"/>
              <w:outlineLvl w:val="1"/>
              <w:rPr>
                <w:rFonts w:ascii="仿宋" w:eastAsia="仿宋" w:hAnsi="仿宋"/>
                <w:sz w:val="24"/>
              </w:rPr>
            </w:pPr>
            <w:r w:rsidRPr="003F10F6">
              <w:rPr>
                <w:rFonts w:ascii="仿宋" w:eastAsia="仿宋" w:hAnsi="仿宋" w:hint="eastAsia"/>
                <w:sz w:val="24"/>
              </w:rPr>
              <w:t>标的名称</w:t>
            </w:r>
          </w:p>
        </w:tc>
        <w:tc>
          <w:tcPr>
            <w:tcW w:w="2126" w:type="dxa"/>
            <w:vAlign w:val="center"/>
          </w:tcPr>
          <w:p w:rsidR="00517313" w:rsidRPr="003F10F6" w:rsidRDefault="00517313" w:rsidP="00072043">
            <w:pPr>
              <w:widowControl/>
              <w:spacing w:line="560" w:lineRule="exact"/>
              <w:jc w:val="center"/>
              <w:outlineLvl w:val="1"/>
              <w:rPr>
                <w:rFonts w:ascii="仿宋" w:eastAsia="仿宋" w:hAnsi="仿宋"/>
                <w:sz w:val="24"/>
              </w:rPr>
            </w:pPr>
            <w:r w:rsidRPr="003F10F6">
              <w:rPr>
                <w:rFonts w:ascii="仿宋" w:eastAsia="仿宋" w:hAnsi="仿宋" w:hint="eastAsia"/>
                <w:sz w:val="24"/>
              </w:rPr>
              <w:t>所属行业</w:t>
            </w:r>
          </w:p>
        </w:tc>
      </w:tr>
      <w:tr w:rsidR="00517313" w:rsidRPr="003F10F6" w:rsidTr="00072043">
        <w:trPr>
          <w:trHeight w:val="374"/>
        </w:trPr>
        <w:tc>
          <w:tcPr>
            <w:tcW w:w="701" w:type="dxa"/>
            <w:vAlign w:val="center"/>
          </w:tcPr>
          <w:p w:rsidR="00517313" w:rsidRPr="003F10F6" w:rsidRDefault="00517313" w:rsidP="00072043">
            <w:pPr>
              <w:widowControl/>
              <w:spacing w:line="560" w:lineRule="exact"/>
              <w:jc w:val="center"/>
              <w:outlineLvl w:val="1"/>
              <w:rPr>
                <w:rFonts w:ascii="仿宋" w:eastAsia="仿宋" w:hAnsi="仿宋"/>
                <w:sz w:val="24"/>
              </w:rPr>
            </w:pPr>
            <w:r w:rsidRPr="003F10F6">
              <w:rPr>
                <w:rFonts w:ascii="仿宋" w:eastAsia="仿宋" w:hAnsi="仿宋" w:hint="eastAsia"/>
                <w:sz w:val="24"/>
              </w:rPr>
              <w:t>1</w:t>
            </w:r>
          </w:p>
        </w:tc>
        <w:tc>
          <w:tcPr>
            <w:tcW w:w="4208" w:type="dxa"/>
            <w:vAlign w:val="center"/>
          </w:tcPr>
          <w:p w:rsidR="00517313" w:rsidRPr="003F10F6" w:rsidRDefault="00517313" w:rsidP="00072043">
            <w:pPr>
              <w:widowControl/>
              <w:spacing w:line="560" w:lineRule="exact"/>
              <w:jc w:val="center"/>
              <w:outlineLvl w:val="1"/>
              <w:rPr>
                <w:rFonts w:ascii="仿宋" w:eastAsia="仿宋" w:hAnsi="仿宋"/>
                <w:sz w:val="24"/>
              </w:rPr>
            </w:pPr>
            <w:r w:rsidRPr="003F10F6">
              <w:rPr>
                <w:rFonts w:ascii="仿宋" w:eastAsia="仿宋" w:hAnsi="仿宋" w:hint="eastAsia"/>
                <w:bCs/>
                <w:sz w:val="24"/>
              </w:rPr>
              <w:t>2</w:t>
            </w:r>
            <w:r w:rsidRPr="003F10F6">
              <w:rPr>
                <w:rFonts w:ascii="仿宋" w:eastAsia="仿宋" w:hAnsi="仿宋"/>
                <w:bCs/>
                <w:sz w:val="24"/>
              </w:rPr>
              <w:t>021</w:t>
            </w:r>
            <w:r w:rsidRPr="003F10F6">
              <w:rPr>
                <w:rFonts w:ascii="仿宋" w:eastAsia="仿宋" w:hAnsi="仿宋" w:hint="eastAsia"/>
                <w:bCs/>
                <w:sz w:val="24"/>
              </w:rPr>
              <w:t>年</w:t>
            </w:r>
            <w:r w:rsidRPr="003F10F6">
              <w:rPr>
                <w:rFonts w:ascii="仿宋" w:eastAsia="仿宋" w:hAnsi="仿宋"/>
                <w:bCs/>
                <w:sz w:val="24"/>
              </w:rPr>
              <w:t>成都新经济大数据监测平台运维服务</w:t>
            </w:r>
          </w:p>
        </w:tc>
        <w:tc>
          <w:tcPr>
            <w:tcW w:w="2126" w:type="dxa"/>
            <w:vAlign w:val="center"/>
          </w:tcPr>
          <w:p w:rsidR="00517313" w:rsidRPr="003F10F6" w:rsidRDefault="00517313" w:rsidP="00072043">
            <w:pPr>
              <w:widowControl/>
              <w:spacing w:line="560" w:lineRule="exact"/>
              <w:outlineLvl w:val="1"/>
              <w:rPr>
                <w:rFonts w:ascii="仿宋" w:eastAsia="仿宋" w:hAnsi="仿宋"/>
                <w:sz w:val="24"/>
              </w:rPr>
            </w:pPr>
            <w:r w:rsidRPr="003F10F6">
              <w:rPr>
                <w:rFonts w:ascii="仿宋" w:eastAsia="仿宋" w:hAnsi="仿宋" w:hint="eastAsia"/>
                <w:sz w:val="24"/>
              </w:rPr>
              <w:t>软件</w:t>
            </w:r>
            <w:r w:rsidRPr="003F10F6">
              <w:rPr>
                <w:rFonts w:ascii="仿宋" w:eastAsia="仿宋" w:hAnsi="仿宋"/>
                <w:sz w:val="24"/>
              </w:rPr>
              <w:t>和信息技术服务业</w:t>
            </w:r>
          </w:p>
        </w:tc>
      </w:tr>
    </w:tbl>
    <w:p w:rsidR="00517313" w:rsidRPr="003F10F6" w:rsidRDefault="00517313" w:rsidP="00517313">
      <w:pPr>
        <w:spacing w:line="560" w:lineRule="exact"/>
        <w:rPr>
          <w:rFonts w:ascii="仿宋" w:eastAsia="仿宋" w:hAnsi="仿宋"/>
        </w:rPr>
      </w:pPr>
    </w:p>
    <w:p w:rsidR="00517313" w:rsidRPr="003F10F6" w:rsidRDefault="00517313" w:rsidP="00517313">
      <w:pPr>
        <w:pStyle w:val="2"/>
        <w:spacing w:line="560" w:lineRule="exact"/>
        <w:ind w:firstLineChars="98" w:firstLine="236"/>
        <w:rPr>
          <w:rFonts w:eastAsia="方正黑体_GBK"/>
          <w:szCs w:val="22"/>
        </w:rPr>
      </w:pPr>
      <w:r w:rsidRPr="003F10F6">
        <w:rPr>
          <w:rFonts w:ascii="仿宋" w:eastAsia="仿宋" w:hAnsi="仿宋" w:hint="eastAsia"/>
          <w:sz w:val="24"/>
          <w:szCs w:val="24"/>
        </w:rPr>
        <w:t>二、服务内容及要求</w:t>
      </w:r>
    </w:p>
    <w:p w:rsidR="00517313" w:rsidRPr="003F10F6" w:rsidRDefault="00517313" w:rsidP="00517313">
      <w:pPr>
        <w:adjustRightInd w:val="0"/>
        <w:snapToGrid w:val="0"/>
        <w:spacing w:line="560" w:lineRule="exact"/>
        <w:ind w:firstLineChars="200" w:firstLine="480"/>
        <w:rPr>
          <w:rFonts w:ascii="仿宋" w:eastAsia="仿宋" w:hAnsi="仿宋"/>
          <w:sz w:val="24"/>
        </w:rPr>
      </w:pPr>
      <w:r w:rsidRPr="003F10F6">
        <w:rPr>
          <w:rFonts w:ascii="仿宋" w:eastAsia="仿宋" w:hAnsi="仿宋"/>
          <w:sz w:val="24"/>
        </w:rPr>
        <w:t>（一）常规运维服务</w:t>
      </w:r>
    </w:p>
    <w:p w:rsidR="00517313" w:rsidRPr="003F10F6" w:rsidRDefault="00517313" w:rsidP="00517313">
      <w:pPr>
        <w:adjustRightInd w:val="0"/>
        <w:snapToGrid w:val="0"/>
        <w:spacing w:line="560" w:lineRule="exact"/>
        <w:ind w:firstLineChars="200" w:firstLine="482"/>
        <w:rPr>
          <w:rFonts w:ascii="仿宋" w:eastAsia="仿宋" w:hAnsi="仿宋"/>
          <w:sz w:val="24"/>
        </w:rPr>
      </w:pPr>
      <w:r w:rsidRPr="003F10F6">
        <w:rPr>
          <w:rFonts w:ascii="仿宋" w:eastAsia="仿宋" w:hAnsi="仿宋"/>
          <w:b/>
          <w:sz w:val="24"/>
        </w:rPr>
        <w:lastRenderedPageBreak/>
        <w:t>1.监测平台软硬件运维。</w:t>
      </w:r>
      <w:r w:rsidRPr="003F10F6">
        <w:rPr>
          <w:rFonts w:ascii="仿宋" w:eastAsia="仿宋" w:hAnsi="仿宋"/>
          <w:sz w:val="24"/>
        </w:rPr>
        <w:t>至少配备2名以上专业技术人员，保障平台安全平稳运行，确保数据更新及时，历史数据存储完备，定期对软硬件系统进行测评。主要包括以下方面：</w:t>
      </w:r>
    </w:p>
    <w:p w:rsidR="00517313" w:rsidRPr="003F10F6" w:rsidRDefault="00517313" w:rsidP="00517313">
      <w:pPr>
        <w:adjustRightInd w:val="0"/>
        <w:snapToGrid w:val="0"/>
        <w:spacing w:line="560" w:lineRule="exact"/>
        <w:ind w:firstLineChars="200" w:firstLine="480"/>
        <w:rPr>
          <w:rFonts w:ascii="仿宋" w:eastAsia="仿宋" w:hAnsi="仿宋"/>
          <w:sz w:val="24"/>
        </w:rPr>
      </w:pPr>
      <w:r w:rsidRPr="003F10F6">
        <w:rPr>
          <w:rFonts w:ascii="仿宋" w:eastAsia="仿宋" w:hAnsi="仿宋"/>
          <w:sz w:val="24"/>
        </w:rPr>
        <w:t>（1）网络管理。每月（本运维周期内，预计共6次）定期开展服务器操作系统检测、网络安全事故检测、数据库系统检测、异常行为分析、安全风险评估等工作。</w:t>
      </w:r>
    </w:p>
    <w:p w:rsidR="00517313" w:rsidRPr="003F10F6" w:rsidRDefault="00517313" w:rsidP="00517313">
      <w:pPr>
        <w:adjustRightInd w:val="0"/>
        <w:snapToGrid w:val="0"/>
        <w:spacing w:line="560" w:lineRule="exact"/>
        <w:ind w:firstLineChars="200" w:firstLine="480"/>
        <w:rPr>
          <w:rFonts w:ascii="仿宋" w:eastAsia="仿宋" w:hAnsi="仿宋"/>
          <w:sz w:val="24"/>
        </w:rPr>
      </w:pPr>
      <w:r w:rsidRPr="003F10F6">
        <w:rPr>
          <w:rFonts w:ascii="仿宋" w:eastAsia="仿宋" w:hAnsi="仿宋"/>
          <w:sz w:val="24"/>
        </w:rPr>
        <w:t>（2）系统和应用管理。每月（本运维周期内，预计共6次）定期开展硬件维护，做好日常硬件巡查、运行监控工作；每周（本运维周期内，预计共24次）定期开展软件维护，包括进行应用状态巡检、故障问题处理、性能（资源）调优、应用版本更新、系统诊断等。</w:t>
      </w:r>
    </w:p>
    <w:p w:rsidR="00517313" w:rsidRPr="003F10F6" w:rsidRDefault="00517313" w:rsidP="00517313">
      <w:pPr>
        <w:adjustRightInd w:val="0"/>
        <w:snapToGrid w:val="0"/>
        <w:spacing w:line="560" w:lineRule="exact"/>
        <w:ind w:firstLineChars="200" w:firstLine="480"/>
        <w:rPr>
          <w:rFonts w:ascii="仿宋" w:eastAsia="仿宋" w:hAnsi="仿宋"/>
          <w:sz w:val="24"/>
        </w:rPr>
      </w:pPr>
      <w:r w:rsidRPr="003F10F6">
        <w:rPr>
          <w:rFonts w:ascii="仿宋" w:eastAsia="仿宋" w:hAnsi="仿宋"/>
          <w:sz w:val="24"/>
        </w:rPr>
        <w:t>（3）安全管理。每月（本运维周期内，预计共6次）定期开展安全管理工作，包括系统层面安全加固、补丁更新，进行平台软、硬件故障的检测、诊断和修复。</w:t>
      </w:r>
    </w:p>
    <w:p w:rsidR="00517313" w:rsidRPr="003F10F6" w:rsidRDefault="00517313" w:rsidP="00517313">
      <w:pPr>
        <w:adjustRightInd w:val="0"/>
        <w:snapToGrid w:val="0"/>
        <w:spacing w:line="560" w:lineRule="exact"/>
        <w:ind w:firstLineChars="200" w:firstLine="480"/>
        <w:rPr>
          <w:rFonts w:ascii="仿宋" w:eastAsia="仿宋" w:hAnsi="仿宋"/>
          <w:sz w:val="24"/>
        </w:rPr>
      </w:pPr>
      <w:r w:rsidRPr="003F10F6">
        <w:rPr>
          <w:rFonts w:ascii="仿宋" w:eastAsia="仿宋" w:hAnsi="仿宋"/>
          <w:sz w:val="24"/>
        </w:rPr>
        <w:t>（4）数据存储和备份。每两周（本运维周期内，预计共12次）进行数据增量备份，每月定期（本运维周期内，预计共6次）进行数据全量备份，并进行采集软件更新以及新旧数据整合、清洗、数据备份、恢复，根据数据量的增加，持续优化数据结构以及算法。</w:t>
      </w:r>
    </w:p>
    <w:p w:rsidR="00517313" w:rsidRPr="003F10F6" w:rsidRDefault="00517313" w:rsidP="00517313">
      <w:pPr>
        <w:spacing w:line="560" w:lineRule="exact"/>
        <w:ind w:firstLineChars="200" w:firstLine="482"/>
        <w:rPr>
          <w:rFonts w:ascii="仿宋" w:eastAsia="仿宋" w:hAnsi="仿宋"/>
          <w:sz w:val="24"/>
        </w:rPr>
      </w:pPr>
      <w:r w:rsidRPr="003F10F6">
        <w:rPr>
          <w:rFonts w:ascii="仿宋" w:eastAsia="仿宋" w:hAnsi="仿宋"/>
          <w:b/>
          <w:sz w:val="24"/>
        </w:rPr>
        <w:t>2.数据采集服务。</w:t>
      </w:r>
      <w:r w:rsidRPr="003F10F6">
        <w:rPr>
          <w:rFonts w:ascii="仿宋" w:eastAsia="仿宋" w:hAnsi="仿宋"/>
          <w:sz w:val="24"/>
        </w:rPr>
        <w:t>平台接入了成都全市及全国57个对标城市的企业互联网大数据行为数据，2021年拟继续采集和加工以上基础数据资源，保障系统统计分析功能的时效性及历史数据基础。主要包括以下方面：</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（1）采集主要城市新经济发展要素数据</w:t>
      </w:r>
      <w:r w:rsidRPr="003F10F6">
        <w:rPr>
          <w:rFonts w:ascii="仿宋" w:eastAsia="仿宋" w:hAnsi="仿宋"/>
          <w:sz w:val="24"/>
        </w:rPr>
        <w:t>。采集全国主要城市的新经济企业技术投入、人才投入、资本投入等要素投入宏观维度数据，为对比分析国内主要城市以及成都的生产要素供给情况提供支撑。</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（2）采集成都新经济区域发展数据</w:t>
      </w:r>
      <w:r w:rsidRPr="003F10F6">
        <w:rPr>
          <w:rFonts w:ascii="仿宋" w:eastAsia="仿宋" w:hAnsi="仿宋"/>
          <w:sz w:val="24"/>
        </w:rPr>
        <w:t>。采集成都各区（市）县新经济行业发</w:t>
      </w:r>
      <w:r w:rsidRPr="003F10F6">
        <w:rPr>
          <w:rFonts w:ascii="仿宋" w:eastAsia="仿宋" w:hAnsi="仿宋"/>
          <w:sz w:val="24"/>
        </w:rPr>
        <w:lastRenderedPageBreak/>
        <w:t>展数据及人才招聘、资本、专利数据，全面把握新经济行业的生产要素投入情况。</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（3）采集新经济企业发展水平数据</w:t>
      </w:r>
      <w:r w:rsidRPr="003F10F6">
        <w:rPr>
          <w:rFonts w:ascii="仿宋" w:eastAsia="仿宋" w:hAnsi="仿宋"/>
          <w:sz w:val="24"/>
        </w:rPr>
        <w:t>。从企业的全生命周期角度，采集企业工商登记、企业招聘、企业专利、企业投融资、企业舆情及企业招、中标等微观数据，生成企业发展指数。</w:t>
      </w:r>
    </w:p>
    <w:p w:rsidR="00517313" w:rsidRPr="003F10F6" w:rsidRDefault="00517313" w:rsidP="00517313">
      <w:pPr>
        <w:spacing w:line="560" w:lineRule="exact"/>
        <w:ind w:firstLineChars="200" w:firstLine="480"/>
        <w:rPr>
          <w:rFonts w:ascii="仿宋" w:eastAsia="仿宋" w:hAnsi="仿宋"/>
          <w:bCs/>
          <w:sz w:val="24"/>
        </w:rPr>
      </w:pPr>
      <w:r w:rsidRPr="003F10F6">
        <w:rPr>
          <w:rFonts w:ascii="仿宋" w:eastAsia="仿宋" w:hAnsi="仿宋"/>
          <w:bCs/>
          <w:sz w:val="24"/>
        </w:rPr>
        <w:t>（4）采集新经济企业外迁数据</w:t>
      </w:r>
      <w:r w:rsidRPr="003F10F6">
        <w:rPr>
          <w:rFonts w:ascii="仿宋" w:eastAsia="仿宋" w:hAnsi="仿宋"/>
          <w:sz w:val="24"/>
        </w:rPr>
        <w:t>。采集成都市内新经济企业在资本、招聘、专利等生产要素的变更数据，动态监测企业异地投资及发展行为情况，及时识别出企业的外迁倾向性及外迁目的地。</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（5）采集新经济资讯</w:t>
      </w:r>
      <w:r w:rsidRPr="003F10F6">
        <w:rPr>
          <w:rFonts w:ascii="仿宋" w:eastAsia="仿宋" w:hAnsi="仿宋"/>
          <w:sz w:val="24"/>
        </w:rPr>
        <w:t>。动态采集全国新经济领域的政策、新闻资讯，及时捕捉新经济舆情及政策动态。</w:t>
      </w:r>
    </w:p>
    <w:p w:rsidR="00517313" w:rsidRPr="003F10F6" w:rsidRDefault="00517313" w:rsidP="00517313">
      <w:pPr>
        <w:spacing w:line="560" w:lineRule="exact"/>
        <w:ind w:firstLineChars="200" w:firstLine="482"/>
        <w:rPr>
          <w:rFonts w:ascii="仿宋" w:eastAsia="仿宋" w:hAnsi="仿宋"/>
          <w:b/>
          <w:sz w:val="24"/>
        </w:rPr>
      </w:pPr>
    </w:p>
    <w:p w:rsidR="00517313" w:rsidRPr="003F10F6" w:rsidRDefault="00517313" w:rsidP="00517313">
      <w:pPr>
        <w:spacing w:line="560" w:lineRule="exact"/>
        <w:ind w:firstLineChars="200" w:firstLine="482"/>
        <w:rPr>
          <w:rFonts w:ascii="仿宋" w:eastAsia="仿宋" w:hAnsi="仿宋"/>
          <w:b/>
          <w:sz w:val="24"/>
        </w:rPr>
      </w:pPr>
      <w:r w:rsidRPr="003F10F6">
        <w:rPr>
          <w:rFonts w:ascii="仿宋" w:eastAsia="仿宋" w:hAnsi="仿宋"/>
          <w:b/>
          <w:sz w:val="24"/>
        </w:rPr>
        <w:t>3.新经济大数据监测报告生成。</w:t>
      </w:r>
      <w:r w:rsidRPr="003F10F6">
        <w:rPr>
          <w:rFonts w:ascii="仿宋" w:eastAsia="仿宋" w:hAnsi="仿宋" w:hint="eastAsia"/>
          <w:sz w:val="24"/>
        </w:rPr>
        <w:t>按月和季度形成共</w:t>
      </w:r>
      <w:r w:rsidRPr="003F10F6">
        <w:rPr>
          <w:rFonts w:ascii="仿宋" w:eastAsia="仿宋" w:hAnsi="仿宋"/>
          <w:sz w:val="24"/>
        </w:rPr>
        <w:t>7份新经济运行情况分析报告，挖掘平台采集的数据，研究分析重点城市新经济发展和要素集聚情况、成都各区（市）县新经济发展和要素集聚情况、成都新经济企业的外迁意向情况，以数据的横向纵向变动对比，为新经济工作提供数据支撑，为精准化企业服务提供标的。内容如下：</w:t>
      </w:r>
    </w:p>
    <w:p w:rsidR="00517313" w:rsidRPr="003F10F6" w:rsidRDefault="00517313" w:rsidP="00517313">
      <w:pPr>
        <w:snapToGrid w:val="0"/>
        <w:spacing w:line="560" w:lineRule="exact"/>
        <w:ind w:firstLineChars="200" w:firstLine="480"/>
        <w:rPr>
          <w:rFonts w:ascii="仿宋" w:eastAsia="仿宋" w:hAnsi="仿宋"/>
          <w:sz w:val="24"/>
        </w:rPr>
      </w:pPr>
      <w:bookmarkStart w:id="1" w:name="_Hlk29212011"/>
      <w:r w:rsidRPr="003F10F6">
        <w:rPr>
          <w:rFonts w:ascii="仿宋" w:eastAsia="仿宋" w:hAnsi="仿宋"/>
          <w:sz w:val="24"/>
        </w:rPr>
        <w:t>（1）提供新经济企业高级人才需求量、专利申请量、获得融资金融数据、行业风投件数结果，年度同比变化、月度环比变化，对比全国省级城市情况，成都新经济要素在各城市中的排名。</w:t>
      </w:r>
    </w:p>
    <w:p w:rsidR="00517313" w:rsidRPr="003F10F6" w:rsidRDefault="00517313" w:rsidP="00517313">
      <w:pPr>
        <w:snapToGrid w:val="0"/>
        <w:spacing w:line="560" w:lineRule="exact"/>
        <w:ind w:firstLineChars="200" w:firstLine="480"/>
        <w:rPr>
          <w:rFonts w:ascii="仿宋" w:eastAsia="仿宋" w:hAnsi="仿宋"/>
          <w:sz w:val="24"/>
        </w:rPr>
      </w:pPr>
      <w:r w:rsidRPr="003F10F6">
        <w:rPr>
          <w:rFonts w:ascii="仿宋" w:eastAsia="仿宋" w:hAnsi="仿宋"/>
          <w:sz w:val="24"/>
        </w:rPr>
        <w:t>（2）提供各区县新经济高级人才需求量、专利申请量、获得融资金融数据、行业风投件数结果，各区县新经济发展情况和要素集聚情况。</w:t>
      </w:r>
    </w:p>
    <w:p w:rsidR="00517313" w:rsidRPr="003F10F6" w:rsidRDefault="00517313" w:rsidP="00517313">
      <w:pPr>
        <w:snapToGrid w:val="0"/>
        <w:spacing w:line="560" w:lineRule="exact"/>
        <w:ind w:firstLineChars="200" w:firstLine="480"/>
        <w:rPr>
          <w:rFonts w:ascii="仿宋" w:eastAsia="仿宋" w:hAnsi="仿宋"/>
          <w:sz w:val="24"/>
        </w:rPr>
      </w:pPr>
      <w:r w:rsidRPr="003F10F6">
        <w:rPr>
          <w:rFonts w:ascii="仿宋" w:eastAsia="仿宋" w:hAnsi="仿宋"/>
          <w:sz w:val="24"/>
        </w:rPr>
        <w:t>（3）运用和调优新经济企业外迁预警模型数据，从机构分布、资本分布、招中标、人才招聘、专利申请等多方面综合比对，形成外迁风险识别和可能外迁企业名单。</w:t>
      </w:r>
      <w:bookmarkEnd w:id="1"/>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sz w:val="24"/>
        </w:rPr>
        <w:t>（二）</w:t>
      </w:r>
      <w:r w:rsidRPr="003F10F6">
        <w:rPr>
          <w:rFonts w:ascii="仿宋" w:eastAsia="仿宋" w:hAnsi="仿宋" w:hint="eastAsia"/>
          <w:sz w:val="24"/>
        </w:rPr>
        <w:t>特殊</w:t>
      </w:r>
      <w:r w:rsidRPr="003F10F6">
        <w:rPr>
          <w:rFonts w:ascii="仿宋" w:eastAsia="仿宋" w:hAnsi="仿宋"/>
          <w:sz w:val="24"/>
        </w:rPr>
        <w:t>服务</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sz w:val="24"/>
        </w:rPr>
        <w:lastRenderedPageBreak/>
        <w:t>针对当前平台检测对象大量拓展、运行精度要求提高，开展外迁预警模型优化工作。主要包括以下内容：</w:t>
      </w:r>
    </w:p>
    <w:p w:rsidR="00517313" w:rsidRPr="003F10F6" w:rsidRDefault="00517313" w:rsidP="00517313">
      <w:pPr>
        <w:spacing w:line="560" w:lineRule="exact"/>
        <w:ind w:firstLineChars="200" w:firstLine="482"/>
        <w:rPr>
          <w:rFonts w:ascii="仿宋" w:eastAsia="仿宋" w:hAnsi="仿宋"/>
          <w:sz w:val="24"/>
        </w:rPr>
      </w:pPr>
      <w:r w:rsidRPr="003F10F6">
        <w:rPr>
          <w:rFonts w:ascii="仿宋" w:eastAsia="仿宋" w:hAnsi="仿宋"/>
          <w:b/>
          <w:sz w:val="24"/>
        </w:rPr>
        <w:t>1.优化外迁预警主体筛选体系。</w:t>
      </w:r>
      <w:r w:rsidRPr="003F10F6">
        <w:rPr>
          <w:rFonts w:ascii="仿宋" w:eastAsia="仿宋" w:hAnsi="仿宋"/>
          <w:sz w:val="24"/>
        </w:rPr>
        <w:t>针对监测企业范围扩大后外迁预警模型精准度优化需求，围绕行业匹配度、企业发展周期、企业规模等维度，优化设计企业监测指标体系，每季度更新监测主体名单，将满足监测标准的企业纳入到平台动态监测范围。</w:t>
      </w:r>
    </w:p>
    <w:p w:rsidR="00517313" w:rsidRPr="003F10F6" w:rsidRDefault="00517313" w:rsidP="00517313">
      <w:pPr>
        <w:spacing w:line="560" w:lineRule="exact"/>
        <w:jc w:val="center"/>
        <w:rPr>
          <w:rFonts w:ascii="仿宋" w:eastAsia="仿宋" w:hAnsi="仿宋"/>
          <w:sz w:val="24"/>
        </w:rPr>
      </w:pPr>
      <w:r w:rsidRPr="003F10F6">
        <w:rPr>
          <w:rFonts w:ascii="仿宋" w:eastAsia="仿宋" w:hAnsi="仿宋"/>
          <w:sz w:val="24"/>
        </w:rPr>
        <w:t>表</w:t>
      </w:r>
      <w:r w:rsidRPr="003F10F6">
        <w:rPr>
          <w:rFonts w:ascii="仿宋" w:eastAsia="仿宋" w:hAnsi="仿宋" w:hint="eastAsia"/>
          <w:sz w:val="24"/>
        </w:rPr>
        <w:t>1</w:t>
      </w:r>
      <w:r w:rsidRPr="003F10F6">
        <w:rPr>
          <w:rFonts w:ascii="仿宋" w:eastAsia="仿宋" w:hAnsi="仿宋"/>
          <w:sz w:val="24"/>
        </w:rPr>
        <w:t xml:space="preserve">  外迁预警监测主体筛选体系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51"/>
        <w:gridCol w:w="1715"/>
        <w:gridCol w:w="5634"/>
      </w:tblGrid>
      <w:tr w:rsidR="00517313" w:rsidRPr="003F10F6" w:rsidTr="00072043">
        <w:trPr>
          <w:trHeight w:val="274"/>
        </w:trPr>
        <w:tc>
          <w:tcPr>
            <w:tcW w:w="57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bCs/>
                <w:sz w:val="24"/>
              </w:rPr>
            </w:pPr>
            <w:r w:rsidRPr="003F10F6">
              <w:rPr>
                <w:rFonts w:ascii="仿宋" w:eastAsia="仿宋" w:hAnsi="仿宋"/>
                <w:b/>
                <w:bCs/>
                <w:sz w:val="24"/>
              </w:rPr>
              <w:t>序号</w:t>
            </w:r>
          </w:p>
        </w:tc>
        <w:tc>
          <w:tcPr>
            <w:tcW w:w="103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bCs/>
                <w:sz w:val="24"/>
              </w:rPr>
            </w:pPr>
            <w:r w:rsidRPr="003F10F6">
              <w:rPr>
                <w:rFonts w:ascii="仿宋" w:eastAsia="仿宋" w:hAnsi="仿宋"/>
                <w:b/>
                <w:bCs/>
                <w:sz w:val="24"/>
              </w:rPr>
              <w:t>指标</w:t>
            </w:r>
          </w:p>
        </w:tc>
        <w:tc>
          <w:tcPr>
            <w:tcW w:w="3394"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bCs/>
                <w:sz w:val="24"/>
              </w:rPr>
            </w:pPr>
            <w:r w:rsidRPr="003F10F6">
              <w:rPr>
                <w:rFonts w:ascii="仿宋" w:eastAsia="仿宋" w:hAnsi="仿宋"/>
                <w:b/>
                <w:bCs/>
                <w:sz w:val="24"/>
              </w:rPr>
              <w:t>指标说明</w:t>
            </w:r>
          </w:p>
        </w:tc>
      </w:tr>
      <w:tr w:rsidR="00517313" w:rsidRPr="003F10F6" w:rsidTr="00072043">
        <w:trPr>
          <w:trHeight w:val="463"/>
        </w:trPr>
        <w:tc>
          <w:tcPr>
            <w:tcW w:w="57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sz w:val="24"/>
              </w:rPr>
            </w:pPr>
            <w:r w:rsidRPr="003F10F6">
              <w:rPr>
                <w:rFonts w:ascii="仿宋" w:eastAsia="仿宋" w:hAnsi="仿宋"/>
                <w:sz w:val="24"/>
              </w:rPr>
              <w:t>1</w:t>
            </w:r>
          </w:p>
        </w:tc>
        <w:tc>
          <w:tcPr>
            <w:tcW w:w="103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sz w:val="24"/>
              </w:rPr>
            </w:pPr>
            <w:r w:rsidRPr="003F10F6">
              <w:rPr>
                <w:rFonts w:ascii="仿宋" w:eastAsia="仿宋" w:hAnsi="仿宋"/>
                <w:b/>
                <w:sz w:val="24"/>
              </w:rPr>
              <w:t>行业匹配度</w:t>
            </w:r>
          </w:p>
        </w:tc>
        <w:tc>
          <w:tcPr>
            <w:tcW w:w="3394" w:type="pct"/>
            <w:shd w:val="clear" w:color="auto" w:fill="auto"/>
            <w:tcMar>
              <w:top w:w="15" w:type="dxa"/>
              <w:left w:w="15" w:type="dxa"/>
              <w:bottom w:w="0" w:type="dxa"/>
              <w:right w:w="15" w:type="dxa"/>
            </w:tcMar>
            <w:vAlign w:val="center"/>
          </w:tcPr>
          <w:p w:rsidR="00517313" w:rsidRPr="003F10F6" w:rsidRDefault="00517313" w:rsidP="00072043">
            <w:pPr>
              <w:spacing w:line="560" w:lineRule="exact"/>
              <w:rPr>
                <w:rFonts w:ascii="仿宋" w:eastAsia="仿宋" w:hAnsi="仿宋"/>
                <w:sz w:val="24"/>
              </w:rPr>
            </w:pPr>
            <w:r w:rsidRPr="003F10F6">
              <w:rPr>
                <w:rFonts w:ascii="仿宋" w:eastAsia="仿宋" w:hAnsi="仿宋"/>
                <w:sz w:val="24"/>
              </w:rPr>
              <w:t>监测主体属于成都市六大新经济形态或被认定为新经济行业企业</w:t>
            </w:r>
          </w:p>
        </w:tc>
      </w:tr>
      <w:tr w:rsidR="00517313" w:rsidRPr="003F10F6" w:rsidTr="00072043">
        <w:trPr>
          <w:trHeight w:val="690"/>
        </w:trPr>
        <w:tc>
          <w:tcPr>
            <w:tcW w:w="57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sz w:val="24"/>
              </w:rPr>
            </w:pPr>
            <w:r w:rsidRPr="003F10F6">
              <w:rPr>
                <w:rFonts w:ascii="仿宋" w:eastAsia="仿宋" w:hAnsi="仿宋"/>
                <w:sz w:val="24"/>
              </w:rPr>
              <w:t>2</w:t>
            </w:r>
          </w:p>
        </w:tc>
        <w:tc>
          <w:tcPr>
            <w:tcW w:w="103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sz w:val="24"/>
              </w:rPr>
            </w:pPr>
            <w:r w:rsidRPr="003F10F6">
              <w:rPr>
                <w:rFonts w:ascii="仿宋" w:eastAsia="仿宋" w:hAnsi="仿宋"/>
                <w:b/>
                <w:sz w:val="24"/>
              </w:rPr>
              <w:t>企业发展周期</w:t>
            </w:r>
          </w:p>
        </w:tc>
        <w:tc>
          <w:tcPr>
            <w:tcW w:w="3394" w:type="pct"/>
            <w:shd w:val="clear" w:color="auto" w:fill="auto"/>
            <w:tcMar>
              <w:top w:w="15" w:type="dxa"/>
              <w:left w:w="15" w:type="dxa"/>
              <w:bottom w:w="0" w:type="dxa"/>
              <w:right w:w="15" w:type="dxa"/>
            </w:tcMar>
            <w:vAlign w:val="center"/>
          </w:tcPr>
          <w:p w:rsidR="00517313" w:rsidRPr="003F10F6" w:rsidRDefault="00517313" w:rsidP="00072043">
            <w:pPr>
              <w:spacing w:line="560" w:lineRule="exact"/>
              <w:rPr>
                <w:rFonts w:ascii="仿宋" w:eastAsia="仿宋" w:hAnsi="仿宋"/>
                <w:sz w:val="24"/>
              </w:rPr>
            </w:pPr>
            <w:r w:rsidRPr="003F10F6">
              <w:rPr>
                <w:rFonts w:ascii="仿宋" w:eastAsia="仿宋" w:hAnsi="仿宋"/>
                <w:sz w:val="24"/>
              </w:rPr>
              <w:t>监测主体工商登记状态为存续/在营，根据数据存量，选取合适时间指标</w:t>
            </w:r>
          </w:p>
        </w:tc>
      </w:tr>
      <w:tr w:rsidR="00517313" w:rsidRPr="003F10F6" w:rsidTr="00072043">
        <w:trPr>
          <w:trHeight w:val="1598"/>
        </w:trPr>
        <w:tc>
          <w:tcPr>
            <w:tcW w:w="57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sz w:val="24"/>
              </w:rPr>
            </w:pPr>
            <w:r w:rsidRPr="003F10F6">
              <w:rPr>
                <w:rFonts w:ascii="仿宋" w:eastAsia="仿宋" w:hAnsi="仿宋"/>
                <w:sz w:val="24"/>
              </w:rPr>
              <w:t>3</w:t>
            </w:r>
          </w:p>
        </w:tc>
        <w:tc>
          <w:tcPr>
            <w:tcW w:w="1033" w:type="pct"/>
            <w:shd w:val="clear" w:color="auto" w:fill="auto"/>
            <w:tcMar>
              <w:top w:w="15" w:type="dxa"/>
              <w:left w:w="15" w:type="dxa"/>
              <w:bottom w:w="0" w:type="dxa"/>
              <w:right w:w="15" w:type="dxa"/>
            </w:tcMar>
            <w:vAlign w:val="center"/>
          </w:tcPr>
          <w:p w:rsidR="00517313" w:rsidRPr="003F10F6" w:rsidRDefault="00517313" w:rsidP="00072043">
            <w:pPr>
              <w:spacing w:line="560" w:lineRule="exact"/>
              <w:jc w:val="center"/>
              <w:rPr>
                <w:rFonts w:ascii="仿宋" w:eastAsia="仿宋" w:hAnsi="仿宋"/>
                <w:b/>
                <w:sz w:val="24"/>
              </w:rPr>
            </w:pPr>
            <w:r w:rsidRPr="003F10F6">
              <w:rPr>
                <w:rFonts w:ascii="仿宋" w:eastAsia="仿宋" w:hAnsi="仿宋"/>
                <w:b/>
                <w:sz w:val="24"/>
              </w:rPr>
              <w:t>企业规模</w:t>
            </w:r>
          </w:p>
        </w:tc>
        <w:tc>
          <w:tcPr>
            <w:tcW w:w="3394" w:type="pct"/>
            <w:shd w:val="clear" w:color="auto" w:fill="auto"/>
            <w:tcMar>
              <w:top w:w="15" w:type="dxa"/>
              <w:left w:w="15" w:type="dxa"/>
              <w:bottom w:w="0" w:type="dxa"/>
              <w:right w:w="15" w:type="dxa"/>
            </w:tcMar>
            <w:vAlign w:val="center"/>
          </w:tcPr>
          <w:p w:rsidR="00517313" w:rsidRPr="003F10F6" w:rsidRDefault="00517313" w:rsidP="00072043">
            <w:pPr>
              <w:spacing w:line="560" w:lineRule="exact"/>
              <w:rPr>
                <w:rFonts w:ascii="仿宋" w:eastAsia="仿宋" w:hAnsi="仿宋"/>
                <w:sz w:val="24"/>
              </w:rPr>
            </w:pPr>
            <w:r w:rsidRPr="003F10F6">
              <w:rPr>
                <w:rFonts w:ascii="仿宋" w:eastAsia="仿宋" w:hAnsi="仿宋"/>
                <w:sz w:val="24"/>
              </w:rPr>
              <w:t>1.监测主体注册资本；2.监测主体获得风投；3.监测主体是否为上市企业；4.监测主体属于独角兽、准独角兽或种子企业（以上标准选取使用）</w:t>
            </w:r>
          </w:p>
        </w:tc>
      </w:tr>
    </w:tbl>
    <w:p w:rsidR="00517313" w:rsidRPr="003F10F6" w:rsidRDefault="00517313" w:rsidP="00517313">
      <w:pPr>
        <w:spacing w:line="560" w:lineRule="exact"/>
        <w:ind w:firstLineChars="200" w:firstLine="482"/>
        <w:rPr>
          <w:rFonts w:ascii="仿宋" w:eastAsia="仿宋" w:hAnsi="仿宋"/>
          <w:b/>
          <w:sz w:val="24"/>
        </w:rPr>
      </w:pPr>
    </w:p>
    <w:p w:rsidR="00517313" w:rsidRPr="003F10F6" w:rsidRDefault="00517313" w:rsidP="00517313">
      <w:pPr>
        <w:spacing w:line="560" w:lineRule="exact"/>
        <w:ind w:firstLineChars="200" w:firstLine="482"/>
        <w:rPr>
          <w:rFonts w:ascii="仿宋" w:eastAsia="仿宋" w:hAnsi="仿宋"/>
          <w:b/>
          <w:sz w:val="24"/>
        </w:rPr>
      </w:pPr>
      <w:r w:rsidRPr="003F10F6">
        <w:rPr>
          <w:rFonts w:ascii="仿宋" w:eastAsia="仿宋" w:hAnsi="仿宋"/>
          <w:b/>
          <w:sz w:val="24"/>
        </w:rPr>
        <w:t>2.外迁预警模型调优。</w:t>
      </w:r>
      <w:r w:rsidRPr="003F10F6">
        <w:rPr>
          <w:rFonts w:ascii="仿宋" w:eastAsia="仿宋" w:hAnsi="仿宋"/>
          <w:bCs/>
          <w:sz w:val="24"/>
        </w:rPr>
        <w:t>针对新划定的监测企业范围，优化外迁预警指标，优化设计外迁预警模型指标体系，主要涉及以下内容：</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（1）优化对信息缺失企业的处理</w:t>
      </w:r>
      <w:r w:rsidRPr="003F10F6">
        <w:rPr>
          <w:rFonts w:ascii="仿宋" w:eastAsia="仿宋" w:hAnsi="仿宋"/>
          <w:sz w:val="24"/>
        </w:rPr>
        <w:t>。充分挖掘入围企业数据情况，设计企业信息丰富度阈值，将丰富度不足、信息缺失过多的企业剔除，避免因为数据缺失影响模型准确性和外迁信息有效性。</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bCs/>
          <w:sz w:val="24"/>
        </w:rPr>
        <w:t>（2）时间窗的遍历。</w:t>
      </w:r>
      <w:r w:rsidRPr="003F10F6">
        <w:rPr>
          <w:rFonts w:ascii="仿宋" w:eastAsia="仿宋" w:hAnsi="仿宋"/>
          <w:sz w:val="24"/>
        </w:rPr>
        <w:t>增加多个时间窗内的指标，分为1年期、半年期和3个月期，如近1年、半年、3个月的专利申请数量、人才招聘数量变化等，通过对于时间窗的遍历，更准确地考察企业在各时间区间内的行为变化。</w:t>
      </w:r>
    </w:p>
    <w:p w:rsidR="00517313" w:rsidRPr="003F10F6" w:rsidRDefault="00517313" w:rsidP="00517313">
      <w:pPr>
        <w:spacing w:line="560" w:lineRule="exact"/>
        <w:ind w:firstLineChars="200" w:firstLine="480"/>
        <w:rPr>
          <w:rFonts w:ascii="仿宋" w:eastAsia="仿宋" w:hAnsi="仿宋"/>
          <w:bCs/>
          <w:sz w:val="24"/>
        </w:rPr>
      </w:pPr>
      <w:r w:rsidRPr="003F10F6">
        <w:rPr>
          <w:rFonts w:ascii="仿宋" w:eastAsia="仿宋" w:hAnsi="仿宋"/>
          <w:bCs/>
          <w:sz w:val="24"/>
        </w:rPr>
        <w:lastRenderedPageBreak/>
        <w:t>（3）变动率指标构造。</w:t>
      </w:r>
      <w:r w:rsidRPr="003F10F6">
        <w:rPr>
          <w:rFonts w:ascii="仿宋" w:eastAsia="仿宋" w:hAnsi="仿宋"/>
          <w:sz w:val="24"/>
        </w:rPr>
        <w:t>构造能反映状态变化的变动率指标，如近一年股东数量增长比例、近一年对外投资企业数量增长比例、近一年注册资本数额增长比例、近一年招聘人数变化率、近一年专利数量变化率等。</w:t>
      </w:r>
    </w:p>
    <w:p w:rsidR="00517313" w:rsidRPr="003F10F6" w:rsidRDefault="00517313" w:rsidP="00517313">
      <w:pPr>
        <w:snapToGrid w:val="0"/>
        <w:spacing w:line="560" w:lineRule="exact"/>
        <w:ind w:firstLineChars="200" w:firstLine="480"/>
        <w:rPr>
          <w:rFonts w:ascii="仿宋" w:eastAsia="仿宋" w:hAnsi="仿宋"/>
          <w:sz w:val="24"/>
        </w:rPr>
      </w:pPr>
      <w:r w:rsidRPr="003F10F6">
        <w:rPr>
          <w:rFonts w:ascii="仿宋" w:eastAsia="仿宋" w:hAnsi="仿宋"/>
          <w:bCs/>
          <w:sz w:val="24"/>
        </w:rPr>
        <w:t>（4）统计量指标构造。</w:t>
      </w:r>
      <w:r w:rsidRPr="003F10F6">
        <w:rPr>
          <w:rFonts w:ascii="仿宋" w:eastAsia="仿宋" w:hAnsi="仿宋"/>
          <w:sz w:val="24"/>
        </w:rPr>
        <w:t>利用统计量构建指标，如计算指标的最大值、最小值、均值、方差等。如近一年招聘人数的最大值，近一年招聘人数方差等。</w:t>
      </w:r>
    </w:p>
    <w:p w:rsidR="00517313" w:rsidRPr="003F10F6" w:rsidRDefault="00517313" w:rsidP="00517313">
      <w:pPr>
        <w:snapToGrid w:val="0"/>
        <w:spacing w:line="560" w:lineRule="exact"/>
        <w:ind w:firstLineChars="200" w:firstLine="480"/>
        <w:rPr>
          <w:rFonts w:ascii="仿宋" w:eastAsia="仿宋" w:hAnsi="仿宋"/>
          <w:sz w:val="24"/>
        </w:rPr>
      </w:pPr>
      <w:r w:rsidRPr="003F10F6">
        <w:rPr>
          <w:rFonts w:ascii="仿宋" w:eastAsia="仿宋" w:hAnsi="仿宋" w:hint="eastAsia"/>
          <w:sz w:val="24"/>
        </w:rPr>
        <w:t>*（三）</w:t>
      </w:r>
      <w:r w:rsidRPr="003F10F6">
        <w:rPr>
          <w:rFonts w:ascii="仿宋" w:eastAsia="仿宋" w:hAnsi="仿宋"/>
          <w:sz w:val="24"/>
        </w:rPr>
        <w:t>团队要求</w:t>
      </w:r>
    </w:p>
    <w:p w:rsidR="00517313" w:rsidRPr="003F10F6" w:rsidRDefault="00517313" w:rsidP="00517313">
      <w:pPr>
        <w:spacing w:line="560" w:lineRule="exact"/>
        <w:ind w:firstLineChars="200" w:firstLine="480"/>
        <w:rPr>
          <w:rFonts w:ascii="仿宋" w:eastAsia="仿宋" w:hAnsi="仿宋"/>
          <w:sz w:val="24"/>
        </w:rPr>
      </w:pPr>
      <w:r w:rsidRPr="003F10F6">
        <w:rPr>
          <w:rFonts w:ascii="仿宋" w:eastAsia="仿宋" w:hAnsi="仿宋" w:hint="eastAsia"/>
          <w:sz w:val="24"/>
        </w:rPr>
        <w:t>团队</w:t>
      </w:r>
      <w:r w:rsidRPr="003F10F6">
        <w:rPr>
          <w:rFonts w:ascii="仿宋" w:eastAsia="仿宋" w:hAnsi="仿宋"/>
          <w:sz w:val="24"/>
        </w:rPr>
        <w:t>中包含至少1名经济学类专业</w:t>
      </w:r>
      <w:r w:rsidRPr="003F10F6">
        <w:rPr>
          <w:rFonts w:ascii="仿宋" w:eastAsia="仿宋" w:hAnsi="仿宋" w:hint="eastAsia"/>
          <w:sz w:val="24"/>
        </w:rPr>
        <w:t>硕士及以上</w:t>
      </w:r>
      <w:r w:rsidRPr="003F10F6">
        <w:rPr>
          <w:rFonts w:ascii="仿宋" w:eastAsia="仿宋" w:hAnsi="仿宋"/>
          <w:sz w:val="24"/>
        </w:rPr>
        <w:t>学历人员。</w:t>
      </w:r>
    </w:p>
    <w:p w:rsidR="00517313" w:rsidRPr="003F10F6" w:rsidRDefault="00517313" w:rsidP="00517313">
      <w:pPr>
        <w:spacing w:line="560" w:lineRule="exact"/>
        <w:ind w:firstLineChars="200" w:firstLine="480"/>
      </w:pPr>
      <w:r w:rsidRPr="003F10F6">
        <w:rPr>
          <w:rFonts w:ascii="仿宋" w:eastAsia="仿宋" w:hAnsi="仿宋" w:hint="eastAsia"/>
          <w:sz w:val="24"/>
        </w:rPr>
        <w:t>*（四）项目成果目标</w:t>
      </w:r>
    </w:p>
    <w:bookmarkEnd w:id="0"/>
    <w:p w:rsidR="00517313" w:rsidRPr="003F10F6" w:rsidRDefault="00517313" w:rsidP="00517313">
      <w:pPr>
        <w:pStyle w:val="a3"/>
        <w:spacing w:line="560" w:lineRule="exact"/>
        <w:ind w:firstLineChars="150" w:firstLine="360"/>
        <w:rPr>
          <w:rFonts w:ascii="仿宋" w:eastAsia="仿宋" w:hAnsi="仿宋"/>
          <w:sz w:val="24"/>
        </w:rPr>
      </w:pPr>
      <w:r w:rsidRPr="003F10F6">
        <w:rPr>
          <w:rFonts w:ascii="仿宋" w:eastAsia="仿宋" w:hAnsi="仿宋" w:hint="eastAsia"/>
          <w:sz w:val="24"/>
        </w:rPr>
        <w:t>1.</w:t>
      </w:r>
      <w:r w:rsidRPr="003F10F6">
        <w:rPr>
          <w:rFonts w:ascii="仿宋" w:eastAsia="仿宋" w:hAnsi="仿宋"/>
          <w:sz w:val="24"/>
        </w:rPr>
        <w:t>保障平台软硬件平稳运行，汇集2021年大数据监测平台所需的新经济数据。</w:t>
      </w:r>
    </w:p>
    <w:p w:rsidR="00517313" w:rsidRPr="003F10F6" w:rsidRDefault="00517313" w:rsidP="00517313">
      <w:pPr>
        <w:pStyle w:val="a3"/>
        <w:spacing w:line="560" w:lineRule="exact"/>
        <w:ind w:firstLineChars="150" w:firstLine="360"/>
        <w:rPr>
          <w:rFonts w:ascii="仿宋" w:eastAsia="仿宋" w:hAnsi="仿宋"/>
          <w:sz w:val="24"/>
        </w:rPr>
      </w:pPr>
      <w:r w:rsidRPr="003F10F6">
        <w:rPr>
          <w:rFonts w:ascii="仿宋" w:eastAsia="仿宋" w:hAnsi="仿宋" w:hint="eastAsia"/>
          <w:sz w:val="24"/>
        </w:rPr>
        <w:t>2.</w:t>
      </w:r>
      <w:r w:rsidRPr="003F10F6">
        <w:rPr>
          <w:rFonts w:ascii="仿宋" w:eastAsia="仿宋" w:hAnsi="仿宋"/>
          <w:sz w:val="24"/>
        </w:rPr>
        <w:t>形成更精准的外迁预警指标体系和评估模型。</w:t>
      </w:r>
    </w:p>
    <w:p w:rsidR="00517313" w:rsidRPr="003F10F6" w:rsidRDefault="00517313" w:rsidP="00517313">
      <w:pPr>
        <w:pStyle w:val="a3"/>
        <w:spacing w:line="560" w:lineRule="exact"/>
        <w:ind w:firstLineChars="150" w:firstLine="360"/>
        <w:rPr>
          <w:rFonts w:ascii="仿宋" w:eastAsia="仿宋" w:hAnsi="仿宋"/>
          <w:sz w:val="24"/>
        </w:rPr>
      </w:pPr>
      <w:r w:rsidRPr="003F10F6">
        <w:rPr>
          <w:rFonts w:ascii="仿宋" w:eastAsia="仿宋" w:hAnsi="仿宋" w:hint="eastAsia"/>
          <w:sz w:val="24"/>
        </w:rPr>
        <w:t>3.</w:t>
      </w:r>
      <w:r w:rsidRPr="003F10F6">
        <w:rPr>
          <w:rFonts w:ascii="仿宋" w:eastAsia="仿宋" w:hAnsi="仿宋"/>
          <w:sz w:val="24"/>
        </w:rPr>
        <w:t>形成2021年第二季度、7月、8月、第三季度、10月、11月、2021年度共7份新经济大数据监测报告。</w:t>
      </w:r>
    </w:p>
    <w:p w:rsidR="00517313" w:rsidRPr="003F10F6" w:rsidRDefault="00517313" w:rsidP="00517313">
      <w:pPr>
        <w:pStyle w:val="a3"/>
        <w:spacing w:line="560" w:lineRule="exact"/>
        <w:ind w:firstLineChars="0" w:firstLine="0"/>
        <w:rPr>
          <w:rFonts w:ascii="仿宋" w:eastAsia="仿宋" w:hAnsi="仿宋"/>
          <w:sz w:val="24"/>
        </w:rPr>
      </w:pPr>
    </w:p>
    <w:p w:rsidR="00517313" w:rsidRPr="003F10F6" w:rsidRDefault="00517313" w:rsidP="00517313">
      <w:pPr>
        <w:pStyle w:val="2"/>
        <w:spacing w:line="560" w:lineRule="exact"/>
        <w:ind w:firstLineChars="98" w:firstLine="236"/>
        <w:rPr>
          <w:rFonts w:ascii="仿宋" w:eastAsia="仿宋" w:hAnsi="仿宋"/>
          <w:b w:val="0"/>
          <w:sz w:val="24"/>
          <w:szCs w:val="24"/>
        </w:rPr>
      </w:pPr>
      <w:r w:rsidRPr="003F10F6">
        <w:rPr>
          <w:rFonts w:ascii="仿宋" w:eastAsia="仿宋" w:hAnsi="仿宋" w:hint="eastAsia"/>
          <w:sz w:val="24"/>
          <w:szCs w:val="24"/>
        </w:rPr>
        <w:t>*三.</w:t>
      </w:r>
      <w:r w:rsidRPr="003F10F6">
        <w:rPr>
          <w:rFonts w:ascii="仿宋" w:eastAsia="仿宋" w:hAnsi="仿宋" w:hint="eastAsia"/>
          <w:b w:val="0"/>
          <w:sz w:val="24"/>
          <w:szCs w:val="24"/>
        </w:rPr>
        <w:t>商务要求</w:t>
      </w:r>
    </w:p>
    <w:p w:rsidR="00517313" w:rsidRPr="003F10F6" w:rsidRDefault="00517313" w:rsidP="00517313">
      <w:pPr>
        <w:spacing w:line="560" w:lineRule="exact"/>
        <w:rPr>
          <w:rFonts w:ascii="仿宋" w:eastAsia="仿宋" w:hAnsi="仿宋"/>
          <w:sz w:val="24"/>
        </w:rPr>
      </w:pPr>
      <w:r w:rsidRPr="003F10F6">
        <w:rPr>
          <w:rFonts w:ascii="仿宋" w:eastAsia="仿宋" w:hAnsi="仿宋" w:hint="eastAsia"/>
          <w:sz w:val="24"/>
        </w:rPr>
        <w:t>1、服务时间：</w:t>
      </w:r>
    </w:p>
    <w:p w:rsidR="000E0075" w:rsidRDefault="000E0075" w:rsidP="000E0075">
      <w:pPr>
        <w:spacing w:line="560" w:lineRule="exact"/>
        <w:rPr>
          <w:rFonts w:ascii="仿宋" w:eastAsia="仿宋" w:hAnsi="仿宋"/>
          <w:sz w:val="24"/>
        </w:rPr>
      </w:pPr>
      <w:r w:rsidRPr="00B13C7A">
        <w:rPr>
          <w:rFonts w:ascii="仿宋" w:eastAsia="仿宋" w:hAnsi="仿宋" w:hint="eastAsia"/>
          <w:sz w:val="24"/>
        </w:rPr>
        <w:t>签订合同后至</w:t>
      </w:r>
      <w:r w:rsidRPr="00461932">
        <w:rPr>
          <w:rFonts w:ascii="仿宋" w:eastAsia="仿宋" w:hAnsi="仿宋" w:hint="eastAsia"/>
          <w:sz w:val="24"/>
        </w:rPr>
        <w:t>2022年3月31号</w:t>
      </w:r>
      <w:r>
        <w:rPr>
          <w:rFonts w:ascii="仿宋" w:eastAsia="仿宋" w:hAnsi="仿宋" w:hint="eastAsia"/>
          <w:sz w:val="24"/>
        </w:rPr>
        <w:t>。</w:t>
      </w:r>
    </w:p>
    <w:p w:rsidR="00517313" w:rsidRPr="003F10F6" w:rsidRDefault="00517313" w:rsidP="00517313">
      <w:pPr>
        <w:spacing w:line="560" w:lineRule="exact"/>
        <w:rPr>
          <w:rFonts w:ascii="仿宋" w:eastAsia="仿宋" w:hAnsi="仿宋"/>
          <w:sz w:val="24"/>
        </w:rPr>
      </w:pPr>
      <w:bookmarkStart w:id="2" w:name="_GoBack"/>
      <w:bookmarkEnd w:id="2"/>
      <w:r w:rsidRPr="003F10F6">
        <w:rPr>
          <w:rFonts w:ascii="仿宋" w:eastAsia="仿宋" w:hAnsi="仿宋"/>
          <w:sz w:val="24"/>
        </w:rPr>
        <w:t>其中，完成外迁预警监测主体筛选体系和模型调优需于2021年8月完成。每月完成软硬件维护、数据更新和报告编写</w:t>
      </w:r>
      <w:r w:rsidRPr="003F10F6">
        <w:rPr>
          <w:rFonts w:ascii="仿宋" w:eastAsia="仿宋" w:hAnsi="仿宋" w:hint="eastAsia"/>
          <w:sz w:val="24"/>
        </w:rPr>
        <w:t>。</w:t>
      </w:r>
    </w:p>
    <w:p w:rsidR="00517313" w:rsidRPr="003F10F6" w:rsidRDefault="00517313" w:rsidP="00517313">
      <w:pPr>
        <w:spacing w:line="560" w:lineRule="exact"/>
        <w:rPr>
          <w:rFonts w:ascii="仿宋" w:eastAsia="仿宋" w:hAnsi="仿宋"/>
          <w:sz w:val="24"/>
        </w:rPr>
      </w:pPr>
      <w:r w:rsidRPr="003F10F6">
        <w:rPr>
          <w:rFonts w:ascii="仿宋" w:eastAsia="仿宋" w:hAnsi="仿宋" w:hint="eastAsia"/>
          <w:sz w:val="24"/>
        </w:rPr>
        <w:t>2、付款方式：签订合同后付款</w:t>
      </w:r>
      <w:r w:rsidRPr="003F10F6">
        <w:rPr>
          <w:rFonts w:ascii="仿宋" w:eastAsia="仿宋" w:hAnsi="仿宋"/>
          <w:sz w:val="24"/>
        </w:rPr>
        <w:t>3</w:t>
      </w:r>
      <w:r w:rsidRPr="003F10F6">
        <w:rPr>
          <w:rFonts w:ascii="仿宋" w:eastAsia="仿宋" w:hAnsi="仿宋" w:hint="eastAsia"/>
          <w:sz w:val="24"/>
        </w:rPr>
        <w:t>0%，完成4份监测报告初稿后付款</w:t>
      </w:r>
      <w:r w:rsidRPr="003F10F6">
        <w:rPr>
          <w:rFonts w:ascii="仿宋" w:eastAsia="仿宋" w:hAnsi="仿宋"/>
          <w:sz w:val="24"/>
        </w:rPr>
        <w:t>4</w:t>
      </w:r>
      <w:r w:rsidRPr="003F10F6">
        <w:rPr>
          <w:rFonts w:ascii="仿宋" w:eastAsia="仿宋" w:hAnsi="仿宋" w:hint="eastAsia"/>
          <w:sz w:val="24"/>
        </w:rPr>
        <w:t>0%，验收通过后付尾款3</w:t>
      </w:r>
      <w:r w:rsidRPr="003F10F6">
        <w:rPr>
          <w:rFonts w:ascii="仿宋" w:eastAsia="仿宋" w:hAnsi="仿宋"/>
          <w:sz w:val="24"/>
        </w:rPr>
        <w:t>0</w:t>
      </w:r>
      <w:r w:rsidRPr="003F10F6">
        <w:rPr>
          <w:rFonts w:ascii="仿宋" w:eastAsia="仿宋" w:hAnsi="仿宋" w:hint="eastAsia"/>
          <w:sz w:val="24"/>
        </w:rPr>
        <w:t>%。</w:t>
      </w:r>
    </w:p>
    <w:p w:rsidR="00845080" w:rsidRPr="00517313" w:rsidRDefault="00517313" w:rsidP="00517313">
      <w:pPr>
        <w:spacing w:line="560" w:lineRule="exact"/>
        <w:rPr>
          <w:rFonts w:ascii="仿宋" w:eastAsia="仿宋" w:hAnsi="仿宋"/>
          <w:sz w:val="24"/>
        </w:rPr>
      </w:pPr>
      <w:r w:rsidRPr="003F10F6">
        <w:rPr>
          <w:rFonts w:ascii="仿宋" w:eastAsia="仿宋" w:hAnsi="仿宋" w:hint="eastAsia"/>
          <w:sz w:val="24"/>
        </w:rPr>
        <w:t>3、验收方式：本项目将严格按照《财政部关于进一步加强政府采购需求和履约验收管理的指导意见》（财库〔2016〕205号）等政府采购相关法律法规的要求进</w:t>
      </w:r>
      <w:r w:rsidRPr="003F10F6">
        <w:rPr>
          <w:rFonts w:ascii="仿宋" w:eastAsia="仿宋" w:hAnsi="仿宋" w:hint="eastAsia"/>
          <w:sz w:val="24"/>
        </w:rPr>
        <w:lastRenderedPageBreak/>
        <w:t>行验收。</w:t>
      </w:r>
    </w:p>
    <w:sectPr w:rsidR="00845080" w:rsidRPr="00517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67" w:rsidRDefault="00642767" w:rsidP="000E0075">
      <w:r>
        <w:separator/>
      </w:r>
    </w:p>
  </w:endnote>
  <w:endnote w:type="continuationSeparator" w:id="0">
    <w:p w:rsidR="00642767" w:rsidRDefault="00642767" w:rsidP="000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67" w:rsidRDefault="00642767" w:rsidP="000E0075">
      <w:r>
        <w:separator/>
      </w:r>
    </w:p>
  </w:footnote>
  <w:footnote w:type="continuationSeparator" w:id="0">
    <w:p w:rsidR="00642767" w:rsidRDefault="00642767" w:rsidP="000E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13"/>
    <w:rsid w:val="000E0075"/>
    <w:rsid w:val="00517313"/>
    <w:rsid w:val="00642767"/>
    <w:rsid w:val="0084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2BC033-8A2B-4FD3-A6AF-A247BCBE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13"/>
    <w:pPr>
      <w:widowControl w:val="0"/>
      <w:jc w:val="both"/>
    </w:pPr>
    <w:rPr>
      <w:rFonts w:ascii="Times New Roman" w:eastAsia="宋体" w:hAnsi="Times New Roman" w:cs="Times New Roman"/>
      <w:szCs w:val="24"/>
    </w:rPr>
  </w:style>
  <w:style w:type="paragraph" w:styleId="2">
    <w:name w:val="heading 2"/>
    <w:basedOn w:val="a"/>
    <w:next w:val="a"/>
    <w:link w:val="2Char"/>
    <w:qFormat/>
    <w:rsid w:val="0051731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517313"/>
    <w:rPr>
      <w:rFonts w:ascii="Arial" w:eastAsia="黑体" w:hAnsi="Arial" w:cs="Times New Roman"/>
      <w:b/>
      <w:bCs/>
      <w:sz w:val="32"/>
      <w:szCs w:val="32"/>
    </w:rPr>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517313"/>
    <w:pPr>
      <w:ind w:firstLineChars="200" w:firstLine="420"/>
    </w:pPr>
  </w:style>
  <w:style w:type="character" w:customStyle="1" w:styleId="Char">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3"/>
    <w:rsid w:val="00517313"/>
    <w:rPr>
      <w:rFonts w:ascii="Times New Roman" w:eastAsia="宋体" w:hAnsi="Times New Roman" w:cs="Times New Roman"/>
      <w:szCs w:val="24"/>
    </w:rPr>
  </w:style>
  <w:style w:type="paragraph" w:styleId="a4">
    <w:name w:val="Title"/>
    <w:basedOn w:val="a"/>
    <w:next w:val="a"/>
    <w:link w:val="Char0"/>
    <w:uiPriority w:val="10"/>
    <w:qFormat/>
    <w:rsid w:val="00517313"/>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517313"/>
    <w:rPr>
      <w:rFonts w:asciiTheme="majorHAnsi" w:eastAsia="宋体" w:hAnsiTheme="majorHAnsi" w:cstheme="majorBidi"/>
      <w:b/>
      <w:bCs/>
      <w:sz w:val="32"/>
      <w:szCs w:val="32"/>
    </w:rPr>
  </w:style>
  <w:style w:type="paragraph" w:styleId="a5">
    <w:name w:val="header"/>
    <w:basedOn w:val="a"/>
    <w:link w:val="Char1"/>
    <w:uiPriority w:val="99"/>
    <w:unhideWhenUsed/>
    <w:rsid w:val="000E00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E0075"/>
    <w:rPr>
      <w:rFonts w:ascii="Times New Roman" w:eastAsia="宋体" w:hAnsi="Times New Roman" w:cs="Times New Roman"/>
      <w:sz w:val="18"/>
      <w:szCs w:val="18"/>
    </w:rPr>
  </w:style>
  <w:style w:type="paragraph" w:styleId="a6">
    <w:name w:val="footer"/>
    <w:basedOn w:val="a"/>
    <w:link w:val="Char2"/>
    <w:uiPriority w:val="99"/>
    <w:unhideWhenUsed/>
    <w:rsid w:val="000E0075"/>
    <w:pPr>
      <w:tabs>
        <w:tab w:val="center" w:pos="4153"/>
        <w:tab w:val="right" w:pos="8306"/>
      </w:tabs>
      <w:snapToGrid w:val="0"/>
      <w:jc w:val="left"/>
    </w:pPr>
    <w:rPr>
      <w:sz w:val="18"/>
      <w:szCs w:val="18"/>
    </w:rPr>
  </w:style>
  <w:style w:type="character" w:customStyle="1" w:styleId="Char2">
    <w:name w:val="页脚 Char"/>
    <w:basedOn w:val="a0"/>
    <w:link w:val="a6"/>
    <w:uiPriority w:val="99"/>
    <w:rsid w:val="000E00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2</cp:revision>
  <dcterms:created xsi:type="dcterms:W3CDTF">2021-08-06T07:45:00Z</dcterms:created>
  <dcterms:modified xsi:type="dcterms:W3CDTF">2021-08-06T08:09:00Z</dcterms:modified>
</cp:coreProperties>
</file>