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185" w:rsidRPr="00AA3185" w:rsidRDefault="00AA3185" w:rsidP="00AA3185">
      <w:pPr>
        <w:spacing w:before="240" w:after="60"/>
        <w:jc w:val="center"/>
        <w:outlineLvl w:val="0"/>
        <w:rPr>
          <w:rFonts w:ascii="仿宋" w:eastAsia="仿宋" w:hAnsi="仿宋" w:cs="Times New Roman"/>
          <w:b/>
          <w:bCs/>
          <w:sz w:val="32"/>
          <w:szCs w:val="32"/>
        </w:rPr>
      </w:pPr>
      <w:r w:rsidRPr="00AA3185">
        <w:rPr>
          <w:rFonts w:ascii="仿宋" w:eastAsia="仿宋" w:hAnsi="仿宋" w:cs="Times New Roman" w:hint="eastAsia"/>
          <w:b/>
          <w:bCs/>
          <w:sz w:val="32"/>
          <w:szCs w:val="32"/>
        </w:rPr>
        <w:t>采购项目技术、服务、政府采购合同内容条款及其他商务要求</w:t>
      </w:r>
    </w:p>
    <w:p w:rsidR="00AA3185" w:rsidRPr="00AA3185" w:rsidRDefault="00AA3185" w:rsidP="00AA3185">
      <w:pPr>
        <w:spacing w:line="400" w:lineRule="exact"/>
        <w:ind w:firstLineChars="49" w:firstLine="118"/>
        <w:jc w:val="left"/>
        <w:rPr>
          <w:rFonts w:ascii="仿宋" w:eastAsia="仿宋" w:hAnsi="仿宋" w:cs="Times New Roman"/>
          <w:b/>
          <w:bCs/>
          <w:sz w:val="24"/>
          <w:szCs w:val="24"/>
        </w:rPr>
      </w:pPr>
      <w:bookmarkStart w:id="0" w:name="PO_默认文件内容_27"/>
      <w:r w:rsidRPr="00AA3185">
        <w:rPr>
          <w:rFonts w:ascii="仿宋" w:eastAsia="仿宋" w:hAnsi="仿宋" w:cs="Times New Roman" w:hint="eastAsia"/>
          <w:b/>
          <w:bCs/>
          <w:sz w:val="24"/>
          <w:szCs w:val="24"/>
        </w:rPr>
        <w:t>前提：</w:t>
      </w:r>
      <w:r w:rsidRPr="00AA3185">
        <w:rPr>
          <w:rFonts w:ascii="仿宋" w:eastAsia="仿宋" w:hAnsi="仿宋" w:cs="Times New Roman"/>
          <w:b/>
          <w:bCs/>
          <w:sz w:val="24"/>
          <w:szCs w:val="24"/>
        </w:rPr>
        <w:t>本章采购需求中标注“*”号的条款为本次磋商采购项目的实质性要求，供应商应全部满足。</w:t>
      </w:r>
    </w:p>
    <w:p w:rsidR="00AA3185" w:rsidRPr="00AA3185" w:rsidRDefault="00AA3185" w:rsidP="00AA3185">
      <w:pPr>
        <w:keepNext/>
        <w:keepLines/>
        <w:spacing w:before="260" w:after="260" w:line="400" w:lineRule="exact"/>
        <w:ind w:firstLineChars="98" w:firstLine="236"/>
        <w:outlineLvl w:val="1"/>
        <w:rPr>
          <w:rFonts w:ascii="仿宋" w:eastAsia="仿宋" w:hAnsi="仿宋" w:cs="Times New Roman"/>
          <w:bCs/>
          <w:sz w:val="24"/>
          <w:szCs w:val="24"/>
        </w:rPr>
      </w:pPr>
      <w:r w:rsidRPr="00AA3185">
        <w:rPr>
          <w:rFonts w:ascii="仿宋" w:eastAsia="仿宋" w:hAnsi="仿宋" w:cs="Times New Roman" w:hint="eastAsia"/>
          <w:b/>
          <w:bCs/>
          <w:sz w:val="24"/>
          <w:szCs w:val="24"/>
        </w:rPr>
        <w:t>一、</w:t>
      </w:r>
      <w:r w:rsidRPr="00AA3185">
        <w:rPr>
          <w:rFonts w:ascii="仿宋" w:eastAsia="仿宋" w:hAnsi="仿宋" w:cs="Times New Roman" w:hint="eastAsia"/>
          <w:bCs/>
          <w:sz w:val="24"/>
          <w:szCs w:val="24"/>
        </w:rPr>
        <w:t>项目概述</w:t>
      </w:r>
    </w:p>
    <w:p w:rsidR="00AA3185" w:rsidRPr="00AA3185" w:rsidRDefault="00AA3185" w:rsidP="00AA3185">
      <w:pPr>
        <w:spacing w:line="400" w:lineRule="exact"/>
        <w:ind w:firstLineChars="230" w:firstLine="552"/>
        <w:rPr>
          <w:rFonts w:ascii="仿宋" w:eastAsia="仿宋" w:hAnsi="仿宋" w:cs="Times New Roman"/>
          <w:bCs/>
          <w:sz w:val="24"/>
          <w:szCs w:val="24"/>
        </w:rPr>
      </w:pPr>
      <w:r w:rsidRPr="00AA3185">
        <w:rPr>
          <w:rFonts w:ascii="仿宋" w:eastAsia="仿宋" w:hAnsi="仿宋" w:cs="Times New Roman" w:hint="eastAsia"/>
          <w:bCs/>
          <w:sz w:val="24"/>
          <w:szCs w:val="24"/>
        </w:rPr>
        <w:t>为有效保障口岸安全，持续</w:t>
      </w:r>
      <w:proofErr w:type="gramStart"/>
      <w:r w:rsidRPr="00AA3185">
        <w:rPr>
          <w:rFonts w:ascii="仿宋" w:eastAsia="仿宋" w:hAnsi="仿宋" w:cs="Times New Roman" w:hint="eastAsia"/>
          <w:bCs/>
          <w:sz w:val="24"/>
          <w:szCs w:val="24"/>
        </w:rPr>
        <w:t>夯实口岸</w:t>
      </w:r>
      <w:proofErr w:type="gramEnd"/>
      <w:r w:rsidRPr="00AA3185">
        <w:rPr>
          <w:rFonts w:ascii="仿宋" w:eastAsia="仿宋" w:hAnsi="仿宋" w:cs="Times New Roman" w:hint="eastAsia"/>
          <w:bCs/>
          <w:sz w:val="24"/>
          <w:szCs w:val="24"/>
        </w:rPr>
        <w:t>相关领域疫情防控基础，按照区防疫指挥部和区进口非冷链集装箱货物疫情防控专班相关要求，通过政府购买服务方式对口岸、</w:t>
      </w:r>
      <w:proofErr w:type="gramStart"/>
      <w:r w:rsidRPr="00AA3185">
        <w:rPr>
          <w:rFonts w:ascii="仿宋" w:eastAsia="仿宋" w:hAnsi="仿宋" w:cs="Times New Roman" w:hint="eastAsia"/>
          <w:bCs/>
          <w:sz w:val="24"/>
          <w:szCs w:val="24"/>
        </w:rPr>
        <w:t>综保区</w:t>
      </w:r>
      <w:proofErr w:type="gramEnd"/>
      <w:r w:rsidRPr="00AA3185">
        <w:rPr>
          <w:rFonts w:ascii="仿宋" w:eastAsia="仿宋" w:hAnsi="仿宋" w:cs="Times New Roman" w:hint="eastAsia"/>
          <w:bCs/>
          <w:sz w:val="24"/>
          <w:szCs w:val="24"/>
        </w:rPr>
        <w:t>、中心站、海关等进口领域的人员、环境及货物开展核酸检测服务。</w:t>
      </w:r>
    </w:p>
    <w:p w:rsidR="00AA3185" w:rsidRPr="00AA3185" w:rsidRDefault="00AA3185" w:rsidP="00AA3185">
      <w:pPr>
        <w:spacing w:line="400" w:lineRule="exact"/>
        <w:ind w:firstLineChars="230" w:firstLine="552"/>
        <w:rPr>
          <w:rFonts w:ascii="仿宋" w:eastAsia="仿宋" w:hAnsi="仿宋" w:cs="Times New Roman"/>
          <w:bCs/>
          <w:sz w:val="24"/>
          <w:szCs w:val="24"/>
        </w:rPr>
      </w:pPr>
      <w:r w:rsidRPr="00AA3185">
        <w:rPr>
          <w:rFonts w:ascii="仿宋" w:eastAsia="仿宋" w:hAnsi="仿宋" w:cs="Times New Roman" w:hint="eastAsia"/>
          <w:bCs/>
          <w:sz w:val="24"/>
          <w:szCs w:val="24"/>
        </w:rPr>
        <w:t>预计检测项目及数量如下：</w:t>
      </w: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0"/>
        <w:gridCol w:w="1581"/>
        <w:gridCol w:w="1401"/>
        <w:gridCol w:w="1130"/>
        <w:gridCol w:w="1372"/>
        <w:gridCol w:w="1543"/>
      </w:tblGrid>
      <w:tr w:rsidR="00AA3185" w:rsidRPr="00AA3185" w:rsidTr="00BC3B85">
        <w:trPr>
          <w:trHeight w:val="860"/>
        </w:trPr>
        <w:tc>
          <w:tcPr>
            <w:tcW w:w="1270" w:type="dxa"/>
            <w:vMerge w:val="restart"/>
            <w:shd w:val="clear" w:color="auto" w:fill="auto"/>
            <w:tcMar>
              <w:top w:w="15" w:type="dxa"/>
              <w:left w:w="15" w:type="dxa"/>
              <w:right w:w="15" w:type="dxa"/>
            </w:tcMar>
            <w:vAlign w:val="center"/>
          </w:tcPr>
          <w:p w:rsidR="00AA3185" w:rsidRPr="00AA3185" w:rsidRDefault="00AA3185" w:rsidP="00AA3185">
            <w:pPr>
              <w:jc w:val="center"/>
              <w:rPr>
                <w:rFonts w:ascii="仿宋" w:eastAsia="仿宋" w:hAnsi="仿宋" w:cs="Times New Roman"/>
                <w:bCs/>
                <w:sz w:val="24"/>
                <w:szCs w:val="24"/>
              </w:rPr>
            </w:pPr>
            <w:r w:rsidRPr="00AA3185">
              <w:rPr>
                <w:rFonts w:ascii="仿宋" w:eastAsia="仿宋" w:hAnsi="仿宋" w:cs="Times New Roman" w:hint="eastAsia"/>
                <w:bCs/>
                <w:sz w:val="24"/>
                <w:szCs w:val="24"/>
              </w:rPr>
              <w:t>项目</w:t>
            </w:r>
          </w:p>
        </w:tc>
        <w:tc>
          <w:tcPr>
            <w:tcW w:w="4112" w:type="dxa"/>
            <w:gridSpan w:val="3"/>
            <w:shd w:val="clear" w:color="auto" w:fill="auto"/>
            <w:tcMar>
              <w:top w:w="15" w:type="dxa"/>
              <w:left w:w="15" w:type="dxa"/>
              <w:right w:w="15" w:type="dxa"/>
            </w:tcMar>
            <w:vAlign w:val="center"/>
          </w:tcPr>
          <w:p w:rsidR="00AA3185" w:rsidRPr="00AA3185" w:rsidRDefault="00AA3185" w:rsidP="00AA3185">
            <w:pPr>
              <w:widowControl/>
              <w:spacing w:line="300" w:lineRule="exact"/>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人员核酸检测</w:t>
            </w:r>
          </w:p>
        </w:tc>
        <w:tc>
          <w:tcPr>
            <w:tcW w:w="2915" w:type="dxa"/>
            <w:gridSpan w:val="2"/>
            <w:shd w:val="clear" w:color="auto" w:fill="auto"/>
            <w:tcMar>
              <w:top w:w="15" w:type="dxa"/>
              <w:left w:w="15" w:type="dxa"/>
              <w:right w:w="15" w:type="dxa"/>
            </w:tcMar>
            <w:vAlign w:val="center"/>
          </w:tcPr>
          <w:p w:rsidR="00AA3185" w:rsidRPr="00AA3185" w:rsidRDefault="00AA3185" w:rsidP="00AA3185">
            <w:pPr>
              <w:widowControl/>
              <w:spacing w:line="300" w:lineRule="exact"/>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环境、货物核酸检测</w:t>
            </w:r>
          </w:p>
        </w:tc>
      </w:tr>
      <w:tr w:rsidR="00AA3185" w:rsidRPr="00AA3185" w:rsidTr="00BC3B85">
        <w:trPr>
          <w:trHeight w:val="860"/>
        </w:trPr>
        <w:tc>
          <w:tcPr>
            <w:tcW w:w="1270" w:type="dxa"/>
            <w:vMerge/>
            <w:shd w:val="clear" w:color="auto" w:fill="auto"/>
            <w:tcMar>
              <w:top w:w="15" w:type="dxa"/>
              <w:left w:w="15" w:type="dxa"/>
              <w:right w:w="15" w:type="dxa"/>
            </w:tcMar>
            <w:vAlign w:val="center"/>
          </w:tcPr>
          <w:p w:rsidR="00AA3185" w:rsidRPr="00AA3185" w:rsidRDefault="00AA3185" w:rsidP="00AA3185">
            <w:pPr>
              <w:jc w:val="center"/>
              <w:rPr>
                <w:rFonts w:ascii="仿宋" w:eastAsia="仿宋" w:hAnsi="仿宋" w:cs="Times New Roman"/>
                <w:bCs/>
                <w:sz w:val="24"/>
                <w:szCs w:val="24"/>
              </w:rPr>
            </w:pPr>
          </w:p>
        </w:tc>
        <w:tc>
          <w:tcPr>
            <w:tcW w:w="1581" w:type="dxa"/>
            <w:shd w:val="clear" w:color="auto" w:fill="auto"/>
            <w:tcMar>
              <w:top w:w="15" w:type="dxa"/>
              <w:left w:w="15" w:type="dxa"/>
              <w:right w:w="15" w:type="dxa"/>
            </w:tcMar>
            <w:vAlign w:val="center"/>
          </w:tcPr>
          <w:p w:rsidR="00AA3185" w:rsidRPr="00AA3185" w:rsidRDefault="00AA3185" w:rsidP="00AA3185">
            <w:pPr>
              <w:widowControl/>
              <w:spacing w:line="300" w:lineRule="exact"/>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预计人数（人）</w:t>
            </w:r>
          </w:p>
        </w:tc>
        <w:tc>
          <w:tcPr>
            <w:tcW w:w="1401" w:type="dxa"/>
            <w:shd w:val="clear" w:color="auto" w:fill="auto"/>
            <w:tcMar>
              <w:top w:w="15" w:type="dxa"/>
              <w:left w:w="15" w:type="dxa"/>
              <w:right w:w="15" w:type="dxa"/>
            </w:tcMar>
            <w:vAlign w:val="center"/>
          </w:tcPr>
          <w:p w:rsidR="00AA3185" w:rsidRPr="00AA3185" w:rsidRDefault="00AA3185" w:rsidP="00AA3185">
            <w:pPr>
              <w:widowControl/>
              <w:spacing w:line="300" w:lineRule="exact"/>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现行频次要求</w:t>
            </w:r>
          </w:p>
        </w:tc>
        <w:tc>
          <w:tcPr>
            <w:tcW w:w="1130" w:type="dxa"/>
            <w:shd w:val="clear" w:color="auto" w:fill="auto"/>
            <w:tcMar>
              <w:top w:w="15" w:type="dxa"/>
              <w:left w:w="15" w:type="dxa"/>
              <w:right w:w="15" w:type="dxa"/>
            </w:tcMar>
            <w:vAlign w:val="center"/>
          </w:tcPr>
          <w:p w:rsidR="00AA3185" w:rsidRPr="00AA3185" w:rsidRDefault="00AA3185" w:rsidP="00AA3185">
            <w:pPr>
              <w:widowControl/>
              <w:spacing w:line="300" w:lineRule="exact"/>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预计全年检测数（例）</w:t>
            </w:r>
          </w:p>
        </w:tc>
        <w:tc>
          <w:tcPr>
            <w:tcW w:w="1372" w:type="dxa"/>
            <w:shd w:val="clear" w:color="auto" w:fill="auto"/>
            <w:tcMar>
              <w:top w:w="15" w:type="dxa"/>
              <w:left w:w="15" w:type="dxa"/>
              <w:right w:w="15" w:type="dxa"/>
            </w:tcMar>
            <w:vAlign w:val="center"/>
          </w:tcPr>
          <w:p w:rsidR="00AA3185" w:rsidRPr="00AA3185" w:rsidRDefault="00AA3185" w:rsidP="00AA3185">
            <w:pPr>
              <w:widowControl/>
              <w:spacing w:line="300" w:lineRule="exact"/>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现行频次</w:t>
            </w:r>
            <w:r w:rsidRPr="00AA3185">
              <w:rPr>
                <w:rFonts w:ascii="仿宋" w:eastAsia="仿宋" w:hAnsi="仿宋" w:cs="Times New Roman" w:hint="eastAsia"/>
                <w:bCs/>
                <w:sz w:val="24"/>
                <w:szCs w:val="24"/>
              </w:rPr>
              <w:br/>
              <w:t>要求</w:t>
            </w:r>
          </w:p>
        </w:tc>
        <w:tc>
          <w:tcPr>
            <w:tcW w:w="1543" w:type="dxa"/>
            <w:shd w:val="clear" w:color="auto" w:fill="auto"/>
            <w:tcMar>
              <w:top w:w="15" w:type="dxa"/>
              <w:left w:w="15" w:type="dxa"/>
              <w:right w:w="15" w:type="dxa"/>
            </w:tcMar>
            <w:vAlign w:val="center"/>
          </w:tcPr>
          <w:p w:rsidR="00AA3185" w:rsidRPr="00AA3185" w:rsidRDefault="00AA3185" w:rsidP="00AA3185">
            <w:pPr>
              <w:widowControl/>
              <w:spacing w:line="300" w:lineRule="exact"/>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预计全年环境/货物核酸数（例）</w:t>
            </w:r>
          </w:p>
        </w:tc>
      </w:tr>
      <w:tr w:rsidR="00AA3185" w:rsidRPr="00AA3185" w:rsidTr="00BC3B85">
        <w:trPr>
          <w:trHeight w:val="567"/>
        </w:trPr>
        <w:tc>
          <w:tcPr>
            <w:tcW w:w="1270" w:type="dxa"/>
            <w:shd w:val="clear" w:color="auto" w:fill="auto"/>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口岸</w:t>
            </w:r>
          </w:p>
        </w:tc>
        <w:tc>
          <w:tcPr>
            <w:tcW w:w="1581"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200</w:t>
            </w:r>
          </w:p>
        </w:tc>
        <w:tc>
          <w:tcPr>
            <w:tcW w:w="1401"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2天/次</w:t>
            </w:r>
          </w:p>
        </w:tc>
        <w:tc>
          <w:tcPr>
            <w:tcW w:w="1130"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180</w:t>
            </w:r>
          </w:p>
        </w:tc>
        <w:tc>
          <w:tcPr>
            <w:tcW w:w="1372" w:type="dxa"/>
            <w:vMerge w:val="restart"/>
            <w:shd w:val="clear" w:color="auto" w:fill="auto"/>
            <w:tcMar>
              <w:top w:w="15" w:type="dxa"/>
              <w:left w:w="15" w:type="dxa"/>
              <w:right w:w="15" w:type="dxa"/>
            </w:tcMar>
            <w:vAlign w:val="center"/>
          </w:tcPr>
          <w:p w:rsidR="00AA3185" w:rsidRPr="00AA3185" w:rsidRDefault="00AA3185" w:rsidP="00AA3185">
            <w:pPr>
              <w:widowControl/>
              <w:spacing w:line="300" w:lineRule="exact"/>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4-10月每月1次，11-次年3月每月2次</w:t>
            </w:r>
          </w:p>
        </w:tc>
        <w:tc>
          <w:tcPr>
            <w:tcW w:w="1543" w:type="dxa"/>
            <w:shd w:val="clear" w:color="auto" w:fill="auto"/>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200</w:t>
            </w:r>
          </w:p>
        </w:tc>
      </w:tr>
      <w:tr w:rsidR="00AA3185" w:rsidRPr="00AA3185" w:rsidTr="00BC3B85">
        <w:trPr>
          <w:trHeight w:val="567"/>
        </w:trPr>
        <w:tc>
          <w:tcPr>
            <w:tcW w:w="1270" w:type="dxa"/>
            <w:shd w:val="clear" w:color="auto" w:fill="auto"/>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proofErr w:type="gramStart"/>
            <w:r w:rsidRPr="00AA3185">
              <w:rPr>
                <w:rFonts w:ascii="仿宋" w:eastAsia="仿宋" w:hAnsi="仿宋" w:cs="Times New Roman" w:hint="eastAsia"/>
                <w:bCs/>
                <w:sz w:val="24"/>
                <w:szCs w:val="24"/>
              </w:rPr>
              <w:t>综保区</w:t>
            </w:r>
            <w:proofErr w:type="gramEnd"/>
          </w:p>
        </w:tc>
        <w:tc>
          <w:tcPr>
            <w:tcW w:w="1581"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600</w:t>
            </w:r>
          </w:p>
        </w:tc>
        <w:tc>
          <w:tcPr>
            <w:tcW w:w="1401"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2天/次</w:t>
            </w:r>
          </w:p>
        </w:tc>
        <w:tc>
          <w:tcPr>
            <w:tcW w:w="1130"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180</w:t>
            </w:r>
          </w:p>
        </w:tc>
        <w:tc>
          <w:tcPr>
            <w:tcW w:w="1372" w:type="dxa"/>
            <w:vMerge/>
            <w:shd w:val="clear" w:color="auto" w:fill="auto"/>
            <w:tcMar>
              <w:top w:w="15" w:type="dxa"/>
              <w:left w:w="15" w:type="dxa"/>
              <w:right w:w="15" w:type="dxa"/>
            </w:tcMar>
            <w:vAlign w:val="center"/>
          </w:tcPr>
          <w:p w:rsidR="00AA3185" w:rsidRPr="00AA3185" w:rsidRDefault="00AA3185" w:rsidP="00AA3185">
            <w:pPr>
              <w:jc w:val="center"/>
              <w:rPr>
                <w:rFonts w:ascii="仿宋" w:eastAsia="仿宋" w:hAnsi="仿宋" w:cs="Times New Roman"/>
                <w:bCs/>
                <w:sz w:val="24"/>
                <w:szCs w:val="24"/>
              </w:rPr>
            </w:pPr>
          </w:p>
        </w:tc>
        <w:tc>
          <w:tcPr>
            <w:tcW w:w="1543"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200</w:t>
            </w:r>
          </w:p>
        </w:tc>
      </w:tr>
      <w:tr w:rsidR="00AA3185" w:rsidRPr="00AA3185" w:rsidTr="00BC3B85">
        <w:trPr>
          <w:trHeight w:val="567"/>
        </w:trPr>
        <w:tc>
          <w:tcPr>
            <w:tcW w:w="1270" w:type="dxa"/>
            <w:shd w:val="clear" w:color="auto" w:fill="auto"/>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中心站</w:t>
            </w:r>
          </w:p>
        </w:tc>
        <w:tc>
          <w:tcPr>
            <w:tcW w:w="1581"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25</w:t>
            </w:r>
          </w:p>
        </w:tc>
        <w:tc>
          <w:tcPr>
            <w:tcW w:w="1401"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2天/次</w:t>
            </w:r>
          </w:p>
        </w:tc>
        <w:tc>
          <w:tcPr>
            <w:tcW w:w="1130"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180</w:t>
            </w:r>
          </w:p>
        </w:tc>
        <w:tc>
          <w:tcPr>
            <w:tcW w:w="1372" w:type="dxa"/>
            <w:vMerge/>
            <w:shd w:val="clear" w:color="auto" w:fill="auto"/>
            <w:tcMar>
              <w:top w:w="15" w:type="dxa"/>
              <w:left w:w="15" w:type="dxa"/>
              <w:right w:w="15" w:type="dxa"/>
            </w:tcMar>
            <w:vAlign w:val="center"/>
          </w:tcPr>
          <w:p w:rsidR="00AA3185" w:rsidRPr="00AA3185" w:rsidRDefault="00AA3185" w:rsidP="00AA3185">
            <w:pPr>
              <w:jc w:val="center"/>
              <w:rPr>
                <w:rFonts w:ascii="仿宋" w:eastAsia="仿宋" w:hAnsi="仿宋" w:cs="Times New Roman"/>
                <w:bCs/>
                <w:sz w:val="24"/>
                <w:szCs w:val="24"/>
              </w:rPr>
            </w:pPr>
          </w:p>
        </w:tc>
        <w:tc>
          <w:tcPr>
            <w:tcW w:w="1543"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200</w:t>
            </w:r>
          </w:p>
        </w:tc>
      </w:tr>
      <w:tr w:rsidR="00AA3185" w:rsidRPr="00AA3185" w:rsidTr="00BC3B85">
        <w:trPr>
          <w:trHeight w:val="567"/>
        </w:trPr>
        <w:tc>
          <w:tcPr>
            <w:tcW w:w="1270" w:type="dxa"/>
            <w:shd w:val="clear" w:color="auto" w:fill="auto"/>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proofErr w:type="gramStart"/>
            <w:r w:rsidRPr="00AA3185">
              <w:rPr>
                <w:rFonts w:ascii="仿宋" w:eastAsia="仿宋" w:hAnsi="仿宋" w:cs="Times New Roman" w:hint="eastAsia"/>
                <w:bCs/>
                <w:sz w:val="24"/>
                <w:szCs w:val="24"/>
              </w:rPr>
              <w:t>青白江</w:t>
            </w:r>
            <w:proofErr w:type="gramEnd"/>
            <w:r w:rsidRPr="00AA3185">
              <w:rPr>
                <w:rFonts w:ascii="仿宋" w:eastAsia="仿宋" w:hAnsi="仿宋" w:cs="Times New Roman" w:hint="eastAsia"/>
                <w:bCs/>
                <w:sz w:val="24"/>
                <w:szCs w:val="24"/>
              </w:rPr>
              <w:t>海关</w:t>
            </w:r>
          </w:p>
        </w:tc>
        <w:tc>
          <w:tcPr>
            <w:tcW w:w="1581"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20</w:t>
            </w:r>
          </w:p>
        </w:tc>
        <w:tc>
          <w:tcPr>
            <w:tcW w:w="1401"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2天/次</w:t>
            </w:r>
          </w:p>
        </w:tc>
        <w:tc>
          <w:tcPr>
            <w:tcW w:w="1130"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180</w:t>
            </w:r>
          </w:p>
        </w:tc>
        <w:tc>
          <w:tcPr>
            <w:tcW w:w="1372"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w:t>
            </w:r>
          </w:p>
        </w:tc>
        <w:tc>
          <w:tcPr>
            <w:tcW w:w="1543"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w:t>
            </w:r>
          </w:p>
        </w:tc>
      </w:tr>
      <w:tr w:rsidR="00AA3185" w:rsidRPr="00AA3185" w:rsidTr="00BC3B85">
        <w:trPr>
          <w:trHeight w:val="567"/>
        </w:trPr>
        <w:tc>
          <w:tcPr>
            <w:tcW w:w="1270" w:type="dxa"/>
            <w:shd w:val="clear" w:color="auto" w:fill="auto"/>
            <w:tcMar>
              <w:top w:w="15" w:type="dxa"/>
              <w:left w:w="15" w:type="dxa"/>
              <w:right w:w="15" w:type="dxa"/>
            </w:tcMar>
            <w:vAlign w:val="center"/>
          </w:tcPr>
          <w:p w:rsidR="00AA3185" w:rsidRPr="00AA3185" w:rsidRDefault="00AA3185" w:rsidP="00AA3185">
            <w:pPr>
              <w:widowControl/>
              <w:spacing w:line="300" w:lineRule="exact"/>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进口非冷链集装箱开箱企业</w:t>
            </w:r>
          </w:p>
        </w:tc>
        <w:tc>
          <w:tcPr>
            <w:tcW w:w="1581"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100</w:t>
            </w:r>
          </w:p>
        </w:tc>
        <w:tc>
          <w:tcPr>
            <w:tcW w:w="1401"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1周/次</w:t>
            </w:r>
          </w:p>
        </w:tc>
        <w:tc>
          <w:tcPr>
            <w:tcW w:w="1130"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48</w:t>
            </w:r>
          </w:p>
        </w:tc>
        <w:tc>
          <w:tcPr>
            <w:tcW w:w="1372" w:type="dxa"/>
            <w:shd w:val="clear" w:color="auto" w:fill="auto"/>
            <w:tcMar>
              <w:top w:w="15" w:type="dxa"/>
              <w:left w:w="15" w:type="dxa"/>
              <w:right w:w="15" w:type="dxa"/>
            </w:tcMar>
            <w:vAlign w:val="center"/>
          </w:tcPr>
          <w:p w:rsidR="00AA3185" w:rsidRPr="00AA3185" w:rsidRDefault="00AA3185" w:rsidP="00AA3185">
            <w:pPr>
              <w:widowControl/>
              <w:spacing w:line="300" w:lineRule="exact"/>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参考口岸、</w:t>
            </w:r>
            <w:proofErr w:type="gramStart"/>
            <w:r w:rsidRPr="00AA3185">
              <w:rPr>
                <w:rFonts w:ascii="仿宋" w:eastAsia="仿宋" w:hAnsi="仿宋" w:cs="Times New Roman" w:hint="eastAsia"/>
                <w:bCs/>
                <w:sz w:val="24"/>
                <w:szCs w:val="24"/>
              </w:rPr>
              <w:t>综保区</w:t>
            </w:r>
            <w:proofErr w:type="gramEnd"/>
            <w:r w:rsidRPr="00AA3185">
              <w:rPr>
                <w:rFonts w:ascii="仿宋" w:eastAsia="仿宋" w:hAnsi="仿宋" w:cs="Times New Roman" w:hint="eastAsia"/>
                <w:bCs/>
                <w:sz w:val="24"/>
                <w:szCs w:val="24"/>
              </w:rPr>
              <w:t>环境抽检频次</w:t>
            </w:r>
          </w:p>
        </w:tc>
        <w:tc>
          <w:tcPr>
            <w:tcW w:w="1543"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5000</w:t>
            </w:r>
          </w:p>
        </w:tc>
      </w:tr>
      <w:tr w:rsidR="00AA3185" w:rsidRPr="00AA3185" w:rsidTr="00BC3B85">
        <w:trPr>
          <w:trHeight w:val="567"/>
        </w:trPr>
        <w:tc>
          <w:tcPr>
            <w:tcW w:w="1270" w:type="dxa"/>
            <w:shd w:val="clear" w:color="auto" w:fill="auto"/>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进口车</w:t>
            </w:r>
          </w:p>
        </w:tc>
        <w:tc>
          <w:tcPr>
            <w:tcW w:w="1581"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w:t>
            </w:r>
          </w:p>
        </w:tc>
        <w:tc>
          <w:tcPr>
            <w:tcW w:w="1401"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w:t>
            </w:r>
          </w:p>
        </w:tc>
        <w:tc>
          <w:tcPr>
            <w:tcW w:w="1130"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w:t>
            </w:r>
          </w:p>
        </w:tc>
        <w:tc>
          <w:tcPr>
            <w:tcW w:w="1372" w:type="dxa"/>
            <w:shd w:val="clear" w:color="auto" w:fill="auto"/>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到货即测</w:t>
            </w:r>
          </w:p>
        </w:tc>
        <w:tc>
          <w:tcPr>
            <w:tcW w:w="1543" w:type="dxa"/>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10000</w:t>
            </w:r>
          </w:p>
        </w:tc>
      </w:tr>
      <w:tr w:rsidR="00AA3185" w:rsidRPr="00AA3185" w:rsidTr="00BC3B85">
        <w:trPr>
          <w:trHeight w:val="567"/>
        </w:trPr>
        <w:tc>
          <w:tcPr>
            <w:tcW w:w="1270" w:type="dxa"/>
            <w:shd w:val="clear" w:color="auto" w:fill="auto"/>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临时大规模</w:t>
            </w:r>
          </w:p>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核酸</w:t>
            </w:r>
          </w:p>
        </w:tc>
        <w:tc>
          <w:tcPr>
            <w:tcW w:w="4112" w:type="dxa"/>
            <w:gridSpan w:val="3"/>
            <w:shd w:val="clear" w:color="auto" w:fill="auto"/>
            <w:noWrap/>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1.3万人次</w:t>
            </w:r>
          </w:p>
        </w:tc>
        <w:tc>
          <w:tcPr>
            <w:tcW w:w="2915" w:type="dxa"/>
            <w:gridSpan w:val="2"/>
            <w:shd w:val="clear" w:color="auto" w:fill="auto"/>
            <w:tcMar>
              <w:top w:w="15" w:type="dxa"/>
              <w:left w:w="15" w:type="dxa"/>
              <w:right w:w="15" w:type="dxa"/>
            </w:tcMar>
            <w:vAlign w:val="center"/>
          </w:tcPr>
          <w:p w:rsidR="00AA3185" w:rsidRPr="00AA3185" w:rsidRDefault="00AA3185" w:rsidP="00AA3185">
            <w:pPr>
              <w:widowControl/>
              <w:jc w:val="center"/>
              <w:textAlignment w:val="center"/>
              <w:rPr>
                <w:rFonts w:ascii="仿宋" w:eastAsia="仿宋" w:hAnsi="仿宋" w:cs="Times New Roman"/>
                <w:bCs/>
                <w:sz w:val="24"/>
                <w:szCs w:val="24"/>
              </w:rPr>
            </w:pPr>
            <w:r w:rsidRPr="00AA3185">
              <w:rPr>
                <w:rFonts w:ascii="仿宋" w:eastAsia="仿宋" w:hAnsi="仿宋" w:cs="Times New Roman" w:hint="eastAsia"/>
                <w:bCs/>
                <w:sz w:val="24"/>
                <w:szCs w:val="24"/>
              </w:rPr>
              <w:t>1.4万点次</w:t>
            </w:r>
          </w:p>
        </w:tc>
      </w:tr>
    </w:tbl>
    <w:p w:rsidR="00AA3185" w:rsidRPr="00AA3185" w:rsidRDefault="00AA3185" w:rsidP="00AA3185">
      <w:pPr>
        <w:keepNext/>
        <w:keepLines/>
        <w:spacing w:before="260" w:after="260" w:line="400" w:lineRule="exact"/>
        <w:ind w:firstLineChars="98" w:firstLine="236"/>
        <w:outlineLvl w:val="1"/>
        <w:rPr>
          <w:rFonts w:ascii="仿宋" w:eastAsia="仿宋" w:hAnsi="仿宋" w:cs="Times New Roman"/>
          <w:b/>
          <w:bCs/>
          <w:sz w:val="24"/>
          <w:szCs w:val="24"/>
        </w:rPr>
      </w:pPr>
      <w:r w:rsidRPr="00AA3185">
        <w:rPr>
          <w:rFonts w:ascii="仿宋" w:eastAsia="仿宋" w:hAnsi="仿宋" w:cs="Times New Roman" w:hint="eastAsia"/>
          <w:b/>
          <w:bCs/>
          <w:sz w:val="24"/>
          <w:szCs w:val="24"/>
        </w:rPr>
        <w:t>二、</w:t>
      </w:r>
      <w:r w:rsidRPr="00AA3185">
        <w:rPr>
          <w:rFonts w:ascii="仿宋" w:eastAsia="仿宋" w:hAnsi="仿宋" w:cs="Times New Roman" w:hint="eastAsia"/>
          <w:bCs/>
          <w:sz w:val="24"/>
          <w:szCs w:val="24"/>
        </w:rPr>
        <w:t>项目清单</w:t>
      </w: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052"/>
        <w:gridCol w:w="4382"/>
        <w:gridCol w:w="1430"/>
        <w:gridCol w:w="914"/>
      </w:tblGrid>
      <w:tr w:rsidR="00AA3185" w:rsidRPr="00AA3185" w:rsidTr="00BC3B85">
        <w:trPr>
          <w:trHeight w:val="390"/>
          <w:jc w:val="center"/>
        </w:trPr>
        <w:tc>
          <w:tcPr>
            <w:tcW w:w="519" w:type="dxa"/>
            <w:vAlign w:val="center"/>
          </w:tcPr>
          <w:p w:rsidR="00AA3185" w:rsidRPr="00AA3185" w:rsidRDefault="00AA3185" w:rsidP="00AA3185">
            <w:pPr>
              <w:widowControl/>
              <w:spacing w:line="360" w:lineRule="atLeast"/>
              <w:jc w:val="center"/>
              <w:outlineLvl w:val="1"/>
              <w:rPr>
                <w:rFonts w:ascii="仿宋" w:eastAsia="仿宋" w:hAnsi="仿宋" w:cs="Times New Roman"/>
                <w:sz w:val="24"/>
                <w:szCs w:val="24"/>
              </w:rPr>
            </w:pPr>
            <w:r w:rsidRPr="00AA3185">
              <w:rPr>
                <w:rFonts w:ascii="仿宋" w:eastAsia="仿宋" w:hAnsi="仿宋" w:cs="Times New Roman" w:hint="eastAsia"/>
                <w:sz w:val="24"/>
                <w:szCs w:val="24"/>
              </w:rPr>
              <w:t>序号</w:t>
            </w:r>
          </w:p>
        </w:tc>
        <w:tc>
          <w:tcPr>
            <w:tcW w:w="1052" w:type="dxa"/>
            <w:vAlign w:val="center"/>
          </w:tcPr>
          <w:p w:rsidR="00AA3185" w:rsidRPr="00AA3185" w:rsidRDefault="00AA3185" w:rsidP="00AA3185">
            <w:pPr>
              <w:widowControl/>
              <w:spacing w:line="360" w:lineRule="atLeast"/>
              <w:jc w:val="center"/>
              <w:outlineLvl w:val="1"/>
              <w:rPr>
                <w:rFonts w:ascii="仿宋" w:eastAsia="仿宋" w:hAnsi="仿宋" w:cs="Times New Roman"/>
                <w:sz w:val="24"/>
                <w:szCs w:val="24"/>
              </w:rPr>
            </w:pPr>
            <w:proofErr w:type="gramStart"/>
            <w:r w:rsidRPr="00AA3185">
              <w:rPr>
                <w:rFonts w:ascii="仿宋" w:eastAsia="仿宋" w:hAnsi="仿宋" w:cs="Times New Roman" w:hint="eastAsia"/>
                <w:sz w:val="24"/>
                <w:szCs w:val="24"/>
              </w:rPr>
              <w:t>包号</w:t>
            </w:r>
            <w:proofErr w:type="gramEnd"/>
          </w:p>
        </w:tc>
        <w:tc>
          <w:tcPr>
            <w:tcW w:w="4382" w:type="dxa"/>
            <w:vAlign w:val="center"/>
          </w:tcPr>
          <w:p w:rsidR="00AA3185" w:rsidRPr="00AA3185" w:rsidRDefault="00AA3185" w:rsidP="00AA3185">
            <w:pPr>
              <w:widowControl/>
              <w:spacing w:line="360" w:lineRule="atLeast"/>
              <w:jc w:val="center"/>
              <w:outlineLvl w:val="1"/>
              <w:rPr>
                <w:rFonts w:ascii="仿宋" w:eastAsia="仿宋" w:hAnsi="仿宋" w:cs="Times New Roman"/>
                <w:sz w:val="24"/>
                <w:szCs w:val="24"/>
              </w:rPr>
            </w:pPr>
            <w:r w:rsidRPr="00AA3185">
              <w:rPr>
                <w:rFonts w:ascii="仿宋" w:eastAsia="仿宋" w:hAnsi="仿宋" w:cs="Times New Roman" w:hint="eastAsia"/>
                <w:sz w:val="24"/>
                <w:szCs w:val="24"/>
              </w:rPr>
              <w:t>标的名称</w:t>
            </w:r>
          </w:p>
        </w:tc>
        <w:tc>
          <w:tcPr>
            <w:tcW w:w="1430" w:type="dxa"/>
          </w:tcPr>
          <w:p w:rsidR="00AA3185" w:rsidRPr="00AA3185" w:rsidRDefault="00AA3185" w:rsidP="00AA3185">
            <w:pPr>
              <w:widowControl/>
              <w:spacing w:line="360" w:lineRule="atLeast"/>
              <w:jc w:val="center"/>
              <w:outlineLvl w:val="1"/>
              <w:rPr>
                <w:rFonts w:ascii="仿宋" w:eastAsia="仿宋" w:hAnsi="仿宋" w:cs="Times New Roman"/>
                <w:sz w:val="24"/>
                <w:szCs w:val="24"/>
              </w:rPr>
            </w:pPr>
            <w:r w:rsidRPr="00AA3185">
              <w:rPr>
                <w:rFonts w:ascii="仿宋" w:eastAsia="仿宋" w:hAnsi="仿宋" w:cs="Times New Roman" w:hint="eastAsia"/>
                <w:sz w:val="24"/>
                <w:szCs w:val="24"/>
              </w:rPr>
              <w:t>所属行业</w:t>
            </w:r>
          </w:p>
        </w:tc>
        <w:tc>
          <w:tcPr>
            <w:tcW w:w="914" w:type="dxa"/>
            <w:vAlign w:val="center"/>
          </w:tcPr>
          <w:p w:rsidR="00AA3185" w:rsidRPr="00AA3185" w:rsidRDefault="00AA3185" w:rsidP="00AA3185">
            <w:pPr>
              <w:widowControl/>
              <w:spacing w:line="360" w:lineRule="atLeast"/>
              <w:jc w:val="center"/>
              <w:outlineLvl w:val="1"/>
              <w:rPr>
                <w:rFonts w:ascii="仿宋" w:eastAsia="仿宋" w:hAnsi="仿宋" w:cs="Times New Roman"/>
                <w:sz w:val="24"/>
                <w:szCs w:val="24"/>
              </w:rPr>
            </w:pPr>
            <w:r w:rsidRPr="00AA3185">
              <w:rPr>
                <w:rFonts w:ascii="仿宋" w:eastAsia="仿宋" w:hAnsi="仿宋" w:cs="Times New Roman" w:hint="eastAsia"/>
                <w:sz w:val="24"/>
                <w:szCs w:val="24"/>
              </w:rPr>
              <w:t>数量</w:t>
            </w:r>
          </w:p>
        </w:tc>
      </w:tr>
      <w:tr w:rsidR="00AA3185" w:rsidRPr="00AA3185" w:rsidTr="00BC3B85">
        <w:trPr>
          <w:trHeight w:val="374"/>
          <w:jc w:val="center"/>
        </w:trPr>
        <w:tc>
          <w:tcPr>
            <w:tcW w:w="519" w:type="dxa"/>
          </w:tcPr>
          <w:p w:rsidR="00AA3185" w:rsidRPr="00AA3185" w:rsidRDefault="00AA3185" w:rsidP="00AA3185">
            <w:pPr>
              <w:widowControl/>
              <w:spacing w:line="360" w:lineRule="atLeast"/>
              <w:jc w:val="center"/>
              <w:outlineLvl w:val="1"/>
              <w:rPr>
                <w:rFonts w:ascii="仿宋" w:eastAsia="仿宋" w:hAnsi="仿宋" w:cs="Times New Roman"/>
                <w:sz w:val="24"/>
                <w:szCs w:val="24"/>
              </w:rPr>
            </w:pPr>
            <w:r w:rsidRPr="00AA3185">
              <w:rPr>
                <w:rFonts w:ascii="仿宋" w:eastAsia="仿宋" w:hAnsi="仿宋" w:cs="Times New Roman" w:hint="eastAsia"/>
                <w:sz w:val="24"/>
                <w:szCs w:val="24"/>
              </w:rPr>
              <w:t>1</w:t>
            </w:r>
          </w:p>
        </w:tc>
        <w:tc>
          <w:tcPr>
            <w:tcW w:w="1052" w:type="dxa"/>
          </w:tcPr>
          <w:p w:rsidR="00AA3185" w:rsidRPr="00AA3185" w:rsidRDefault="00AA3185" w:rsidP="00AA3185">
            <w:pPr>
              <w:widowControl/>
              <w:spacing w:line="360" w:lineRule="atLeast"/>
              <w:jc w:val="center"/>
              <w:outlineLvl w:val="1"/>
              <w:rPr>
                <w:rFonts w:ascii="仿宋" w:eastAsia="仿宋" w:hAnsi="仿宋" w:cs="Times New Roman"/>
                <w:sz w:val="24"/>
                <w:szCs w:val="24"/>
              </w:rPr>
            </w:pPr>
            <w:r w:rsidRPr="00AA3185">
              <w:rPr>
                <w:rFonts w:ascii="仿宋" w:eastAsia="仿宋" w:hAnsi="仿宋" w:cs="Times New Roman" w:hint="eastAsia"/>
                <w:sz w:val="24"/>
                <w:szCs w:val="24"/>
              </w:rPr>
              <w:t>0</w:t>
            </w:r>
            <w:r w:rsidRPr="00AA3185">
              <w:rPr>
                <w:rFonts w:ascii="仿宋" w:eastAsia="仿宋" w:hAnsi="仿宋" w:cs="Times New Roman"/>
                <w:sz w:val="24"/>
                <w:szCs w:val="24"/>
              </w:rPr>
              <w:t>1</w:t>
            </w:r>
          </w:p>
        </w:tc>
        <w:tc>
          <w:tcPr>
            <w:tcW w:w="4382" w:type="dxa"/>
          </w:tcPr>
          <w:p w:rsidR="00AA3185" w:rsidRPr="00AA3185" w:rsidRDefault="00AA3185" w:rsidP="00AA3185">
            <w:pPr>
              <w:widowControl/>
              <w:spacing w:line="360" w:lineRule="atLeast"/>
              <w:jc w:val="left"/>
              <w:outlineLvl w:val="1"/>
              <w:rPr>
                <w:rFonts w:ascii="仿宋" w:eastAsia="仿宋" w:hAnsi="仿宋" w:cs="Times New Roman"/>
                <w:sz w:val="24"/>
                <w:szCs w:val="24"/>
              </w:rPr>
            </w:pPr>
            <w:r w:rsidRPr="00AA3185">
              <w:rPr>
                <w:rFonts w:ascii="仿宋" w:eastAsia="仿宋" w:hAnsi="仿宋" w:cs="Times New Roman" w:hint="eastAsia"/>
                <w:sz w:val="24"/>
                <w:szCs w:val="24"/>
              </w:rPr>
              <w:t>成都国际铁路港经济技术开发区管理委</w:t>
            </w:r>
            <w:r w:rsidRPr="00AA3185">
              <w:rPr>
                <w:rFonts w:ascii="仿宋" w:eastAsia="仿宋" w:hAnsi="仿宋" w:cs="Times New Roman" w:hint="eastAsia"/>
                <w:sz w:val="24"/>
                <w:szCs w:val="24"/>
              </w:rPr>
              <w:lastRenderedPageBreak/>
              <w:t>员会购买2022年度新型冠状病毒核酸检测服务项目</w:t>
            </w:r>
          </w:p>
        </w:tc>
        <w:tc>
          <w:tcPr>
            <w:tcW w:w="1430" w:type="dxa"/>
          </w:tcPr>
          <w:p w:rsidR="00AA3185" w:rsidRPr="00AA3185" w:rsidRDefault="00AA3185" w:rsidP="00AA3185">
            <w:pPr>
              <w:widowControl/>
              <w:spacing w:line="360" w:lineRule="atLeast"/>
              <w:jc w:val="left"/>
              <w:outlineLvl w:val="1"/>
              <w:rPr>
                <w:rFonts w:ascii="仿宋" w:eastAsia="仿宋" w:hAnsi="仿宋" w:cs="Times New Roman"/>
                <w:sz w:val="24"/>
                <w:szCs w:val="24"/>
              </w:rPr>
            </w:pPr>
            <w:r w:rsidRPr="00AA3185">
              <w:rPr>
                <w:rFonts w:ascii="仿宋" w:eastAsia="仿宋" w:hAnsi="仿宋" w:cs="Times New Roman" w:hint="eastAsia"/>
                <w:sz w:val="24"/>
                <w:szCs w:val="24"/>
              </w:rPr>
              <w:lastRenderedPageBreak/>
              <w:t>其他未列明</w:t>
            </w:r>
            <w:r w:rsidRPr="00AA3185">
              <w:rPr>
                <w:rFonts w:ascii="仿宋" w:eastAsia="仿宋" w:hAnsi="仿宋" w:cs="Times New Roman" w:hint="eastAsia"/>
                <w:sz w:val="24"/>
                <w:szCs w:val="24"/>
              </w:rPr>
              <w:lastRenderedPageBreak/>
              <w:t>行业</w:t>
            </w:r>
          </w:p>
        </w:tc>
        <w:tc>
          <w:tcPr>
            <w:tcW w:w="914" w:type="dxa"/>
          </w:tcPr>
          <w:p w:rsidR="00AA3185" w:rsidRPr="00AA3185" w:rsidRDefault="00AA3185" w:rsidP="00AA3185">
            <w:pPr>
              <w:widowControl/>
              <w:spacing w:line="360" w:lineRule="atLeast"/>
              <w:jc w:val="center"/>
              <w:outlineLvl w:val="1"/>
              <w:rPr>
                <w:rFonts w:ascii="仿宋" w:eastAsia="仿宋" w:hAnsi="仿宋" w:cs="Times New Roman"/>
                <w:sz w:val="24"/>
                <w:szCs w:val="24"/>
              </w:rPr>
            </w:pPr>
            <w:r w:rsidRPr="00AA3185">
              <w:rPr>
                <w:rFonts w:ascii="仿宋" w:eastAsia="仿宋" w:hAnsi="仿宋" w:cs="Times New Roman" w:hint="eastAsia"/>
                <w:sz w:val="24"/>
                <w:szCs w:val="24"/>
              </w:rPr>
              <w:lastRenderedPageBreak/>
              <w:t>1</w:t>
            </w:r>
          </w:p>
        </w:tc>
      </w:tr>
    </w:tbl>
    <w:p w:rsidR="00AA3185" w:rsidRPr="00AA3185" w:rsidRDefault="00AA3185" w:rsidP="00AA3185">
      <w:pPr>
        <w:keepNext/>
        <w:keepLines/>
        <w:spacing w:before="260" w:after="260" w:line="400" w:lineRule="exact"/>
        <w:ind w:firstLineChars="98" w:firstLine="236"/>
        <w:outlineLvl w:val="1"/>
        <w:rPr>
          <w:rFonts w:ascii="仿宋" w:eastAsia="仿宋" w:hAnsi="仿宋" w:cs="Times New Roman"/>
          <w:bCs/>
          <w:sz w:val="24"/>
          <w:szCs w:val="24"/>
        </w:rPr>
      </w:pPr>
      <w:r w:rsidRPr="00AA3185">
        <w:rPr>
          <w:rFonts w:ascii="仿宋" w:eastAsia="仿宋" w:hAnsi="仿宋" w:cs="Times New Roman" w:hint="eastAsia"/>
          <w:b/>
          <w:bCs/>
          <w:sz w:val="24"/>
          <w:szCs w:val="24"/>
        </w:rPr>
        <w:lastRenderedPageBreak/>
        <w:t>*三、</w:t>
      </w:r>
      <w:r w:rsidRPr="00AA3185">
        <w:rPr>
          <w:rFonts w:ascii="仿宋" w:eastAsia="仿宋" w:hAnsi="仿宋" w:cs="Times New Roman" w:hint="eastAsia"/>
          <w:bCs/>
          <w:sz w:val="24"/>
          <w:szCs w:val="24"/>
        </w:rPr>
        <w:t>商务要求</w:t>
      </w:r>
    </w:p>
    <w:bookmarkEnd w:id="0"/>
    <w:p w:rsidR="00AA3185" w:rsidRPr="00AA3185" w:rsidRDefault="00AA3185" w:rsidP="00AA3185">
      <w:pPr>
        <w:tabs>
          <w:tab w:val="left" w:pos="7665"/>
        </w:tabs>
        <w:spacing w:line="400" w:lineRule="exact"/>
        <w:ind w:firstLine="480"/>
        <w:rPr>
          <w:rFonts w:ascii="仿宋" w:eastAsia="仿宋" w:hAnsi="仿宋" w:cs="Times New Roman"/>
          <w:sz w:val="24"/>
          <w:szCs w:val="24"/>
        </w:rPr>
      </w:pPr>
      <w:r w:rsidRPr="00AA3185">
        <w:rPr>
          <w:rFonts w:ascii="仿宋" w:eastAsia="仿宋" w:hAnsi="仿宋" w:cs="Times New Roman" w:hint="eastAsia"/>
          <w:sz w:val="24"/>
          <w:szCs w:val="24"/>
        </w:rPr>
        <w:t>1、服务期限：合同签订之日起至202</w:t>
      </w:r>
      <w:r w:rsidRPr="00AA3185">
        <w:rPr>
          <w:rFonts w:ascii="仿宋" w:eastAsia="仿宋" w:hAnsi="仿宋" w:cs="Times New Roman"/>
          <w:sz w:val="24"/>
          <w:szCs w:val="24"/>
        </w:rPr>
        <w:t>2</w:t>
      </w:r>
      <w:r w:rsidRPr="00AA3185">
        <w:rPr>
          <w:rFonts w:ascii="仿宋" w:eastAsia="仿宋" w:hAnsi="仿宋" w:cs="Times New Roman" w:hint="eastAsia"/>
          <w:sz w:val="24"/>
          <w:szCs w:val="24"/>
        </w:rPr>
        <w:t>年</w:t>
      </w:r>
      <w:r w:rsidRPr="00AA3185">
        <w:rPr>
          <w:rFonts w:ascii="仿宋" w:eastAsia="仿宋" w:hAnsi="仿宋" w:cs="Times New Roman"/>
          <w:sz w:val="24"/>
          <w:szCs w:val="24"/>
        </w:rPr>
        <w:t>12</w:t>
      </w:r>
      <w:r w:rsidRPr="00AA3185">
        <w:rPr>
          <w:rFonts w:ascii="仿宋" w:eastAsia="仿宋" w:hAnsi="仿宋" w:cs="Times New Roman" w:hint="eastAsia"/>
          <w:sz w:val="24"/>
          <w:szCs w:val="24"/>
        </w:rPr>
        <w:t>月</w:t>
      </w:r>
      <w:r w:rsidRPr="00AA3185">
        <w:rPr>
          <w:rFonts w:ascii="仿宋" w:eastAsia="仿宋" w:hAnsi="仿宋" w:cs="Times New Roman"/>
          <w:sz w:val="24"/>
          <w:szCs w:val="24"/>
        </w:rPr>
        <w:t>31</w:t>
      </w:r>
      <w:r w:rsidRPr="00AA3185">
        <w:rPr>
          <w:rFonts w:ascii="仿宋" w:eastAsia="仿宋" w:hAnsi="仿宋" w:cs="Times New Roman" w:hint="eastAsia"/>
          <w:sz w:val="24"/>
          <w:szCs w:val="24"/>
        </w:rPr>
        <w:t>日。</w:t>
      </w:r>
    </w:p>
    <w:p w:rsidR="00AA3185" w:rsidRPr="00AA3185" w:rsidRDefault="00AA3185" w:rsidP="00AA3185">
      <w:pPr>
        <w:tabs>
          <w:tab w:val="left" w:pos="7665"/>
        </w:tabs>
        <w:spacing w:line="400" w:lineRule="exact"/>
        <w:ind w:firstLine="480"/>
        <w:rPr>
          <w:rFonts w:ascii="仿宋" w:eastAsia="仿宋" w:hAnsi="仿宋" w:cs="Times New Roman"/>
          <w:sz w:val="24"/>
          <w:szCs w:val="24"/>
        </w:rPr>
      </w:pPr>
      <w:r w:rsidRPr="00AA3185">
        <w:rPr>
          <w:rFonts w:ascii="仿宋" w:eastAsia="仿宋" w:hAnsi="仿宋" w:cs="Times New Roman" w:hint="eastAsia"/>
          <w:sz w:val="24"/>
          <w:szCs w:val="24"/>
        </w:rPr>
        <w:t>2、服务地点：成都市</w:t>
      </w:r>
      <w:proofErr w:type="gramStart"/>
      <w:r w:rsidRPr="00AA3185">
        <w:rPr>
          <w:rFonts w:ascii="仿宋" w:eastAsia="仿宋" w:hAnsi="仿宋" w:cs="Times New Roman" w:hint="eastAsia"/>
          <w:sz w:val="24"/>
          <w:szCs w:val="24"/>
        </w:rPr>
        <w:t>青白江</w:t>
      </w:r>
      <w:proofErr w:type="gramEnd"/>
      <w:r w:rsidRPr="00AA3185">
        <w:rPr>
          <w:rFonts w:ascii="仿宋" w:eastAsia="仿宋" w:hAnsi="仿宋" w:cs="Times New Roman" w:hint="eastAsia"/>
          <w:sz w:val="24"/>
          <w:szCs w:val="24"/>
        </w:rPr>
        <w:t>区内。</w:t>
      </w:r>
    </w:p>
    <w:p w:rsidR="00AA3185" w:rsidRPr="00AA3185" w:rsidRDefault="00AA3185" w:rsidP="00AA3185">
      <w:pPr>
        <w:tabs>
          <w:tab w:val="left" w:pos="7665"/>
        </w:tabs>
        <w:spacing w:line="400" w:lineRule="exact"/>
        <w:ind w:firstLine="480"/>
        <w:rPr>
          <w:rFonts w:ascii="仿宋" w:eastAsia="仿宋" w:hAnsi="仿宋" w:cs="Times New Roman"/>
          <w:sz w:val="24"/>
          <w:szCs w:val="24"/>
        </w:rPr>
      </w:pPr>
      <w:r w:rsidRPr="00AA3185">
        <w:rPr>
          <w:rFonts w:ascii="仿宋" w:eastAsia="仿宋" w:hAnsi="仿宋" w:cs="Times New Roman"/>
          <w:sz w:val="24"/>
          <w:szCs w:val="24"/>
        </w:rPr>
        <w:t>3</w:t>
      </w:r>
      <w:r w:rsidRPr="00AA3185">
        <w:rPr>
          <w:rFonts w:ascii="仿宋" w:eastAsia="仿宋" w:hAnsi="仿宋" w:cs="Times New Roman" w:hint="eastAsia"/>
          <w:sz w:val="24"/>
          <w:szCs w:val="24"/>
        </w:rPr>
        <w:t>、付款方式：按季度据实支付。本项目最终结算总价不得超过本项目采购预算。每次付款前，成交供应商须向采购人提供合法合</w:t>
      </w:r>
      <w:proofErr w:type="gramStart"/>
      <w:r w:rsidRPr="00AA3185">
        <w:rPr>
          <w:rFonts w:ascii="仿宋" w:eastAsia="仿宋" w:hAnsi="仿宋" w:cs="Times New Roman" w:hint="eastAsia"/>
          <w:sz w:val="24"/>
          <w:szCs w:val="24"/>
        </w:rPr>
        <w:t>规</w:t>
      </w:r>
      <w:proofErr w:type="gramEnd"/>
      <w:r w:rsidRPr="00AA3185">
        <w:rPr>
          <w:rFonts w:ascii="仿宋" w:eastAsia="仿宋" w:hAnsi="仿宋" w:cs="Times New Roman" w:hint="eastAsia"/>
          <w:sz w:val="24"/>
          <w:szCs w:val="24"/>
        </w:rPr>
        <w:t>的等额发票及采购人付款所需资料，否则采购人有权暂停付款，由此造成的损失、责任</w:t>
      </w:r>
      <w:proofErr w:type="gramStart"/>
      <w:r w:rsidRPr="00AA3185">
        <w:rPr>
          <w:rFonts w:ascii="仿宋" w:eastAsia="仿宋" w:hAnsi="仿宋" w:cs="Times New Roman" w:hint="eastAsia"/>
          <w:sz w:val="24"/>
          <w:szCs w:val="24"/>
        </w:rPr>
        <w:t>由成交</w:t>
      </w:r>
      <w:proofErr w:type="gramEnd"/>
      <w:r w:rsidRPr="00AA3185">
        <w:rPr>
          <w:rFonts w:ascii="仿宋" w:eastAsia="仿宋" w:hAnsi="仿宋" w:cs="Times New Roman" w:hint="eastAsia"/>
          <w:sz w:val="24"/>
          <w:szCs w:val="24"/>
        </w:rPr>
        <w:t>供应商承担。</w:t>
      </w:r>
    </w:p>
    <w:p w:rsidR="00AA3185" w:rsidRPr="00AA3185" w:rsidRDefault="00AA3185" w:rsidP="00AA3185">
      <w:pPr>
        <w:tabs>
          <w:tab w:val="left" w:pos="7665"/>
        </w:tabs>
        <w:spacing w:line="400" w:lineRule="exact"/>
        <w:ind w:firstLine="480"/>
        <w:rPr>
          <w:rFonts w:ascii="仿宋" w:eastAsia="仿宋" w:hAnsi="仿宋" w:cs="Times New Roman"/>
          <w:sz w:val="24"/>
          <w:szCs w:val="24"/>
        </w:rPr>
      </w:pPr>
      <w:r w:rsidRPr="00AA3185">
        <w:rPr>
          <w:rFonts w:ascii="仿宋" w:eastAsia="仿宋" w:hAnsi="仿宋" w:cs="Times New Roman" w:hint="eastAsia"/>
          <w:sz w:val="24"/>
          <w:szCs w:val="24"/>
        </w:rPr>
        <w:t>4、项目验收：严格按照《财政部关于进一步加强政府采购需求和履约验收管理的指导意见》（财库〔2016〕205号）的要求进行验收。</w:t>
      </w:r>
    </w:p>
    <w:p w:rsidR="00AA3185" w:rsidRPr="00AA3185" w:rsidRDefault="00AA3185" w:rsidP="00AA3185">
      <w:pPr>
        <w:keepNext/>
        <w:keepLines/>
        <w:spacing w:before="260" w:after="260" w:line="400" w:lineRule="exact"/>
        <w:ind w:firstLineChars="98" w:firstLine="236"/>
        <w:outlineLvl w:val="1"/>
        <w:rPr>
          <w:rFonts w:ascii="仿宋" w:eastAsia="仿宋" w:hAnsi="仿宋" w:cs="Times New Roman"/>
          <w:sz w:val="24"/>
          <w:szCs w:val="24"/>
        </w:rPr>
      </w:pPr>
      <w:r w:rsidRPr="00AA3185">
        <w:rPr>
          <w:rFonts w:ascii="仿宋" w:eastAsia="仿宋" w:hAnsi="仿宋" w:cs="Times New Roman" w:hint="eastAsia"/>
          <w:b/>
          <w:bCs/>
          <w:sz w:val="24"/>
          <w:szCs w:val="24"/>
        </w:rPr>
        <w:t>*四、</w:t>
      </w:r>
      <w:r w:rsidRPr="00AA3185">
        <w:rPr>
          <w:rFonts w:ascii="仿宋" w:eastAsia="仿宋" w:hAnsi="仿宋" w:cs="Times New Roman" w:hint="eastAsia"/>
          <w:sz w:val="24"/>
          <w:szCs w:val="24"/>
        </w:rPr>
        <w:t>技术、服务要求</w:t>
      </w:r>
    </w:p>
    <w:p w:rsidR="00AA3185" w:rsidRPr="00AA3185" w:rsidRDefault="00AA3185" w:rsidP="00AA3185">
      <w:pPr>
        <w:tabs>
          <w:tab w:val="left" w:pos="7665"/>
        </w:tabs>
        <w:spacing w:line="400" w:lineRule="exact"/>
        <w:ind w:firstLine="480"/>
        <w:rPr>
          <w:rFonts w:ascii="仿宋" w:eastAsia="仿宋" w:hAnsi="仿宋" w:cs="Times New Roman"/>
          <w:sz w:val="24"/>
          <w:szCs w:val="24"/>
        </w:rPr>
      </w:pPr>
      <w:r w:rsidRPr="00AA3185">
        <w:rPr>
          <w:rFonts w:ascii="仿宋" w:eastAsia="仿宋" w:hAnsi="仿宋" w:cs="Times New Roman" w:hint="eastAsia"/>
          <w:sz w:val="24"/>
          <w:szCs w:val="24"/>
        </w:rPr>
        <w:t>1、采样检测模式：采用混检（10：1采样）的模式，结合国务院新型冠状病毒肺炎疫情联防联控机制对全球疫情态势发展和风险</w:t>
      </w:r>
      <w:proofErr w:type="gramStart"/>
      <w:r w:rsidRPr="00AA3185">
        <w:rPr>
          <w:rFonts w:ascii="仿宋" w:eastAsia="仿宋" w:hAnsi="仿宋" w:cs="Times New Roman" w:hint="eastAsia"/>
          <w:sz w:val="24"/>
          <w:szCs w:val="24"/>
        </w:rPr>
        <w:t>研</w:t>
      </w:r>
      <w:proofErr w:type="gramEnd"/>
      <w:r w:rsidRPr="00AA3185">
        <w:rPr>
          <w:rFonts w:ascii="仿宋" w:eastAsia="仿宋" w:hAnsi="仿宋" w:cs="Times New Roman" w:hint="eastAsia"/>
          <w:sz w:val="24"/>
          <w:szCs w:val="24"/>
        </w:rPr>
        <w:t>判情况，按照上级部门相关要求，甲方有权对采样方式（混采或者单采等）等事项进行动态调整。</w:t>
      </w:r>
    </w:p>
    <w:p w:rsidR="00AA3185" w:rsidRPr="00AA3185" w:rsidRDefault="00AA3185" w:rsidP="00AA3185">
      <w:pPr>
        <w:tabs>
          <w:tab w:val="left" w:pos="7665"/>
        </w:tabs>
        <w:spacing w:line="400" w:lineRule="exact"/>
        <w:ind w:firstLine="480"/>
        <w:rPr>
          <w:rFonts w:ascii="仿宋" w:eastAsia="仿宋" w:hAnsi="仿宋" w:cs="Times New Roman"/>
          <w:sz w:val="24"/>
          <w:szCs w:val="24"/>
        </w:rPr>
      </w:pPr>
      <w:r w:rsidRPr="00AA3185">
        <w:rPr>
          <w:rFonts w:ascii="仿宋" w:eastAsia="仿宋" w:hAnsi="仿宋" w:cs="Times New Roman"/>
          <w:sz w:val="24"/>
          <w:szCs w:val="24"/>
        </w:rPr>
        <w:t>2</w:t>
      </w:r>
      <w:r w:rsidRPr="00AA3185">
        <w:rPr>
          <w:rFonts w:ascii="仿宋" w:eastAsia="仿宋" w:hAnsi="仿宋" w:cs="Times New Roman" w:hint="eastAsia"/>
          <w:sz w:val="24"/>
          <w:szCs w:val="24"/>
        </w:rPr>
        <w:t>、供应商需在采购人规定的时间和地点按时采集、接收样本，应派专人专车按要求完成转运，并承担样本运输符合国家法规和生物安全管理的责任。</w:t>
      </w:r>
    </w:p>
    <w:p w:rsidR="00AA3185" w:rsidRPr="00AA3185" w:rsidRDefault="00AA3185" w:rsidP="00AA3185">
      <w:pPr>
        <w:tabs>
          <w:tab w:val="left" w:pos="7665"/>
        </w:tabs>
        <w:spacing w:line="400" w:lineRule="exact"/>
        <w:ind w:firstLine="480"/>
        <w:rPr>
          <w:rFonts w:ascii="仿宋" w:eastAsia="仿宋" w:hAnsi="仿宋" w:cs="Times New Roman"/>
          <w:sz w:val="24"/>
          <w:szCs w:val="24"/>
        </w:rPr>
      </w:pPr>
      <w:r w:rsidRPr="00AA3185">
        <w:rPr>
          <w:rFonts w:ascii="仿宋" w:eastAsia="仿宋" w:hAnsi="仿宋" w:cs="Times New Roman"/>
          <w:sz w:val="24"/>
          <w:szCs w:val="24"/>
        </w:rPr>
        <w:t>3</w:t>
      </w:r>
      <w:r w:rsidRPr="00AA3185">
        <w:rPr>
          <w:rFonts w:ascii="仿宋" w:eastAsia="仿宋" w:hAnsi="仿宋" w:cs="Times New Roman" w:hint="eastAsia"/>
          <w:sz w:val="24"/>
          <w:szCs w:val="24"/>
        </w:rPr>
        <w:t>、采样、检测过程需严格执行卫生部《医疗机构临床实验室管理办法》、《新冠肺炎疫情防控冷链食品分级分类处置技术指南》（联防联控机制综发〔2021〕45号）、《关于印发四川省2021年新冠肺炎疫情防控工作指南（第三版）的通知》（川</w:t>
      </w:r>
      <w:proofErr w:type="gramStart"/>
      <w:r w:rsidRPr="00AA3185">
        <w:rPr>
          <w:rFonts w:ascii="仿宋" w:eastAsia="仿宋" w:hAnsi="仿宋" w:cs="Times New Roman" w:hint="eastAsia"/>
          <w:sz w:val="24"/>
          <w:szCs w:val="24"/>
        </w:rPr>
        <w:t>疫</w:t>
      </w:r>
      <w:proofErr w:type="gramEnd"/>
      <w:r w:rsidRPr="00AA3185">
        <w:rPr>
          <w:rFonts w:ascii="仿宋" w:eastAsia="仿宋" w:hAnsi="仿宋" w:cs="Times New Roman" w:hint="eastAsia"/>
          <w:sz w:val="24"/>
          <w:szCs w:val="24"/>
        </w:rPr>
        <w:t>指发〔2021〕25号）及国家相关标准（最新版）执行，并出具相应的检测报告。</w:t>
      </w:r>
    </w:p>
    <w:p w:rsidR="00AA3185" w:rsidRPr="00AA3185" w:rsidRDefault="00AA3185" w:rsidP="00AA3185">
      <w:pPr>
        <w:tabs>
          <w:tab w:val="left" w:pos="7665"/>
        </w:tabs>
        <w:spacing w:line="400" w:lineRule="exact"/>
        <w:ind w:firstLine="480"/>
        <w:rPr>
          <w:rFonts w:ascii="仿宋" w:eastAsia="仿宋" w:hAnsi="仿宋" w:cs="Times New Roman"/>
          <w:sz w:val="24"/>
          <w:szCs w:val="24"/>
        </w:rPr>
      </w:pPr>
      <w:r w:rsidRPr="00AA3185">
        <w:rPr>
          <w:rFonts w:ascii="仿宋" w:eastAsia="仿宋" w:hAnsi="仿宋" w:cs="Times New Roman"/>
          <w:sz w:val="24"/>
          <w:szCs w:val="24"/>
        </w:rPr>
        <w:t>4</w:t>
      </w:r>
      <w:r w:rsidRPr="00AA3185">
        <w:rPr>
          <w:rFonts w:ascii="仿宋" w:eastAsia="仿宋" w:hAnsi="仿宋" w:cs="Times New Roman" w:hint="eastAsia"/>
          <w:sz w:val="24"/>
          <w:szCs w:val="24"/>
        </w:rPr>
        <w:t>、供应商拟投入本项目的人员不少于4人（项目负责人1人，开展检测工作的检测人员不少于</w:t>
      </w:r>
      <w:r w:rsidRPr="00AA3185">
        <w:rPr>
          <w:rFonts w:ascii="仿宋" w:eastAsia="仿宋" w:hAnsi="仿宋" w:cs="Times New Roman"/>
          <w:sz w:val="24"/>
          <w:szCs w:val="24"/>
        </w:rPr>
        <w:t>3</w:t>
      </w:r>
      <w:r w:rsidRPr="00AA3185">
        <w:rPr>
          <w:rFonts w:ascii="仿宋" w:eastAsia="仿宋" w:hAnsi="仿宋" w:cs="Times New Roman" w:hint="eastAsia"/>
          <w:sz w:val="24"/>
          <w:szCs w:val="24"/>
        </w:rPr>
        <w:t>人）须经过采样技术培训和生物安全培训，其中开展检测工作的检测人员须具有PCR上岗证。</w:t>
      </w:r>
    </w:p>
    <w:p w:rsidR="00AA3185" w:rsidRPr="00AA3185" w:rsidRDefault="00AA3185" w:rsidP="00AA3185">
      <w:pPr>
        <w:tabs>
          <w:tab w:val="left" w:pos="7665"/>
        </w:tabs>
        <w:spacing w:line="400" w:lineRule="exact"/>
        <w:ind w:firstLine="480"/>
        <w:rPr>
          <w:rFonts w:ascii="仿宋" w:eastAsia="仿宋" w:hAnsi="仿宋" w:cs="Times New Roman"/>
          <w:sz w:val="24"/>
          <w:szCs w:val="24"/>
        </w:rPr>
      </w:pPr>
      <w:r w:rsidRPr="00AA3185">
        <w:rPr>
          <w:rFonts w:ascii="仿宋" w:eastAsia="仿宋" w:hAnsi="仿宋" w:cs="Times New Roman"/>
          <w:sz w:val="24"/>
          <w:szCs w:val="24"/>
        </w:rPr>
        <w:t>5</w:t>
      </w:r>
      <w:r w:rsidRPr="00AA3185">
        <w:rPr>
          <w:rFonts w:ascii="仿宋" w:eastAsia="仿宋" w:hAnsi="仿宋" w:cs="Times New Roman" w:hint="eastAsia"/>
          <w:sz w:val="24"/>
          <w:szCs w:val="24"/>
        </w:rPr>
        <w:t>、供应商须具备完成本项目样本检测的能力，提供包括样本采集、运输、检测、保存和及时出具报告等耗材和服务，按照项目规定及时反馈检测结果（监测清单和每批次监测报告单）。</w:t>
      </w:r>
    </w:p>
    <w:p w:rsidR="00AA3185" w:rsidRPr="00AA3185" w:rsidRDefault="00AA3185" w:rsidP="00AA3185">
      <w:pPr>
        <w:tabs>
          <w:tab w:val="left" w:pos="7665"/>
        </w:tabs>
        <w:spacing w:line="400" w:lineRule="exact"/>
        <w:ind w:firstLine="480"/>
        <w:rPr>
          <w:rFonts w:ascii="仿宋" w:eastAsia="仿宋" w:hAnsi="仿宋" w:cs="Times New Roman"/>
          <w:sz w:val="24"/>
          <w:szCs w:val="24"/>
        </w:rPr>
      </w:pPr>
      <w:r w:rsidRPr="00AA3185">
        <w:rPr>
          <w:rFonts w:ascii="仿宋" w:eastAsia="仿宋" w:hAnsi="仿宋" w:cs="Times New Roman"/>
          <w:sz w:val="24"/>
          <w:szCs w:val="24"/>
        </w:rPr>
        <w:t>6</w:t>
      </w:r>
      <w:r w:rsidRPr="00AA3185">
        <w:rPr>
          <w:rFonts w:ascii="仿宋" w:eastAsia="仿宋" w:hAnsi="仿宋" w:cs="Times New Roman" w:hint="eastAsia"/>
          <w:sz w:val="24"/>
          <w:szCs w:val="24"/>
        </w:rPr>
        <w:t>、根据新冠疫情防控工作需要，采购人需立即加大监测频次时，供应商需满足紧急服务要求。</w:t>
      </w:r>
    </w:p>
    <w:p w:rsidR="009232B5" w:rsidRPr="00AA3185" w:rsidRDefault="00AA3185" w:rsidP="00AA3185">
      <w:pPr>
        <w:tabs>
          <w:tab w:val="left" w:pos="7665"/>
        </w:tabs>
        <w:spacing w:line="400" w:lineRule="exact"/>
        <w:ind w:firstLine="480"/>
      </w:pPr>
      <w:r w:rsidRPr="00AA3185">
        <w:rPr>
          <w:rFonts w:ascii="仿宋" w:eastAsia="仿宋" w:hAnsi="仿宋" w:cs="Times New Roman"/>
          <w:sz w:val="24"/>
          <w:szCs w:val="24"/>
        </w:rPr>
        <w:t>7</w:t>
      </w:r>
      <w:r w:rsidRPr="00AA3185">
        <w:rPr>
          <w:rFonts w:ascii="仿宋" w:eastAsia="仿宋" w:hAnsi="仿宋" w:cs="Times New Roman" w:hint="eastAsia"/>
          <w:sz w:val="24"/>
          <w:szCs w:val="24"/>
        </w:rPr>
        <w:t>、响应检测时间：要求2个小时之内响应，确保每日在成都国际铁路港经济技术开发区内指定点位驻点开展核酸检测。</w:t>
      </w:r>
      <w:bookmarkStart w:id="1" w:name="_GoBack"/>
      <w:bookmarkEnd w:id="1"/>
    </w:p>
    <w:sectPr w:rsidR="009232B5" w:rsidRPr="00AA31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185" w:rsidRDefault="00AA3185" w:rsidP="00AA3185">
      <w:r>
        <w:separator/>
      </w:r>
    </w:p>
  </w:endnote>
  <w:endnote w:type="continuationSeparator" w:id="0">
    <w:p w:rsidR="00AA3185" w:rsidRDefault="00AA3185" w:rsidP="00AA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185" w:rsidRDefault="00AA3185" w:rsidP="00AA3185">
      <w:r>
        <w:separator/>
      </w:r>
    </w:p>
  </w:footnote>
  <w:footnote w:type="continuationSeparator" w:id="0">
    <w:p w:rsidR="00AA3185" w:rsidRDefault="00AA3185" w:rsidP="00AA3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457"/>
    <w:rsid w:val="009232B5"/>
    <w:rsid w:val="00AA3185"/>
    <w:rsid w:val="00F24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31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3185"/>
    <w:rPr>
      <w:sz w:val="18"/>
      <w:szCs w:val="18"/>
    </w:rPr>
  </w:style>
  <w:style w:type="paragraph" w:styleId="a4">
    <w:name w:val="footer"/>
    <w:basedOn w:val="a"/>
    <w:link w:val="Char0"/>
    <w:uiPriority w:val="99"/>
    <w:unhideWhenUsed/>
    <w:rsid w:val="00AA3185"/>
    <w:pPr>
      <w:tabs>
        <w:tab w:val="center" w:pos="4153"/>
        <w:tab w:val="right" w:pos="8306"/>
      </w:tabs>
      <w:snapToGrid w:val="0"/>
      <w:jc w:val="left"/>
    </w:pPr>
    <w:rPr>
      <w:sz w:val="18"/>
      <w:szCs w:val="18"/>
    </w:rPr>
  </w:style>
  <w:style w:type="character" w:customStyle="1" w:styleId="Char0">
    <w:name w:val="页脚 Char"/>
    <w:basedOn w:val="a0"/>
    <w:link w:val="a4"/>
    <w:uiPriority w:val="99"/>
    <w:rsid w:val="00AA31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31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3185"/>
    <w:rPr>
      <w:sz w:val="18"/>
      <w:szCs w:val="18"/>
    </w:rPr>
  </w:style>
  <w:style w:type="paragraph" w:styleId="a4">
    <w:name w:val="footer"/>
    <w:basedOn w:val="a"/>
    <w:link w:val="Char0"/>
    <w:uiPriority w:val="99"/>
    <w:unhideWhenUsed/>
    <w:rsid w:val="00AA3185"/>
    <w:pPr>
      <w:tabs>
        <w:tab w:val="center" w:pos="4153"/>
        <w:tab w:val="right" w:pos="8306"/>
      </w:tabs>
      <w:snapToGrid w:val="0"/>
      <w:jc w:val="left"/>
    </w:pPr>
    <w:rPr>
      <w:sz w:val="18"/>
      <w:szCs w:val="18"/>
    </w:rPr>
  </w:style>
  <w:style w:type="character" w:customStyle="1" w:styleId="Char0">
    <w:name w:val="页脚 Char"/>
    <w:basedOn w:val="a0"/>
    <w:link w:val="a4"/>
    <w:uiPriority w:val="99"/>
    <w:rsid w:val="00AA31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1177</Characters>
  <Application>Microsoft Office Word</Application>
  <DocSecurity>0</DocSecurity>
  <Lines>9</Lines>
  <Paragraphs>2</Paragraphs>
  <ScaleCrop>false</ScaleCrop>
  <Company>china</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2021-12-21T06:07:00Z</dcterms:created>
  <dcterms:modified xsi:type="dcterms:W3CDTF">2021-12-21T06:07:00Z</dcterms:modified>
</cp:coreProperties>
</file>