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BD" w:rsidRPr="00A438BD" w:rsidRDefault="00A438BD" w:rsidP="00A438BD">
      <w:pPr>
        <w:spacing w:line="400" w:lineRule="exact"/>
        <w:ind w:firstLineChars="49" w:firstLine="197"/>
        <w:jc w:val="center"/>
        <w:rPr>
          <w:rFonts w:ascii="仿宋" w:eastAsia="仿宋" w:hAnsi="仿宋"/>
          <w:b/>
          <w:bCs/>
          <w:sz w:val="40"/>
        </w:rPr>
      </w:pPr>
      <w:bookmarkStart w:id="0" w:name="PO_默认文件内容_27"/>
      <w:r w:rsidRPr="00A438BD">
        <w:rPr>
          <w:rFonts w:ascii="仿宋" w:eastAsia="仿宋" w:hAnsi="仿宋" w:hint="eastAsia"/>
          <w:b/>
          <w:bCs/>
          <w:sz w:val="40"/>
        </w:rPr>
        <w:t>采购需求</w:t>
      </w:r>
    </w:p>
    <w:p w:rsidR="00A438BD" w:rsidRPr="005F384F" w:rsidRDefault="00A438BD" w:rsidP="00A438BD">
      <w:pPr>
        <w:spacing w:line="400" w:lineRule="exact"/>
        <w:ind w:firstLineChars="49" w:firstLine="118"/>
        <w:jc w:val="left"/>
        <w:rPr>
          <w:rFonts w:ascii="仿宋" w:eastAsia="仿宋" w:hAnsi="仿宋"/>
          <w:b/>
          <w:bCs/>
          <w:sz w:val="24"/>
        </w:rPr>
      </w:pPr>
      <w:r w:rsidRPr="005F384F">
        <w:rPr>
          <w:rFonts w:ascii="仿宋" w:eastAsia="仿宋" w:hAnsi="仿宋" w:hint="eastAsia"/>
          <w:b/>
          <w:bCs/>
          <w:sz w:val="24"/>
        </w:rPr>
        <w:t>前提：本章采购</w:t>
      </w:r>
      <w:bookmarkStart w:id="1" w:name="_GoBack"/>
      <w:bookmarkEnd w:id="1"/>
      <w:r w:rsidRPr="005F384F">
        <w:rPr>
          <w:rFonts w:ascii="仿宋" w:eastAsia="仿宋" w:hAnsi="仿宋" w:hint="eastAsia"/>
          <w:b/>
          <w:bCs/>
          <w:sz w:val="24"/>
        </w:rPr>
        <w:t>需求中标注“*”号的条款为本次磋商采购项目的实质性要求，供应商应全部满足。</w:t>
      </w:r>
    </w:p>
    <w:p w:rsidR="00A438BD" w:rsidRPr="005F384F" w:rsidRDefault="00A438BD" w:rsidP="00A438BD">
      <w:pPr>
        <w:pStyle w:val="2"/>
        <w:spacing w:line="400" w:lineRule="exact"/>
        <w:ind w:firstLineChars="98" w:firstLine="236"/>
        <w:rPr>
          <w:rFonts w:ascii="仿宋" w:eastAsia="仿宋" w:hAnsi="仿宋"/>
          <w:b w:val="0"/>
          <w:sz w:val="24"/>
          <w:szCs w:val="24"/>
        </w:rPr>
      </w:pPr>
      <w:r w:rsidRPr="005F384F">
        <w:rPr>
          <w:rFonts w:ascii="仿宋" w:eastAsia="仿宋" w:hAnsi="仿宋" w:hint="eastAsia"/>
          <w:sz w:val="24"/>
          <w:szCs w:val="24"/>
        </w:rPr>
        <w:t xml:space="preserve">一、 </w:t>
      </w:r>
      <w:r w:rsidRPr="005F384F">
        <w:rPr>
          <w:rFonts w:ascii="仿宋" w:eastAsia="仿宋" w:hAnsi="仿宋" w:hint="eastAsia"/>
          <w:b w:val="0"/>
          <w:sz w:val="24"/>
          <w:szCs w:val="24"/>
        </w:rPr>
        <w:t>项目概述</w:t>
      </w:r>
    </w:p>
    <w:p w:rsidR="00A438BD" w:rsidRPr="005F384F" w:rsidRDefault="00A438BD" w:rsidP="00A438BD">
      <w:pPr>
        <w:pStyle w:val="a3"/>
        <w:spacing w:line="400" w:lineRule="exact"/>
        <w:ind w:firstLine="480"/>
        <w:rPr>
          <w:rFonts w:ascii="仿宋" w:eastAsia="仿宋" w:hAnsi="仿宋"/>
          <w:bCs/>
          <w:sz w:val="24"/>
        </w:rPr>
      </w:pPr>
      <w:r w:rsidRPr="005F384F">
        <w:rPr>
          <w:rFonts w:ascii="仿宋" w:eastAsia="仿宋" w:hAnsi="仿宋" w:hint="eastAsia"/>
          <w:bCs/>
          <w:sz w:val="24"/>
        </w:rPr>
        <w:t>本项目共1个包，采购成都市青羊区2030年前碳达峰行动方案编制服务。</w:t>
      </w:r>
    </w:p>
    <w:p w:rsidR="00A438BD" w:rsidRPr="005F384F" w:rsidRDefault="00A438BD" w:rsidP="00A438BD">
      <w:pPr>
        <w:pStyle w:val="a3"/>
        <w:spacing w:line="400" w:lineRule="exact"/>
        <w:ind w:firstLine="480"/>
        <w:rPr>
          <w:rFonts w:ascii="仿宋" w:eastAsia="仿宋" w:hAnsi="仿宋"/>
          <w:bCs/>
          <w:sz w:val="24"/>
        </w:rPr>
      </w:pPr>
      <w:r w:rsidRPr="005F384F">
        <w:rPr>
          <w:rFonts w:ascii="仿宋" w:eastAsia="仿宋" w:hAnsi="仿宋" w:hint="eastAsia"/>
          <w:bCs/>
          <w:sz w:val="24"/>
        </w:rPr>
        <w:t>深入贯彻习近平生态文明思想，完整、准确、全面贯彻新发展理念，更好服务国家碳达峰、碳中和战略全局，落实省委十一届十次全会、市委十三届十次全会精神，以建设</w:t>
      </w:r>
      <w:proofErr w:type="gramStart"/>
      <w:r w:rsidRPr="005F384F">
        <w:rPr>
          <w:rFonts w:ascii="仿宋" w:eastAsia="仿宋" w:hAnsi="仿宋" w:hint="eastAsia"/>
          <w:bCs/>
          <w:sz w:val="24"/>
        </w:rPr>
        <w:t>践行</w:t>
      </w:r>
      <w:proofErr w:type="gramEnd"/>
      <w:r w:rsidRPr="005F384F">
        <w:rPr>
          <w:rFonts w:ascii="仿宋" w:eastAsia="仿宋" w:hAnsi="仿宋" w:hint="eastAsia"/>
          <w:bCs/>
          <w:sz w:val="24"/>
        </w:rPr>
        <w:t>新发展理念的公园城市先行示范区为统领，顺应全球绿色低碳可持续发展总趋势，把握生态文明建设进入</w:t>
      </w:r>
      <w:proofErr w:type="gramStart"/>
      <w:r w:rsidRPr="005F384F">
        <w:rPr>
          <w:rFonts w:ascii="仿宋" w:eastAsia="仿宋" w:hAnsi="仿宋" w:hint="eastAsia"/>
          <w:bCs/>
          <w:sz w:val="24"/>
        </w:rPr>
        <w:t>降碳为</w:t>
      </w:r>
      <w:proofErr w:type="gramEnd"/>
      <w:r w:rsidRPr="005F384F">
        <w:rPr>
          <w:rFonts w:ascii="仿宋" w:eastAsia="仿宋" w:hAnsi="仿宋" w:hint="eastAsia"/>
          <w:bCs/>
          <w:sz w:val="24"/>
        </w:rPr>
        <w:t>重点战略方向的新要求，发挥公园城市生态本底特色优势，系统分析提出青羊区实现碳达峰碳中和的时间表、路线图、施工图。编制形成《青羊区碳达峰碳中和分析与路径优化研究报告》《青羊区2030年前碳达峰行动方案》。</w:t>
      </w:r>
    </w:p>
    <w:p w:rsidR="00A438BD" w:rsidRPr="005F384F" w:rsidRDefault="00A438BD" w:rsidP="00A438BD">
      <w:pPr>
        <w:pStyle w:val="2"/>
        <w:spacing w:line="400" w:lineRule="exact"/>
        <w:ind w:firstLineChars="98" w:firstLine="236"/>
        <w:rPr>
          <w:rFonts w:ascii="仿宋" w:eastAsia="仿宋" w:hAnsi="仿宋"/>
          <w:b w:val="0"/>
          <w:sz w:val="24"/>
          <w:szCs w:val="24"/>
        </w:rPr>
      </w:pPr>
      <w:r w:rsidRPr="005F384F">
        <w:rPr>
          <w:rFonts w:ascii="仿宋" w:eastAsia="仿宋" w:hAnsi="仿宋" w:hint="eastAsia"/>
          <w:sz w:val="24"/>
          <w:szCs w:val="24"/>
        </w:rPr>
        <w:t>二、</w:t>
      </w:r>
      <w:r w:rsidRPr="005F384F">
        <w:rPr>
          <w:rFonts w:ascii="仿宋" w:eastAsia="仿宋" w:hAnsi="仿宋" w:hint="eastAsia"/>
          <w:b w:val="0"/>
          <w:sz w:val="24"/>
          <w:szCs w:val="24"/>
        </w:rPr>
        <w:t>项目清单</w:t>
      </w:r>
    </w:p>
    <w:tbl>
      <w:tblPr>
        <w:tblW w:w="714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797"/>
        <w:gridCol w:w="2268"/>
        <w:gridCol w:w="1276"/>
      </w:tblGrid>
      <w:tr w:rsidR="00A438BD" w:rsidRPr="005F384F" w:rsidTr="00BD558A">
        <w:trPr>
          <w:trHeight w:val="390"/>
        </w:trPr>
        <w:tc>
          <w:tcPr>
            <w:tcW w:w="808" w:type="dxa"/>
            <w:tcBorders>
              <w:top w:val="single" w:sz="4" w:space="0" w:color="auto"/>
              <w:left w:val="single" w:sz="4" w:space="0" w:color="auto"/>
              <w:bottom w:val="single" w:sz="4" w:space="0" w:color="auto"/>
              <w:right w:val="single" w:sz="4" w:space="0" w:color="auto"/>
            </w:tcBorders>
            <w:vAlign w:val="center"/>
            <w:hideMark/>
          </w:tcPr>
          <w:p w:rsidR="00A438BD" w:rsidRPr="005F384F" w:rsidRDefault="00A438BD" w:rsidP="00BD558A">
            <w:pPr>
              <w:widowControl/>
              <w:spacing w:line="360" w:lineRule="atLeast"/>
              <w:jc w:val="center"/>
              <w:outlineLvl w:val="1"/>
              <w:rPr>
                <w:rFonts w:ascii="仿宋" w:eastAsia="仿宋" w:hAnsi="仿宋"/>
                <w:sz w:val="24"/>
              </w:rPr>
            </w:pPr>
            <w:r w:rsidRPr="005F384F">
              <w:rPr>
                <w:rFonts w:ascii="仿宋" w:eastAsia="仿宋" w:hAnsi="仿宋" w:hint="eastAsia"/>
                <w:sz w:val="24"/>
              </w:rPr>
              <w:t>序号</w:t>
            </w:r>
          </w:p>
        </w:tc>
        <w:tc>
          <w:tcPr>
            <w:tcW w:w="2797" w:type="dxa"/>
            <w:tcBorders>
              <w:top w:val="single" w:sz="4" w:space="0" w:color="auto"/>
              <w:left w:val="single" w:sz="4" w:space="0" w:color="auto"/>
              <w:bottom w:val="single" w:sz="4" w:space="0" w:color="auto"/>
              <w:right w:val="single" w:sz="4" w:space="0" w:color="auto"/>
            </w:tcBorders>
            <w:vAlign w:val="center"/>
            <w:hideMark/>
          </w:tcPr>
          <w:p w:rsidR="00A438BD" w:rsidRPr="005F384F" w:rsidRDefault="00A438BD" w:rsidP="00BD558A">
            <w:pPr>
              <w:widowControl/>
              <w:spacing w:line="360" w:lineRule="atLeast"/>
              <w:jc w:val="center"/>
              <w:outlineLvl w:val="1"/>
              <w:rPr>
                <w:rFonts w:ascii="仿宋" w:eastAsia="仿宋" w:hAnsi="仿宋"/>
                <w:sz w:val="24"/>
              </w:rPr>
            </w:pPr>
            <w:r w:rsidRPr="005F384F">
              <w:rPr>
                <w:rFonts w:ascii="仿宋" w:eastAsia="仿宋" w:hAnsi="仿宋" w:hint="eastAsia"/>
                <w:sz w:val="24"/>
              </w:rPr>
              <w:t>标的名称</w:t>
            </w:r>
          </w:p>
        </w:tc>
        <w:tc>
          <w:tcPr>
            <w:tcW w:w="2268" w:type="dxa"/>
            <w:tcBorders>
              <w:top w:val="single" w:sz="4" w:space="0" w:color="auto"/>
              <w:left w:val="single" w:sz="4" w:space="0" w:color="auto"/>
              <w:bottom w:val="single" w:sz="4" w:space="0" w:color="auto"/>
              <w:right w:val="single" w:sz="4" w:space="0" w:color="auto"/>
            </w:tcBorders>
            <w:hideMark/>
          </w:tcPr>
          <w:p w:rsidR="00A438BD" w:rsidRPr="005F384F" w:rsidRDefault="00A438BD" w:rsidP="00BD558A">
            <w:pPr>
              <w:widowControl/>
              <w:spacing w:line="360" w:lineRule="atLeast"/>
              <w:jc w:val="center"/>
              <w:outlineLvl w:val="1"/>
              <w:rPr>
                <w:rFonts w:ascii="仿宋" w:eastAsia="仿宋" w:hAnsi="仿宋"/>
                <w:sz w:val="24"/>
              </w:rPr>
            </w:pPr>
            <w:r w:rsidRPr="005F384F">
              <w:rPr>
                <w:rFonts w:ascii="仿宋" w:eastAsia="仿宋" w:hAnsi="仿宋" w:hint="eastAsia"/>
                <w:sz w:val="24"/>
              </w:rPr>
              <w:t>所属行业</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38BD" w:rsidRPr="005F384F" w:rsidRDefault="00A438BD" w:rsidP="00BD558A">
            <w:pPr>
              <w:widowControl/>
              <w:spacing w:line="360" w:lineRule="atLeast"/>
              <w:jc w:val="center"/>
              <w:outlineLvl w:val="1"/>
              <w:rPr>
                <w:rFonts w:ascii="仿宋" w:eastAsia="仿宋" w:hAnsi="仿宋"/>
                <w:sz w:val="24"/>
              </w:rPr>
            </w:pPr>
            <w:r w:rsidRPr="005F384F">
              <w:rPr>
                <w:rFonts w:ascii="仿宋" w:eastAsia="仿宋" w:hAnsi="仿宋" w:hint="eastAsia"/>
                <w:sz w:val="24"/>
              </w:rPr>
              <w:t>数量</w:t>
            </w:r>
          </w:p>
        </w:tc>
      </w:tr>
      <w:tr w:rsidR="00A438BD" w:rsidRPr="005F384F" w:rsidTr="00BD558A">
        <w:trPr>
          <w:trHeight w:val="374"/>
        </w:trPr>
        <w:tc>
          <w:tcPr>
            <w:tcW w:w="808" w:type="dxa"/>
            <w:tcBorders>
              <w:top w:val="single" w:sz="4" w:space="0" w:color="auto"/>
              <w:left w:val="single" w:sz="4" w:space="0" w:color="auto"/>
              <w:bottom w:val="single" w:sz="4" w:space="0" w:color="auto"/>
              <w:right w:val="single" w:sz="4" w:space="0" w:color="auto"/>
            </w:tcBorders>
            <w:hideMark/>
          </w:tcPr>
          <w:p w:rsidR="00A438BD" w:rsidRPr="005F384F" w:rsidRDefault="00A438BD" w:rsidP="00BD558A">
            <w:pPr>
              <w:widowControl/>
              <w:spacing w:line="360" w:lineRule="atLeast"/>
              <w:jc w:val="center"/>
              <w:outlineLvl w:val="1"/>
              <w:rPr>
                <w:rFonts w:ascii="仿宋" w:eastAsia="仿宋" w:hAnsi="仿宋"/>
                <w:sz w:val="24"/>
              </w:rPr>
            </w:pPr>
            <w:r w:rsidRPr="005F384F">
              <w:rPr>
                <w:rFonts w:ascii="仿宋" w:eastAsia="仿宋" w:hAnsi="仿宋" w:hint="eastAsia"/>
                <w:sz w:val="24"/>
              </w:rPr>
              <w:t>1</w:t>
            </w:r>
          </w:p>
        </w:tc>
        <w:tc>
          <w:tcPr>
            <w:tcW w:w="2797" w:type="dxa"/>
            <w:tcBorders>
              <w:top w:val="single" w:sz="4" w:space="0" w:color="auto"/>
              <w:left w:val="single" w:sz="4" w:space="0" w:color="auto"/>
              <w:bottom w:val="single" w:sz="4" w:space="0" w:color="auto"/>
              <w:right w:val="single" w:sz="4" w:space="0" w:color="auto"/>
            </w:tcBorders>
            <w:hideMark/>
          </w:tcPr>
          <w:p w:rsidR="00A438BD" w:rsidRPr="005F384F" w:rsidRDefault="00A438BD" w:rsidP="00BD558A">
            <w:pPr>
              <w:widowControl/>
              <w:spacing w:line="360" w:lineRule="atLeast"/>
              <w:jc w:val="left"/>
              <w:outlineLvl w:val="1"/>
              <w:rPr>
                <w:rFonts w:ascii="仿宋" w:eastAsia="仿宋" w:hAnsi="仿宋"/>
                <w:sz w:val="24"/>
              </w:rPr>
            </w:pPr>
            <w:r w:rsidRPr="005F384F">
              <w:rPr>
                <w:rFonts w:ascii="仿宋" w:eastAsia="仿宋" w:hAnsi="仿宋" w:hint="eastAsia"/>
                <w:sz w:val="24"/>
              </w:rPr>
              <w:t>成都市青羊区2030年前碳达峰行动方案编制服务</w:t>
            </w:r>
          </w:p>
        </w:tc>
        <w:tc>
          <w:tcPr>
            <w:tcW w:w="2268" w:type="dxa"/>
            <w:tcBorders>
              <w:top w:val="single" w:sz="4" w:space="0" w:color="auto"/>
              <w:left w:val="single" w:sz="4" w:space="0" w:color="auto"/>
              <w:bottom w:val="single" w:sz="4" w:space="0" w:color="auto"/>
              <w:right w:val="single" w:sz="4" w:space="0" w:color="auto"/>
            </w:tcBorders>
            <w:hideMark/>
          </w:tcPr>
          <w:p w:rsidR="00A438BD" w:rsidRPr="005F384F" w:rsidRDefault="00A438BD" w:rsidP="00BD558A">
            <w:pPr>
              <w:widowControl/>
              <w:spacing w:line="360" w:lineRule="atLeast"/>
              <w:jc w:val="left"/>
              <w:outlineLvl w:val="1"/>
              <w:rPr>
                <w:rFonts w:ascii="仿宋" w:eastAsia="仿宋" w:hAnsi="仿宋"/>
                <w:sz w:val="24"/>
              </w:rPr>
            </w:pPr>
            <w:r w:rsidRPr="005F384F">
              <w:rPr>
                <w:rFonts w:ascii="仿宋" w:eastAsia="仿宋" w:hAnsi="仿宋" w:hint="eastAsia"/>
                <w:sz w:val="24"/>
              </w:rPr>
              <w:t>租赁和商务服务业</w:t>
            </w:r>
          </w:p>
        </w:tc>
        <w:tc>
          <w:tcPr>
            <w:tcW w:w="1276" w:type="dxa"/>
            <w:tcBorders>
              <w:top w:val="single" w:sz="4" w:space="0" w:color="auto"/>
              <w:left w:val="single" w:sz="4" w:space="0" w:color="auto"/>
              <w:bottom w:val="single" w:sz="4" w:space="0" w:color="auto"/>
              <w:right w:val="single" w:sz="4" w:space="0" w:color="auto"/>
            </w:tcBorders>
            <w:hideMark/>
          </w:tcPr>
          <w:p w:rsidR="00A438BD" w:rsidRPr="005F384F" w:rsidRDefault="00A438BD" w:rsidP="00BD558A">
            <w:pPr>
              <w:widowControl/>
              <w:spacing w:line="360" w:lineRule="atLeast"/>
              <w:jc w:val="left"/>
              <w:outlineLvl w:val="1"/>
              <w:rPr>
                <w:rFonts w:ascii="仿宋" w:eastAsia="仿宋" w:hAnsi="仿宋"/>
                <w:sz w:val="24"/>
              </w:rPr>
            </w:pPr>
            <w:r w:rsidRPr="005F384F">
              <w:rPr>
                <w:rFonts w:ascii="仿宋" w:eastAsia="仿宋" w:hAnsi="仿宋" w:hint="eastAsia"/>
                <w:sz w:val="24"/>
              </w:rPr>
              <w:t>1项</w:t>
            </w:r>
          </w:p>
        </w:tc>
      </w:tr>
    </w:tbl>
    <w:p w:rsidR="00A438BD" w:rsidRPr="005F384F" w:rsidRDefault="00A438BD" w:rsidP="00A438BD">
      <w:pPr>
        <w:rPr>
          <w:rFonts w:ascii="仿宋" w:eastAsia="仿宋" w:hAnsi="仿宋"/>
        </w:rPr>
      </w:pPr>
    </w:p>
    <w:p w:rsidR="00A438BD" w:rsidRPr="005F384F" w:rsidRDefault="00A438BD" w:rsidP="00A438BD">
      <w:pPr>
        <w:pStyle w:val="2"/>
        <w:spacing w:line="400" w:lineRule="exact"/>
        <w:ind w:firstLineChars="98" w:firstLine="236"/>
        <w:rPr>
          <w:rFonts w:ascii="仿宋" w:eastAsia="仿宋" w:hAnsi="仿宋"/>
          <w:b w:val="0"/>
          <w:sz w:val="24"/>
          <w:szCs w:val="24"/>
        </w:rPr>
      </w:pPr>
      <w:r w:rsidRPr="005F384F">
        <w:rPr>
          <w:rFonts w:ascii="仿宋" w:eastAsia="仿宋" w:hAnsi="仿宋" w:hint="eastAsia"/>
          <w:sz w:val="24"/>
          <w:szCs w:val="24"/>
        </w:rPr>
        <w:t>*三、</w:t>
      </w:r>
      <w:r w:rsidRPr="005F384F">
        <w:rPr>
          <w:rFonts w:ascii="仿宋" w:eastAsia="仿宋" w:hAnsi="仿宋" w:hint="eastAsia"/>
          <w:b w:val="0"/>
          <w:sz w:val="24"/>
          <w:szCs w:val="24"/>
        </w:rPr>
        <w:t>项目要求</w:t>
      </w:r>
    </w:p>
    <w:p w:rsidR="00A438BD" w:rsidRPr="005F384F" w:rsidRDefault="00A438BD" w:rsidP="00A438BD">
      <w:pPr>
        <w:pStyle w:val="a3"/>
        <w:spacing w:line="400" w:lineRule="exact"/>
        <w:ind w:firstLineChars="100" w:firstLine="240"/>
        <w:rPr>
          <w:rFonts w:ascii="仿宋" w:eastAsia="仿宋" w:hAnsi="仿宋"/>
          <w:bCs/>
          <w:sz w:val="24"/>
        </w:rPr>
      </w:pPr>
      <w:bookmarkStart w:id="2" w:name="_Hlk99469591"/>
      <w:r w:rsidRPr="005F384F">
        <w:rPr>
          <w:rFonts w:ascii="仿宋" w:eastAsia="仿宋" w:hAnsi="仿宋" w:hint="eastAsia"/>
          <w:sz w:val="24"/>
        </w:rPr>
        <w:t xml:space="preserve"> （一）</w:t>
      </w:r>
      <w:r w:rsidRPr="005F384F">
        <w:rPr>
          <w:rFonts w:ascii="仿宋" w:eastAsia="仿宋" w:hAnsi="仿宋" w:hint="eastAsia"/>
          <w:bCs/>
          <w:sz w:val="24"/>
        </w:rPr>
        <w:t>技术要求、服务要求：</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1.服务内容</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（1）系统阐明碳达峰碳中和的背景内涵、科学要义、关键因子，系统梳理国内外碳达峰碳中和政策目标，归纳总结先发地区政策实践及对青羊的启示。</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（2）总结提炼青羊区推进绿色低碳发展的基础和成效，并从能源、产业、交通运输、建筑、空间等多领域客观分析青羊的碳足迹现状及发展趋势，对青羊实现碳达峰碳中和目标进行SWOT分析。</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（3）立足青羊碳排放现状，</w:t>
      </w:r>
      <w:proofErr w:type="gramStart"/>
      <w:r w:rsidRPr="005F384F">
        <w:rPr>
          <w:rFonts w:ascii="仿宋" w:eastAsia="仿宋" w:hAnsi="仿宋" w:hint="eastAsia"/>
          <w:sz w:val="24"/>
        </w:rPr>
        <w:t>研</w:t>
      </w:r>
      <w:proofErr w:type="gramEnd"/>
      <w:r w:rsidRPr="005F384F">
        <w:rPr>
          <w:rFonts w:ascii="仿宋" w:eastAsia="仿宋" w:hAnsi="仿宋" w:hint="eastAsia"/>
          <w:sz w:val="24"/>
        </w:rPr>
        <w:t>判青羊经济社会发展阶段，充分考虑十四五及二〇三五年青</w:t>
      </w:r>
      <w:proofErr w:type="gramStart"/>
      <w:r w:rsidRPr="005F384F">
        <w:rPr>
          <w:rFonts w:ascii="仿宋" w:eastAsia="仿宋" w:hAnsi="仿宋" w:hint="eastAsia"/>
          <w:sz w:val="24"/>
        </w:rPr>
        <w:t>羊经济</w:t>
      </w:r>
      <w:proofErr w:type="gramEnd"/>
      <w:r w:rsidRPr="005F384F">
        <w:rPr>
          <w:rFonts w:ascii="仿宋" w:eastAsia="仿宋" w:hAnsi="仿宋" w:hint="eastAsia"/>
          <w:sz w:val="24"/>
        </w:rPr>
        <w:t>社会发展</w:t>
      </w:r>
      <w:proofErr w:type="gramStart"/>
      <w:r w:rsidRPr="005F384F">
        <w:rPr>
          <w:rFonts w:ascii="仿宋" w:eastAsia="仿宋" w:hAnsi="仿宋" w:hint="eastAsia"/>
          <w:sz w:val="24"/>
        </w:rPr>
        <w:t>愿景趋势</w:t>
      </w:r>
      <w:proofErr w:type="gramEnd"/>
      <w:r w:rsidRPr="005F384F">
        <w:rPr>
          <w:rFonts w:ascii="仿宋" w:eastAsia="仿宋" w:hAnsi="仿宋" w:hint="eastAsia"/>
          <w:sz w:val="24"/>
        </w:rPr>
        <w:t>及人口变动等，结合碳排放规律，依托计量模型，科学测算提出青羊区自然达峰和2030年前达峰时间表，分领域、分行业提出具体的达峰目标。初步提出碳中和时间表。</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（4）紧紧围绕青羊奋力建设</w:t>
      </w:r>
      <w:proofErr w:type="gramStart"/>
      <w:r w:rsidRPr="005F384F">
        <w:rPr>
          <w:rFonts w:ascii="仿宋" w:eastAsia="仿宋" w:hAnsi="仿宋" w:hint="eastAsia"/>
          <w:sz w:val="24"/>
        </w:rPr>
        <w:t>践行</w:t>
      </w:r>
      <w:proofErr w:type="gramEnd"/>
      <w:r w:rsidRPr="005F384F">
        <w:rPr>
          <w:rFonts w:ascii="仿宋" w:eastAsia="仿宋" w:hAnsi="仿宋" w:hint="eastAsia"/>
          <w:sz w:val="24"/>
        </w:rPr>
        <w:t>新发展理念的公园城市先行示范区战略定</w:t>
      </w:r>
      <w:r w:rsidRPr="005F384F">
        <w:rPr>
          <w:rFonts w:ascii="仿宋" w:eastAsia="仿宋" w:hAnsi="仿宋" w:hint="eastAsia"/>
          <w:sz w:val="24"/>
        </w:rPr>
        <w:lastRenderedPageBreak/>
        <w:t>位，提出青羊积极稳步推动碳达峰碳中和的总体思路、实现路径和政策举措，明确路线图、施工图。</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（5）聚焦重点行业和关键领域，细化提出青羊区碳达峰碳中和的重大任务、工程和项目，重点包括研究发展绿色低碳产业、（近）</w:t>
      </w:r>
      <w:proofErr w:type="gramStart"/>
      <w:r w:rsidRPr="005F384F">
        <w:rPr>
          <w:rFonts w:ascii="仿宋" w:eastAsia="仿宋" w:hAnsi="仿宋" w:hint="eastAsia"/>
          <w:sz w:val="24"/>
        </w:rPr>
        <w:t>零碳产业</w:t>
      </w:r>
      <w:proofErr w:type="gramEnd"/>
      <w:r w:rsidRPr="005F384F">
        <w:rPr>
          <w:rFonts w:ascii="仿宋" w:eastAsia="仿宋" w:hAnsi="仿宋" w:hint="eastAsia"/>
          <w:sz w:val="24"/>
        </w:rPr>
        <w:t>园区、碳中和绿色生态试验区等。</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（6）以上服务内容要全面贯彻落实《中共中央 国务院关于完整准确全面贯彻新发展理念做好碳达峰碳中和工作的意见》《国务院关于印发2030年前碳达峰行动方案的通知》等国家、省、市文件精神，有效衔接《成都市2</w:t>
      </w:r>
      <w:r w:rsidRPr="005F384F">
        <w:rPr>
          <w:rFonts w:ascii="仿宋" w:eastAsia="仿宋" w:hAnsi="仿宋"/>
          <w:sz w:val="24"/>
        </w:rPr>
        <w:t>030</w:t>
      </w:r>
      <w:r w:rsidRPr="005F384F">
        <w:rPr>
          <w:rFonts w:ascii="仿宋" w:eastAsia="仿宋" w:hAnsi="仿宋" w:hint="eastAsia"/>
          <w:sz w:val="24"/>
        </w:rPr>
        <w:t>前碳达峰行动方案》。</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2.课题研究要求</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（1）基础分析要详实。通过文献调研和实地调研，对当前青羊区绿色低碳发展的特征趋势给出准确描述，对青羊区碳排放现状及影响碳达峰碳中和的关键问题要进行认真分析和系统梳理。</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（2）目标分析要可行。对标国内外先进城市，对接国家省市相关技术标准，结合青羊区碳排放实际和未来人口、经济、社会发展趋势，提出碳达峰碳中和切实可行的目标和时间表。</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（3）政策措施要具体。在基础分析和目标分析的基础上，绘制青羊区碳达峰碳中和路线图，围绕国家、省、市推进碳达峰碳中和工作的部署要求，有的放矢提出具有青羊特色的重要举措和政策建议。</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（4）研究成果要求。项目成果版权归采购人所有，成果最终稿以电子</w:t>
      </w:r>
      <w:proofErr w:type="gramStart"/>
      <w:r w:rsidRPr="005F384F">
        <w:rPr>
          <w:rFonts w:ascii="仿宋" w:eastAsia="仿宋" w:hAnsi="仿宋" w:hint="eastAsia"/>
          <w:sz w:val="24"/>
        </w:rPr>
        <w:t>档</w:t>
      </w:r>
      <w:proofErr w:type="gramEnd"/>
      <w:r w:rsidRPr="005F384F">
        <w:rPr>
          <w:rFonts w:ascii="仿宋" w:eastAsia="仿宋" w:hAnsi="仿宋" w:hint="eastAsia"/>
          <w:sz w:val="24"/>
        </w:rPr>
        <w:t>形式提交。项目实施过程中，根据因工作汇报、专家咨询等需要，</w:t>
      </w:r>
      <w:proofErr w:type="gramStart"/>
      <w:r w:rsidRPr="005F384F">
        <w:rPr>
          <w:rFonts w:ascii="仿宋" w:eastAsia="仿宋" w:hAnsi="仿宋" w:hint="eastAsia"/>
          <w:sz w:val="24"/>
        </w:rPr>
        <w:t>由成交</w:t>
      </w:r>
      <w:proofErr w:type="gramEnd"/>
      <w:r w:rsidRPr="005F384F">
        <w:rPr>
          <w:rFonts w:ascii="仿宋" w:eastAsia="仿宋" w:hAnsi="仿宋" w:hint="eastAsia"/>
          <w:sz w:val="24"/>
        </w:rPr>
        <w:t>供应商印制项目成果过程稿，累计不超过5</w:t>
      </w:r>
      <w:r w:rsidRPr="005F384F">
        <w:rPr>
          <w:rFonts w:ascii="仿宋" w:eastAsia="仿宋" w:hAnsi="仿宋"/>
          <w:sz w:val="24"/>
        </w:rPr>
        <w:t>00</w:t>
      </w:r>
      <w:r w:rsidRPr="005F384F">
        <w:rPr>
          <w:rFonts w:ascii="仿宋" w:eastAsia="仿宋" w:hAnsi="仿宋" w:hint="eastAsia"/>
          <w:sz w:val="24"/>
        </w:rPr>
        <w:t>份。项目成果以通过青羊区委常委会、区政府常务会审议为最终验收标准。</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3.研究团队要求</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（1）组建研究团队。组建由碳达峰碳中和研究领域，具有较强研究能力和实际工作经验的专家团队，系统开展课题研究。</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（2）组织专家咨询。</w:t>
      </w:r>
      <w:proofErr w:type="gramStart"/>
      <w:r w:rsidRPr="005F384F">
        <w:rPr>
          <w:rFonts w:ascii="仿宋" w:eastAsia="仿宋" w:hAnsi="仿宋" w:hint="eastAsia"/>
          <w:sz w:val="24"/>
        </w:rPr>
        <w:t>由成交</w:t>
      </w:r>
      <w:proofErr w:type="gramEnd"/>
      <w:r w:rsidRPr="005F384F">
        <w:rPr>
          <w:rFonts w:ascii="仿宋" w:eastAsia="仿宋" w:hAnsi="仿宋" w:hint="eastAsia"/>
          <w:sz w:val="24"/>
        </w:rPr>
        <w:t>供应商请不少于5位碳达峰碳中和研究领域专家召开专家咨询会，对《青羊区碳达峰碳中和分析与路径优化研究报告》最终成果进行指导。按采购人需求，</w:t>
      </w:r>
      <w:proofErr w:type="gramStart"/>
      <w:r w:rsidRPr="005F384F">
        <w:rPr>
          <w:rFonts w:ascii="仿宋" w:eastAsia="仿宋" w:hAnsi="仿宋" w:hint="eastAsia"/>
          <w:sz w:val="24"/>
        </w:rPr>
        <w:t>由成交</w:t>
      </w:r>
      <w:proofErr w:type="gramEnd"/>
      <w:r w:rsidRPr="005F384F">
        <w:rPr>
          <w:rFonts w:ascii="仿宋" w:eastAsia="仿宋" w:hAnsi="仿宋" w:hint="eastAsia"/>
          <w:sz w:val="24"/>
        </w:rPr>
        <w:t>供应商请不超过5位碳达峰碳中和研究领域专家召开专家咨询会，对《青羊区2030年前碳达峰行动方案》送审稿进行指导。采购人拟邀请的专家名单需报采购人审核同意，相关费用</w:t>
      </w:r>
      <w:proofErr w:type="gramStart"/>
      <w:r w:rsidRPr="005F384F">
        <w:rPr>
          <w:rFonts w:ascii="仿宋" w:eastAsia="仿宋" w:hAnsi="仿宋" w:hint="eastAsia"/>
          <w:sz w:val="24"/>
        </w:rPr>
        <w:t>由成交</w:t>
      </w:r>
      <w:proofErr w:type="gramEnd"/>
      <w:r w:rsidRPr="005F384F">
        <w:rPr>
          <w:rFonts w:ascii="仿宋" w:eastAsia="仿宋" w:hAnsi="仿宋" w:hint="eastAsia"/>
          <w:sz w:val="24"/>
        </w:rPr>
        <w:t>供应商承担。</w:t>
      </w:r>
    </w:p>
    <w:p w:rsidR="00A438BD" w:rsidRPr="005F384F" w:rsidRDefault="00A438BD" w:rsidP="00A438BD">
      <w:pPr>
        <w:pStyle w:val="a3"/>
        <w:spacing w:line="400" w:lineRule="exact"/>
        <w:ind w:firstLine="480"/>
        <w:rPr>
          <w:rFonts w:ascii="仿宋" w:eastAsia="仿宋" w:hAnsi="仿宋"/>
          <w:bCs/>
          <w:sz w:val="24"/>
        </w:rPr>
      </w:pPr>
      <w:r w:rsidRPr="005F384F">
        <w:rPr>
          <w:rFonts w:ascii="仿宋" w:eastAsia="仿宋" w:hAnsi="仿宋" w:hint="eastAsia"/>
          <w:sz w:val="24"/>
        </w:rPr>
        <w:t>（3）组织专题调研。通过实地调研、文献调研等形式，梳理国内外碳达峰碳中和先进城市经验，为课题开展提供支撑。</w:t>
      </w:r>
    </w:p>
    <w:p w:rsidR="00A438BD" w:rsidRPr="005F384F" w:rsidRDefault="00A438BD" w:rsidP="00A438BD">
      <w:pPr>
        <w:pStyle w:val="a3"/>
        <w:spacing w:line="400" w:lineRule="exact"/>
        <w:ind w:firstLineChars="130" w:firstLine="312"/>
        <w:rPr>
          <w:rFonts w:ascii="仿宋" w:eastAsia="仿宋" w:hAnsi="仿宋"/>
          <w:sz w:val="24"/>
        </w:rPr>
      </w:pPr>
      <w:r w:rsidRPr="005F384F">
        <w:rPr>
          <w:rFonts w:ascii="仿宋" w:eastAsia="仿宋" w:hAnsi="仿宋" w:hint="eastAsia"/>
          <w:sz w:val="24"/>
        </w:rPr>
        <w:t>（二）其他商务要求：</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lastRenderedPageBreak/>
        <w:t>1. 服务时间：签订合同45天以内完成《青羊区碳达峰碳中和分析与路径优化研究报告》（须完成专家咨询指导，并按指导意见修改完善）；签订合同60天以内完成《青羊区2030年前碳达峰行动方案》（须完成专家咨询指导，并按指导意见修改完善）。</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2. 服务地点：成都市青羊区发展和改革局，采购人指定地点</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3. 付款方式：成交供应商应于签订合同3个工作日内提交详细工作计划。工作计划经采购人同意后10个工作日内支付合同总额的30%，《青羊区碳达峰碳中和分析与路径优化研究报告》中期成果经采购人同意后10个工作日内支付合同总额的20%，《青羊区碳达峰碳中和分析与路径优化研究报告》最终成果经采购人审核同意后10个工作日内支付合同总额的20%，《青羊区2030年前碳达峰行动方案》最终成果经采购人审核同意后10个工作日内支付合同总额的30%。</w:t>
      </w:r>
    </w:p>
    <w:p w:rsidR="00A438BD" w:rsidRPr="005F384F" w:rsidRDefault="00A438BD" w:rsidP="00A438BD">
      <w:pPr>
        <w:pStyle w:val="a3"/>
        <w:spacing w:line="400" w:lineRule="exact"/>
        <w:ind w:firstLine="480"/>
        <w:rPr>
          <w:rFonts w:ascii="仿宋" w:eastAsia="仿宋" w:hAnsi="仿宋"/>
          <w:sz w:val="24"/>
        </w:rPr>
      </w:pPr>
      <w:r w:rsidRPr="005F384F">
        <w:rPr>
          <w:rFonts w:ascii="仿宋" w:eastAsia="仿宋" w:hAnsi="仿宋" w:hint="eastAsia"/>
          <w:sz w:val="24"/>
        </w:rPr>
        <w:t>4. 履约验收：按照采购人约定日期完成评审验收，成交供应商与采购人将严格按照政府采购相关法律法规和《财政部关于进一步加强政府釆购需求和履约验收管理的指导意见》（财库〔2016〕205 号）文件的要求进行验收。</w:t>
      </w:r>
    </w:p>
    <w:bookmarkEnd w:id="0"/>
    <w:bookmarkEnd w:id="2"/>
    <w:p w:rsidR="00A438BD" w:rsidRPr="005F384F" w:rsidRDefault="00A438BD" w:rsidP="00A438BD">
      <w:pPr>
        <w:pStyle w:val="a3"/>
        <w:spacing w:line="400" w:lineRule="exact"/>
        <w:ind w:firstLineChars="0" w:firstLine="0"/>
        <w:rPr>
          <w:rFonts w:ascii="仿宋" w:eastAsia="仿宋" w:hAnsi="仿宋"/>
          <w:sz w:val="24"/>
        </w:rPr>
      </w:pPr>
    </w:p>
    <w:p w:rsidR="00A438BD" w:rsidRPr="005F384F" w:rsidRDefault="00A438BD" w:rsidP="00A438BD">
      <w:pPr>
        <w:pStyle w:val="a3"/>
        <w:spacing w:line="400" w:lineRule="exact"/>
        <w:ind w:firstLineChars="0" w:firstLine="0"/>
        <w:rPr>
          <w:rFonts w:ascii="仿宋" w:eastAsia="仿宋" w:hAnsi="仿宋"/>
          <w:sz w:val="24"/>
        </w:rPr>
      </w:pPr>
    </w:p>
    <w:p w:rsidR="005F1D45" w:rsidRPr="00A438BD" w:rsidRDefault="00A438BD" w:rsidP="00A438BD">
      <w:r w:rsidRPr="005F384F">
        <w:rPr>
          <w:rFonts w:ascii="仿宋" w:eastAsia="仿宋" w:hAnsi="仿宋" w:hint="eastAsia"/>
          <w:sz w:val="24"/>
        </w:rPr>
        <w:br w:type="page"/>
      </w:r>
    </w:p>
    <w:sectPr w:rsidR="005F1D45" w:rsidRPr="00A43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BD"/>
    <w:rsid w:val="005F1D45"/>
    <w:rsid w:val="00A4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A63B-9FD9-455C-B061-CCAC2EB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semiHidden/>
    <w:unhideWhenUsed/>
    <w:qFormat/>
    <w:rsid w:val="00A438BD"/>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A438BD"/>
    <w:rPr>
      <w:rFonts w:ascii="Arial" w:eastAsia="黑体" w:hAnsi="Arial" w:cs="Times New Roman"/>
      <w:b/>
      <w:bCs/>
      <w:sz w:val="32"/>
      <w:szCs w:val="32"/>
    </w:rPr>
  </w:style>
  <w:style w:type="character" w:customStyle="1" w:styleId="Char">
    <w:name w:val="正文缩进 Char"/>
    <w:link w:val="a3"/>
    <w:semiHidden/>
    <w:qFormat/>
    <w:locked/>
    <w:rsid w:val="00A438BD"/>
    <w:rPr>
      <w:szCs w:val="24"/>
    </w:rPr>
  </w:style>
  <w:style w:type="paragraph" w:styleId="a3">
    <w:name w:val="Normal Indent"/>
    <w:basedOn w:val="a"/>
    <w:link w:val="Char"/>
    <w:semiHidden/>
    <w:unhideWhenUsed/>
    <w:qFormat/>
    <w:rsid w:val="00A438BD"/>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2022-04-06T06:57:00Z</dcterms:created>
  <dcterms:modified xsi:type="dcterms:W3CDTF">2022-04-06T06:58:00Z</dcterms:modified>
</cp:coreProperties>
</file>