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C2B" w:rsidRPr="00CF2C2B" w:rsidRDefault="00CF2C2B" w:rsidP="00CF2C2B">
      <w:pPr>
        <w:keepNext/>
        <w:keepLines/>
        <w:spacing w:before="260" w:after="260" w:line="400" w:lineRule="exact"/>
        <w:ind w:firstLineChars="98" w:firstLine="236"/>
        <w:outlineLvl w:val="1"/>
        <w:rPr>
          <w:rFonts w:ascii="仿宋" w:eastAsia="仿宋" w:hAnsi="仿宋" w:cs="Times New Roman"/>
          <w:bCs/>
          <w:sz w:val="24"/>
          <w:szCs w:val="24"/>
        </w:rPr>
      </w:pPr>
      <w:bookmarkStart w:id="0" w:name="_GoBack"/>
      <w:bookmarkEnd w:id="0"/>
      <w:r w:rsidRPr="00CF2C2B">
        <w:rPr>
          <w:rFonts w:ascii="仿宋" w:eastAsia="仿宋" w:hAnsi="仿宋" w:cs="Times New Roman" w:hint="eastAsia"/>
          <w:b/>
          <w:bCs/>
          <w:sz w:val="24"/>
          <w:szCs w:val="24"/>
        </w:rPr>
        <w:t>一、</w:t>
      </w:r>
      <w:r w:rsidRPr="00CF2C2B">
        <w:rPr>
          <w:rFonts w:ascii="仿宋" w:eastAsia="仿宋" w:hAnsi="仿宋" w:cs="Times New Roman" w:hint="eastAsia"/>
          <w:bCs/>
          <w:sz w:val="24"/>
          <w:szCs w:val="24"/>
        </w:rPr>
        <w:t>项目概述</w:t>
      </w:r>
    </w:p>
    <w:p w:rsidR="00CF2C2B" w:rsidRPr="00CF2C2B" w:rsidRDefault="00CF2C2B" w:rsidP="00CF2C2B">
      <w:pPr>
        <w:spacing w:line="40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1.</w:t>
      </w:r>
      <w:r w:rsidRPr="00CF2C2B">
        <w:rPr>
          <w:rFonts w:ascii="仿宋" w:eastAsia="仿宋" w:hAnsi="仿宋" w:cs="Times New Roman"/>
          <w:bCs/>
          <w:sz w:val="24"/>
          <w:szCs w:val="24"/>
        </w:rPr>
        <w:t>本项目一个包，采购体检服务商一名。</w:t>
      </w:r>
    </w:p>
    <w:p w:rsidR="00CF2C2B" w:rsidRPr="00CF2C2B" w:rsidRDefault="00CF2C2B" w:rsidP="00CF2C2B">
      <w:pPr>
        <w:spacing w:line="40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2.成都市不动产登记中心参加体检人员共计364人，其中40岁（含）以上男性18人、女性36人，40岁以下男性83人、女性227人，最终合同结算金额以实际参加体检人数为准。</w:t>
      </w:r>
      <w:r w:rsidRPr="00CF2C2B">
        <w:rPr>
          <w:rFonts w:ascii="仿宋" w:eastAsia="仿宋" w:hAnsi="仿宋" w:cs="Times New Roman"/>
          <w:bCs/>
          <w:sz w:val="24"/>
          <w:szCs w:val="24"/>
        </w:rPr>
        <w:t>项目报价</w:t>
      </w:r>
      <w:proofErr w:type="gramStart"/>
      <w:r w:rsidRPr="00CF2C2B">
        <w:rPr>
          <w:rFonts w:ascii="仿宋" w:eastAsia="仿宋" w:hAnsi="仿宋" w:cs="Times New Roman"/>
          <w:bCs/>
          <w:sz w:val="24"/>
          <w:szCs w:val="24"/>
        </w:rPr>
        <w:t>以以上</w:t>
      </w:r>
      <w:proofErr w:type="gramEnd"/>
      <w:r w:rsidRPr="00CF2C2B">
        <w:rPr>
          <w:rFonts w:ascii="仿宋" w:eastAsia="仿宋" w:hAnsi="仿宋" w:cs="Times New Roman"/>
          <w:bCs/>
          <w:sz w:val="24"/>
          <w:szCs w:val="24"/>
        </w:rPr>
        <w:t>人数进行报价。</w:t>
      </w:r>
    </w:p>
    <w:p w:rsidR="00CF2C2B" w:rsidRPr="00CF2C2B" w:rsidRDefault="00CF2C2B" w:rsidP="00CF2C2B">
      <w:pPr>
        <w:keepNext/>
        <w:keepLines/>
        <w:spacing w:before="260" w:after="260" w:line="400" w:lineRule="exact"/>
        <w:ind w:firstLineChars="98" w:firstLine="236"/>
        <w:outlineLvl w:val="1"/>
        <w:rPr>
          <w:rFonts w:ascii="仿宋" w:eastAsia="仿宋" w:hAnsi="仿宋" w:cs="Times New Roman"/>
          <w:bCs/>
          <w:sz w:val="24"/>
          <w:szCs w:val="24"/>
        </w:rPr>
      </w:pPr>
      <w:r w:rsidRPr="00CF2C2B">
        <w:rPr>
          <w:rFonts w:ascii="仿宋" w:eastAsia="仿宋" w:hAnsi="仿宋" w:cs="Times New Roman" w:hint="eastAsia"/>
          <w:b/>
          <w:bCs/>
          <w:sz w:val="24"/>
          <w:szCs w:val="24"/>
        </w:rPr>
        <w:t>二、</w:t>
      </w:r>
      <w:r w:rsidRPr="00CF2C2B">
        <w:rPr>
          <w:rFonts w:ascii="仿宋" w:eastAsia="仿宋" w:hAnsi="仿宋" w:cs="Times New Roman" w:hint="eastAsia"/>
          <w:bCs/>
          <w:sz w:val="24"/>
          <w:szCs w:val="24"/>
        </w:rPr>
        <w:t>项目清单</w:t>
      </w:r>
    </w:p>
    <w:tbl>
      <w:tblPr>
        <w:tblW w:w="615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30"/>
        <w:gridCol w:w="3119"/>
      </w:tblGrid>
      <w:tr w:rsidR="00CF2C2B" w:rsidRPr="00CF2C2B" w:rsidTr="00E86A02">
        <w:trPr>
          <w:trHeight w:val="390"/>
        </w:trPr>
        <w:tc>
          <w:tcPr>
            <w:tcW w:w="808" w:type="dxa"/>
            <w:vAlign w:val="center"/>
          </w:tcPr>
          <w:p w:rsidR="00CF2C2B" w:rsidRPr="00CF2C2B" w:rsidRDefault="00CF2C2B" w:rsidP="00CF2C2B">
            <w:pPr>
              <w:widowControl/>
              <w:spacing w:line="360" w:lineRule="atLeast"/>
              <w:jc w:val="center"/>
              <w:outlineLvl w:val="1"/>
              <w:rPr>
                <w:rFonts w:ascii="仿宋" w:eastAsia="仿宋" w:hAnsi="仿宋" w:cs="Times New Roman"/>
                <w:sz w:val="24"/>
                <w:szCs w:val="24"/>
              </w:rPr>
            </w:pPr>
            <w:r w:rsidRPr="00CF2C2B">
              <w:rPr>
                <w:rFonts w:ascii="仿宋" w:eastAsia="仿宋" w:hAnsi="仿宋" w:cs="Times New Roman" w:hint="eastAsia"/>
                <w:sz w:val="24"/>
                <w:szCs w:val="24"/>
              </w:rPr>
              <w:t>序号</w:t>
            </w:r>
          </w:p>
        </w:tc>
        <w:tc>
          <w:tcPr>
            <w:tcW w:w="2230" w:type="dxa"/>
            <w:vAlign w:val="center"/>
          </w:tcPr>
          <w:p w:rsidR="00CF2C2B" w:rsidRPr="00CF2C2B" w:rsidRDefault="00CF2C2B" w:rsidP="00CF2C2B">
            <w:pPr>
              <w:widowControl/>
              <w:spacing w:line="360" w:lineRule="atLeast"/>
              <w:jc w:val="center"/>
              <w:outlineLvl w:val="1"/>
              <w:rPr>
                <w:rFonts w:ascii="仿宋" w:eastAsia="仿宋" w:hAnsi="仿宋" w:cs="Times New Roman"/>
                <w:sz w:val="24"/>
                <w:szCs w:val="24"/>
              </w:rPr>
            </w:pPr>
            <w:r w:rsidRPr="00CF2C2B">
              <w:rPr>
                <w:rFonts w:ascii="仿宋" w:eastAsia="仿宋" w:hAnsi="仿宋" w:cs="Times New Roman" w:hint="eastAsia"/>
                <w:sz w:val="24"/>
                <w:szCs w:val="24"/>
              </w:rPr>
              <w:t>标的名称</w:t>
            </w:r>
          </w:p>
        </w:tc>
        <w:tc>
          <w:tcPr>
            <w:tcW w:w="3119" w:type="dxa"/>
          </w:tcPr>
          <w:p w:rsidR="00CF2C2B" w:rsidRPr="00CF2C2B" w:rsidRDefault="00CF2C2B" w:rsidP="00CF2C2B">
            <w:pPr>
              <w:widowControl/>
              <w:spacing w:line="360" w:lineRule="atLeast"/>
              <w:jc w:val="center"/>
              <w:outlineLvl w:val="1"/>
              <w:rPr>
                <w:rFonts w:ascii="仿宋" w:eastAsia="仿宋" w:hAnsi="仿宋" w:cs="Times New Roman"/>
                <w:sz w:val="24"/>
                <w:szCs w:val="24"/>
              </w:rPr>
            </w:pPr>
            <w:r w:rsidRPr="00CF2C2B">
              <w:rPr>
                <w:rFonts w:ascii="仿宋" w:eastAsia="仿宋" w:hAnsi="仿宋" w:cs="Times New Roman" w:hint="eastAsia"/>
                <w:sz w:val="24"/>
                <w:szCs w:val="24"/>
              </w:rPr>
              <w:t>所属行业</w:t>
            </w:r>
          </w:p>
        </w:tc>
      </w:tr>
      <w:tr w:rsidR="00CF2C2B" w:rsidRPr="00CF2C2B" w:rsidTr="00E86A02">
        <w:trPr>
          <w:trHeight w:val="374"/>
        </w:trPr>
        <w:tc>
          <w:tcPr>
            <w:tcW w:w="808" w:type="dxa"/>
          </w:tcPr>
          <w:p w:rsidR="00CF2C2B" w:rsidRPr="00CF2C2B" w:rsidRDefault="00CF2C2B" w:rsidP="00CF2C2B">
            <w:pPr>
              <w:widowControl/>
              <w:spacing w:line="360" w:lineRule="atLeast"/>
              <w:jc w:val="center"/>
              <w:outlineLvl w:val="1"/>
              <w:rPr>
                <w:rFonts w:ascii="仿宋" w:eastAsia="仿宋" w:hAnsi="仿宋" w:cs="Times New Roman"/>
                <w:sz w:val="24"/>
                <w:szCs w:val="24"/>
              </w:rPr>
            </w:pPr>
            <w:r w:rsidRPr="00CF2C2B">
              <w:rPr>
                <w:rFonts w:ascii="仿宋" w:eastAsia="仿宋" w:hAnsi="仿宋" w:cs="Times New Roman" w:hint="eastAsia"/>
                <w:sz w:val="24"/>
                <w:szCs w:val="24"/>
              </w:rPr>
              <w:t>1</w:t>
            </w:r>
          </w:p>
        </w:tc>
        <w:tc>
          <w:tcPr>
            <w:tcW w:w="2230" w:type="dxa"/>
          </w:tcPr>
          <w:p w:rsidR="00CF2C2B" w:rsidRPr="00CF2C2B" w:rsidRDefault="00CF2C2B" w:rsidP="00CF2C2B">
            <w:pPr>
              <w:widowControl/>
              <w:spacing w:line="360" w:lineRule="atLeast"/>
              <w:ind w:firstLineChars="196" w:firstLine="470"/>
              <w:jc w:val="left"/>
              <w:outlineLvl w:val="1"/>
              <w:rPr>
                <w:rFonts w:ascii="仿宋" w:eastAsia="仿宋" w:hAnsi="仿宋" w:cs="Times New Roman"/>
                <w:sz w:val="24"/>
                <w:szCs w:val="24"/>
              </w:rPr>
            </w:pPr>
            <w:r w:rsidRPr="00CF2C2B">
              <w:rPr>
                <w:rFonts w:ascii="仿宋" w:eastAsia="仿宋" w:hAnsi="仿宋" w:cs="Times New Roman" w:hint="eastAsia"/>
                <w:sz w:val="24"/>
                <w:szCs w:val="24"/>
              </w:rPr>
              <w:t>体检服务</w:t>
            </w:r>
          </w:p>
        </w:tc>
        <w:tc>
          <w:tcPr>
            <w:tcW w:w="3119" w:type="dxa"/>
          </w:tcPr>
          <w:p w:rsidR="00CF2C2B" w:rsidRPr="00CF2C2B" w:rsidRDefault="00CF2C2B" w:rsidP="00CF2C2B">
            <w:pPr>
              <w:widowControl/>
              <w:spacing w:line="360" w:lineRule="atLeast"/>
              <w:ind w:firstLineChars="196" w:firstLine="470"/>
              <w:jc w:val="left"/>
              <w:outlineLvl w:val="1"/>
              <w:rPr>
                <w:rFonts w:ascii="仿宋" w:eastAsia="仿宋" w:hAnsi="仿宋" w:cs="Times New Roman"/>
                <w:sz w:val="24"/>
                <w:szCs w:val="24"/>
              </w:rPr>
            </w:pPr>
            <w:r w:rsidRPr="00CF2C2B">
              <w:rPr>
                <w:rFonts w:ascii="仿宋" w:eastAsia="仿宋" w:hAnsi="仿宋" w:cs="Times New Roman" w:hint="eastAsia"/>
                <w:sz w:val="24"/>
                <w:szCs w:val="24"/>
              </w:rPr>
              <w:t>其他未列明行业</w:t>
            </w:r>
          </w:p>
        </w:tc>
      </w:tr>
    </w:tbl>
    <w:p w:rsidR="00CF2C2B" w:rsidRPr="00CF2C2B" w:rsidRDefault="00CF2C2B" w:rsidP="00CF2C2B">
      <w:pPr>
        <w:rPr>
          <w:rFonts w:ascii="仿宋" w:eastAsia="仿宋" w:hAnsi="仿宋" w:cs="Times New Roman"/>
          <w:szCs w:val="24"/>
        </w:rPr>
      </w:pPr>
    </w:p>
    <w:p w:rsidR="00CF2C2B" w:rsidRPr="00CF2C2B" w:rsidRDefault="00CF2C2B" w:rsidP="00CF2C2B">
      <w:pPr>
        <w:keepNext/>
        <w:keepLines/>
        <w:spacing w:before="260" w:after="260" w:line="400" w:lineRule="exact"/>
        <w:ind w:firstLineChars="98" w:firstLine="236"/>
        <w:outlineLvl w:val="1"/>
        <w:rPr>
          <w:rFonts w:ascii="仿宋" w:eastAsia="仿宋" w:hAnsi="仿宋" w:cs="Times New Roman"/>
          <w:bCs/>
          <w:sz w:val="24"/>
          <w:szCs w:val="24"/>
        </w:rPr>
      </w:pPr>
      <w:r w:rsidRPr="00CF2C2B">
        <w:rPr>
          <w:rFonts w:ascii="仿宋" w:eastAsia="仿宋" w:hAnsi="仿宋" w:cs="Times New Roman"/>
          <w:b/>
          <w:bCs/>
          <w:sz w:val="24"/>
          <w:szCs w:val="32"/>
        </w:rPr>
        <w:t>*</w:t>
      </w:r>
      <w:r w:rsidRPr="00CF2C2B">
        <w:rPr>
          <w:rFonts w:ascii="仿宋" w:eastAsia="仿宋" w:hAnsi="仿宋" w:cs="Times New Roman" w:hint="eastAsia"/>
          <w:b/>
          <w:bCs/>
          <w:sz w:val="24"/>
          <w:szCs w:val="24"/>
        </w:rPr>
        <w:t>三、</w:t>
      </w:r>
      <w:r w:rsidRPr="00CF2C2B">
        <w:rPr>
          <w:rFonts w:ascii="仿宋" w:eastAsia="仿宋" w:hAnsi="仿宋" w:cs="Times New Roman" w:hint="eastAsia"/>
          <w:bCs/>
          <w:sz w:val="24"/>
          <w:szCs w:val="24"/>
        </w:rPr>
        <w:t>项目要求</w:t>
      </w:r>
    </w:p>
    <w:p w:rsidR="00CF2C2B" w:rsidRPr="00CF2C2B" w:rsidRDefault="00CF2C2B" w:rsidP="00CF2C2B">
      <w:pPr>
        <w:spacing w:line="400" w:lineRule="exact"/>
        <w:ind w:firstLineChars="200" w:firstLine="480"/>
        <w:rPr>
          <w:rFonts w:ascii="仿宋" w:eastAsia="仿宋" w:hAnsi="仿宋" w:cs="Times New Roman"/>
          <w:bCs/>
          <w:sz w:val="24"/>
          <w:szCs w:val="24"/>
        </w:rPr>
      </w:pPr>
      <w:r w:rsidRPr="00CF2C2B">
        <w:rPr>
          <w:rFonts w:ascii="仿宋" w:eastAsia="仿宋" w:hAnsi="仿宋" w:cs="Times New Roman"/>
          <w:bCs/>
          <w:sz w:val="24"/>
          <w:szCs w:val="24"/>
        </w:rPr>
        <w:t>1.</w:t>
      </w:r>
      <w:r w:rsidRPr="00CF2C2B">
        <w:rPr>
          <w:rFonts w:ascii="仿宋" w:eastAsia="仿宋" w:hAnsi="仿宋" w:cs="Times New Roman" w:hint="eastAsia"/>
          <w:bCs/>
          <w:sz w:val="24"/>
          <w:szCs w:val="24"/>
        </w:rPr>
        <w:t>项目执行应符合卫生部颁布的《健康体检机构管理规定》、《健康体检基本项目目录》、《健康体检套餐内容》、符合行业现行标准及医疗健康行业相关法律法规。</w:t>
      </w:r>
    </w:p>
    <w:p w:rsidR="00CF2C2B" w:rsidRPr="00CF2C2B" w:rsidRDefault="00CF2C2B" w:rsidP="00CF2C2B">
      <w:pPr>
        <w:spacing w:line="40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2</w:t>
      </w:r>
      <w:r w:rsidRPr="00CF2C2B">
        <w:rPr>
          <w:rFonts w:ascii="仿宋" w:eastAsia="仿宋" w:hAnsi="仿宋" w:cs="Times New Roman"/>
          <w:bCs/>
          <w:sz w:val="24"/>
          <w:szCs w:val="24"/>
        </w:rPr>
        <w:t>.严格按照合同清单约定的体检项目开展健康体检</w:t>
      </w:r>
      <w:r w:rsidRPr="00CF2C2B">
        <w:rPr>
          <w:rFonts w:ascii="仿宋" w:eastAsia="仿宋" w:hAnsi="仿宋" w:cs="Times New Roman" w:hint="eastAsia"/>
          <w:bCs/>
          <w:sz w:val="24"/>
          <w:szCs w:val="24"/>
        </w:rPr>
        <w:t>。</w:t>
      </w:r>
    </w:p>
    <w:p w:rsidR="00CF2C2B" w:rsidRPr="00CF2C2B" w:rsidRDefault="00CF2C2B" w:rsidP="00CF2C2B">
      <w:pPr>
        <w:spacing w:line="40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3.采购人体检</w:t>
      </w:r>
      <w:proofErr w:type="gramStart"/>
      <w:r w:rsidRPr="00CF2C2B">
        <w:rPr>
          <w:rFonts w:ascii="仿宋" w:eastAsia="仿宋" w:hAnsi="仿宋" w:cs="Times New Roman" w:hint="eastAsia"/>
          <w:bCs/>
          <w:sz w:val="24"/>
          <w:szCs w:val="24"/>
        </w:rPr>
        <w:t>套餐表</w:t>
      </w:r>
      <w:proofErr w:type="gramEnd"/>
      <w:r w:rsidRPr="00CF2C2B">
        <w:rPr>
          <w:rFonts w:ascii="仿宋" w:eastAsia="仿宋" w:hAnsi="仿宋" w:cs="Times New Roman" w:hint="eastAsia"/>
          <w:bCs/>
          <w:sz w:val="24"/>
          <w:szCs w:val="24"/>
        </w:rPr>
        <w:t>及单价最高限价（详见下方《成都市不动产登记中心2022年健康体检套餐》。</w:t>
      </w:r>
    </w:p>
    <w:p w:rsidR="00CF2C2B" w:rsidRPr="00CF2C2B" w:rsidRDefault="00CF2C2B" w:rsidP="00CF2C2B">
      <w:pPr>
        <w:spacing w:line="400" w:lineRule="exact"/>
        <w:ind w:firstLineChars="200" w:firstLine="480"/>
        <w:rPr>
          <w:rFonts w:ascii="仿宋" w:eastAsia="仿宋" w:hAnsi="仿宋" w:cs="Times New Roman"/>
          <w:bCs/>
          <w:sz w:val="24"/>
          <w:szCs w:val="24"/>
        </w:rPr>
      </w:pPr>
    </w:p>
    <w:p w:rsidR="00CF2C2B" w:rsidRPr="00CF2C2B" w:rsidRDefault="00CF2C2B" w:rsidP="00CF2C2B">
      <w:pPr>
        <w:spacing w:line="400" w:lineRule="exact"/>
        <w:ind w:firstLineChars="200" w:firstLine="480"/>
        <w:rPr>
          <w:rFonts w:ascii="仿宋" w:eastAsia="仿宋" w:hAnsi="仿宋" w:cs="Times New Roman"/>
          <w:bCs/>
          <w:sz w:val="24"/>
          <w:szCs w:val="24"/>
        </w:rPr>
      </w:pPr>
    </w:p>
    <w:p w:rsidR="00CF2C2B" w:rsidRPr="00CF2C2B" w:rsidRDefault="00CF2C2B" w:rsidP="00CF2C2B">
      <w:pPr>
        <w:spacing w:line="400" w:lineRule="exact"/>
        <w:ind w:firstLineChars="200" w:firstLine="480"/>
        <w:rPr>
          <w:rFonts w:ascii="仿宋" w:eastAsia="仿宋" w:hAnsi="仿宋" w:cs="Times New Roman"/>
          <w:bCs/>
          <w:sz w:val="24"/>
          <w:szCs w:val="24"/>
        </w:rPr>
      </w:pPr>
    </w:p>
    <w:p w:rsidR="00CF2C2B" w:rsidRPr="00CF2C2B" w:rsidRDefault="00CF2C2B" w:rsidP="00CF2C2B">
      <w:pPr>
        <w:spacing w:line="400" w:lineRule="exact"/>
        <w:ind w:firstLineChars="200" w:firstLine="480"/>
        <w:rPr>
          <w:rFonts w:ascii="仿宋" w:eastAsia="仿宋" w:hAnsi="仿宋" w:cs="Times New Roman"/>
          <w:bCs/>
          <w:sz w:val="24"/>
          <w:szCs w:val="24"/>
        </w:rPr>
      </w:pPr>
    </w:p>
    <w:p w:rsidR="00CF2C2B" w:rsidRPr="00CF2C2B" w:rsidRDefault="00CF2C2B" w:rsidP="00CF2C2B">
      <w:pPr>
        <w:spacing w:line="400" w:lineRule="exact"/>
        <w:ind w:firstLineChars="200" w:firstLine="480"/>
        <w:rPr>
          <w:rFonts w:ascii="仿宋" w:eastAsia="仿宋" w:hAnsi="仿宋" w:cs="Times New Roman"/>
          <w:bCs/>
          <w:sz w:val="24"/>
          <w:szCs w:val="24"/>
        </w:rPr>
      </w:pPr>
    </w:p>
    <w:p w:rsidR="00CF2C2B" w:rsidRPr="00CF2C2B" w:rsidRDefault="00CF2C2B" w:rsidP="00CF2C2B">
      <w:pPr>
        <w:spacing w:line="400" w:lineRule="exact"/>
        <w:ind w:firstLineChars="200" w:firstLine="480"/>
        <w:rPr>
          <w:rFonts w:ascii="仿宋" w:eastAsia="仿宋" w:hAnsi="仿宋" w:cs="Times New Roman"/>
          <w:bCs/>
          <w:sz w:val="24"/>
          <w:szCs w:val="24"/>
        </w:rPr>
      </w:pPr>
    </w:p>
    <w:p w:rsidR="00CF2C2B" w:rsidRPr="00CF2C2B" w:rsidRDefault="00CF2C2B" w:rsidP="00CF2C2B">
      <w:pPr>
        <w:spacing w:line="400" w:lineRule="exact"/>
        <w:ind w:firstLineChars="200" w:firstLine="480"/>
        <w:rPr>
          <w:rFonts w:ascii="仿宋" w:eastAsia="仿宋" w:hAnsi="仿宋" w:cs="Times New Roman"/>
          <w:bCs/>
          <w:sz w:val="24"/>
          <w:szCs w:val="24"/>
        </w:rPr>
      </w:pPr>
    </w:p>
    <w:p w:rsidR="00CF2C2B" w:rsidRPr="00CF2C2B" w:rsidRDefault="00CF2C2B" w:rsidP="00CF2C2B">
      <w:pPr>
        <w:spacing w:line="400" w:lineRule="exact"/>
        <w:ind w:firstLineChars="200" w:firstLine="480"/>
        <w:rPr>
          <w:rFonts w:ascii="仿宋" w:eastAsia="仿宋" w:hAnsi="仿宋" w:cs="Times New Roman"/>
          <w:bCs/>
          <w:sz w:val="24"/>
          <w:szCs w:val="24"/>
        </w:rPr>
      </w:pPr>
    </w:p>
    <w:p w:rsidR="00CF2C2B" w:rsidRPr="00CF2C2B" w:rsidRDefault="00CF2C2B" w:rsidP="00CF2C2B">
      <w:pPr>
        <w:spacing w:line="400" w:lineRule="exact"/>
        <w:ind w:firstLineChars="200" w:firstLine="480"/>
        <w:rPr>
          <w:rFonts w:ascii="仿宋" w:eastAsia="仿宋" w:hAnsi="仿宋" w:cs="Times New Roman"/>
          <w:bCs/>
          <w:sz w:val="24"/>
          <w:szCs w:val="24"/>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93"/>
        <w:gridCol w:w="1463"/>
        <w:gridCol w:w="4753"/>
        <w:gridCol w:w="434"/>
        <w:gridCol w:w="470"/>
        <w:gridCol w:w="976"/>
        <w:gridCol w:w="855"/>
      </w:tblGrid>
      <w:tr w:rsidR="00CF2C2B" w:rsidRPr="00CF2C2B" w:rsidTr="00E86A02">
        <w:trPr>
          <w:trHeight w:val="570"/>
          <w:jc w:val="center"/>
        </w:trPr>
        <w:tc>
          <w:tcPr>
            <w:tcW w:w="9344" w:type="dxa"/>
            <w:gridSpan w:val="7"/>
            <w:shd w:val="clear" w:color="auto" w:fill="FFFFFF" w:themeFill="background1"/>
            <w:noWrap/>
            <w:vAlign w:val="center"/>
          </w:tcPr>
          <w:p w:rsidR="00CF2C2B" w:rsidRPr="00CF2C2B" w:rsidRDefault="00CF2C2B" w:rsidP="00CF2C2B">
            <w:pPr>
              <w:spacing w:before="240" w:after="60"/>
              <w:jc w:val="center"/>
              <w:outlineLvl w:val="0"/>
              <w:rPr>
                <w:rFonts w:ascii="仿宋" w:eastAsia="仿宋" w:hAnsi="仿宋" w:cs="Times New Roman"/>
                <w:sz w:val="24"/>
                <w:szCs w:val="32"/>
              </w:rPr>
            </w:pPr>
            <w:r w:rsidRPr="00CF2C2B">
              <w:rPr>
                <w:rFonts w:ascii="仿宋" w:eastAsia="仿宋" w:hAnsi="仿宋" w:cs="Times New Roman" w:hint="eastAsia"/>
                <w:sz w:val="32"/>
                <w:szCs w:val="32"/>
              </w:rPr>
              <w:t>成都市不动产登记中心2022年健康体检套餐（40岁以下）</w:t>
            </w:r>
          </w:p>
        </w:tc>
      </w:tr>
      <w:tr w:rsidR="00CF2C2B" w:rsidRPr="00CF2C2B" w:rsidTr="00E86A02">
        <w:trPr>
          <w:trHeight w:val="701"/>
          <w:jc w:val="center"/>
        </w:trPr>
        <w:tc>
          <w:tcPr>
            <w:tcW w:w="393" w:type="dxa"/>
            <w:vMerge w:val="restart"/>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vMerge w:val="restart"/>
            <w:shd w:val="clear" w:color="auto" w:fill="FFFFFF" w:themeFill="background1"/>
            <w:vAlign w:val="center"/>
          </w:tcPr>
          <w:p w:rsidR="00CF2C2B" w:rsidRPr="00CF2C2B" w:rsidRDefault="00CF2C2B" w:rsidP="00CF2C2B">
            <w:pPr>
              <w:spacing w:before="240" w:after="60"/>
              <w:jc w:val="center"/>
              <w:outlineLvl w:val="0"/>
              <w:rPr>
                <w:rFonts w:ascii="仿宋" w:eastAsia="仿宋" w:hAnsi="仿宋" w:cs="Times New Roman"/>
                <w:sz w:val="24"/>
                <w:szCs w:val="32"/>
              </w:rPr>
            </w:pPr>
            <w:r w:rsidRPr="00CF2C2B">
              <w:rPr>
                <w:rFonts w:ascii="仿宋" w:eastAsia="仿宋" w:hAnsi="仿宋" w:cs="Times New Roman" w:hint="eastAsia"/>
                <w:sz w:val="24"/>
                <w:szCs w:val="32"/>
              </w:rPr>
              <w:t>体检项目</w:t>
            </w:r>
          </w:p>
        </w:tc>
        <w:tc>
          <w:tcPr>
            <w:tcW w:w="4753" w:type="dxa"/>
            <w:vMerge w:val="restart"/>
            <w:shd w:val="clear" w:color="auto" w:fill="FFFFFF" w:themeFill="background1"/>
            <w:vAlign w:val="center"/>
          </w:tcPr>
          <w:p w:rsidR="00CF2C2B" w:rsidRPr="00CF2C2B" w:rsidRDefault="00CF2C2B" w:rsidP="00CF2C2B">
            <w:pPr>
              <w:spacing w:before="240" w:after="60"/>
              <w:jc w:val="center"/>
              <w:outlineLvl w:val="0"/>
              <w:rPr>
                <w:rFonts w:ascii="仿宋" w:eastAsia="仿宋" w:hAnsi="仿宋" w:cs="Times New Roman"/>
                <w:sz w:val="24"/>
                <w:szCs w:val="32"/>
              </w:rPr>
            </w:pPr>
            <w:r w:rsidRPr="00CF2C2B">
              <w:rPr>
                <w:rFonts w:ascii="仿宋" w:eastAsia="仿宋" w:hAnsi="仿宋" w:cs="Times New Roman" w:hint="eastAsia"/>
                <w:sz w:val="24"/>
                <w:szCs w:val="32"/>
              </w:rPr>
              <w:t>检查意义</w:t>
            </w:r>
          </w:p>
        </w:tc>
        <w:tc>
          <w:tcPr>
            <w:tcW w:w="2735" w:type="dxa"/>
            <w:gridSpan w:val="4"/>
            <w:shd w:val="clear" w:color="auto" w:fill="FFFFFF" w:themeFill="background1"/>
            <w:noWrap/>
            <w:vAlign w:val="center"/>
          </w:tcPr>
          <w:p w:rsidR="00CF2C2B" w:rsidRPr="00CF2C2B" w:rsidRDefault="00CF2C2B" w:rsidP="00CF2C2B">
            <w:pPr>
              <w:spacing w:before="240" w:after="60"/>
              <w:jc w:val="center"/>
              <w:outlineLvl w:val="0"/>
              <w:rPr>
                <w:rFonts w:ascii="仿宋" w:eastAsia="仿宋" w:hAnsi="仿宋" w:cs="Times New Roman"/>
                <w:sz w:val="24"/>
                <w:szCs w:val="32"/>
              </w:rPr>
            </w:pPr>
            <w:r w:rsidRPr="00CF2C2B">
              <w:rPr>
                <w:rFonts w:ascii="仿宋" w:eastAsia="仿宋" w:hAnsi="仿宋" w:cs="Times New Roman" w:hint="eastAsia"/>
                <w:sz w:val="24"/>
                <w:szCs w:val="32"/>
              </w:rPr>
              <w:t>体检价格</w:t>
            </w:r>
          </w:p>
        </w:tc>
      </w:tr>
      <w:tr w:rsidR="00CF2C2B" w:rsidRPr="00CF2C2B" w:rsidTr="00E86A02">
        <w:trPr>
          <w:trHeight w:val="1013"/>
          <w:jc w:val="center"/>
        </w:trPr>
        <w:tc>
          <w:tcPr>
            <w:tcW w:w="39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475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男</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女</w:t>
            </w:r>
          </w:p>
        </w:tc>
        <w:tc>
          <w:tcPr>
            <w:tcW w:w="976" w:type="dxa"/>
            <w:shd w:val="clear" w:color="auto" w:fill="FFFFFF" w:themeFill="background1"/>
            <w:noWrap/>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最高限价（男）</w:t>
            </w:r>
          </w:p>
        </w:tc>
        <w:tc>
          <w:tcPr>
            <w:tcW w:w="855" w:type="dxa"/>
            <w:shd w:val="clear" w:color="auto" w:fill="FFFFFF" w:themeFill="background1"/>
            <w:noWrap/>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最高限价（女）</w:t>
            </w:r>
          </w:p>
        </w:tc>
      </w:tr>
      <w:tr w:rsidR="00CF2C2B" w:rsidRPr="00CF2C2B" w:rsidTr="00E86A02">
        <w:trPr>
          <w:trHeight w:val="815"/>
          <w:jc w:val="center"/>
        </w:trPr>
        <w:tc>
          <w:tcPr>
            <w:tcW w:w="393" w:type="dxa"/>
            <w:vMerge w:val="restart"/>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化验检查</w:t>
            </w: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血常规</w:t>
            </w:r>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评估红细胞、白细胞、血红蛋白计</w:t>
            </w:r>
            <w:proofErr w:type="gramStart"/>
            <w:r w:rsidRPr="00CF2C2B">
              <w:rPr>
                <w:rFonts w:ascii="仿宋" w:eastAsia="仿宋" w:hAnsi="仿宋" w:cs="Times New Roman" w:hint="eastAsia"/>
                <w:sz w:val="24"/>
                <w:szCs w:val="32"/>
              </w:rPr>
              <w:t>数及其</w:t>
            </w:r>
            <w:proofErr w:type="gramEnd"/>
            <w:r w:rsidRPr="00CF2C2B">
              <w:rPr>
                <w:rFonts w:ascii="仿宋" w:eastAsia="仿宋" w:hAnsi="仿宋" w:cs="Times New Roman" w:hint="eastAsia"/>
                <w:sz w:val="24"/>
                <w:szCs w:val="32"/>
              </w:rPr>
              <w:t>分类，筛查血液系统疾病</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21 </w:t>
            </w: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21 </w:t>
            </w:r>
          </w:p>
        </w:tc>
      </w:tr>
      <w:tr w:rsidR="00CF2C2B" w:rsidRPr="00CF2C2B" w:rsidTr="00E86A02">
        <w:trPr>
          <w:trHeight w:val="1696"/>
          <w:jc w:val="center"/>
        </w:trPr>
        <w:tc>
          <w:tcPr>
            <w:tcW w:w="39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肝功能I</w:t>
            </w:r>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 xml:space="preserve">谷丙转氨酶、谷草转氨酶、总蛋白、白蛋白、球蛋白、总胆红素、直接胆红素、间接胆红素、r-谷氨酰基转移酶（评估肝脏功能，筛查肝脏疾病）                          </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33 </w:t>
            </w: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33 </w:t>
            </w:r>
          </w:p>
        </w:tc>
      </w:tr>
      <w:tr w:rsidR="00CF2C2B" w:rsidRPr="00CF2C2B" w:rsidTr="00E86A02">
        <w:trPr>
          <w:trHeight w:val="627"/>
          <w:jc w:val="center"/>
        </w:trPr>
        <w:tc>
          <w:tcPr>
            <w:tcW w:w="39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肾功能I</w:t>
            </w:r>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尿素、肌</w:t>
            </w:r>
            <w:proofErr w:type="gramStart"/>
            <w:r w:rsidRPr="00CF2C2B">
              <w:rPr>
                <w:rFonts w:ascii="仿宋" w:eastAsia="仿宋" w:hAnsi="仿宋" w:cs="Times New Roman" w:hint="eastAsia"/>
                <w:sz w:val="24"/>
                <w:szCs w:val="32"/>
              </w:rPr>
              <w:t>酐</w:t>
            </w:r>
            <w:proofErr w:type="gramEnd"/>
            <w:r w:rsidRPr="00CF2C2B">
              <w:rPr>
                <w:rFonts w:ascii="仿宋" w:eastAsia="仿宋" w:hAnsi="仿宋" w:cs="Times New Roman" w:hint="eastAsia"/>
                <w:sz w:val="24"/>
                <w:szCs w:val="32"/>
              </w:rPr>
              <w:t>、血尿酸、血钙（评估肾脏功能，筛查肾脏疾病）</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35 </w:t>
            </w: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35 </w:t>
            </w:r>
          </w:p>
        </w:tc>
      </w:tr>
      <w:tr w:rsidR="00CF2C2B" w:rsidRPr="00CF2C2B" w:rsidTr="00E86A02">
        <w:trPr>
          <w:trHeight w:val="488"/>
          <w:jc w:val="center"/>
        </w:trPr>
        <w:tc>
          <w:tcPr>
            <w:tcW w:w="39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血脂I、II（四项）</w:t>
            </w:r>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总胆固醇、甘油三酯、 高密度脂蛋白、低密度脂蛋白（心血管疾病的检测指标，有无高脂血症等）</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17 </w:t>
            </w: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17 </w:t>
            </w:r>
          </w:p>
        </w:tc>
      </w:tr>
      <w:tr w:rsidR="00CF2C2B" w:rsidRPr="00CF2C2B" w:rsidTr="00E86A02">
        <w:trPr>
          <w:trHeight w:val="1223"/>
          <w:jc w:val="center"/>
        </w:trPr>
        <w:tc>
          <w:tcPr>
            <w:tcW w:w="39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乙肝标志物定量(团队)</w:t>
            </w:r>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能较为准确地反映其血清中的含量, 可以间接反映体内HBV 复制活跃程度, 对临床药物疗效评价具有重要意义</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77 </w:t>
            </w: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77 </w:t>
            </w:r>
          </w:p>
        </w:tc>
      </w:tr>
      <w:tr w:rsidR="00CF2C2B" w:rsidRPr="00CF2C2B" w:rsidTr="00E86A02">
        <w:trPr>
          <w:trHeight w:val="747"/>
          <w:jc w:val="center"/>
        </w:trPr>
        <w:tc>
          <w:tcPr>
            <w:tcW w:w="39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13C呼气试验</w:t>
            </w:r>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筛查有无幽门螺杆</w:t>
            </w:r>
            <w:proofErr w:type="gramStart"/>
            <w:r w:rsidRPr="00CF2C2B">
              <w:rPr>
                <w:rFonts w:ascii="仿宋" w:eastAsia="仿宋" w:hAnsi="仿宋" w:cs="Times New Roman" w:hint="eastAsia"/>
                <w:sz w:val="24"/>
                <w:szCs w:val="32"/>
              </w:rPr>
              <w:t>菌</w:t>
            </w:r>
            <w:proofErr w:type="gramEnd"/>
            <w:r w:rsidRPr="00CF2C2B">
              <w:rPr>
                <w:rFonts w:ascii="仿宋" w:eastAsia="仿宋" w:hAnsi="仿宋" w:cs="Times New Roman" w:hint="eastAsia"/>
                <w:sz w:val="24"/>
                <w:szCs w:val="32"/>
              </w:rPr>
              <w:t>感染</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223 </w:t>
            </w: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223 </w:t>
            </w:r>
          </w:p>
        </w:tc>
      </w:tr>
      <w:tr w:rsidR="00CF2C2B" w:rsidRPr="00CF2C2B" w:rsidTr="00E86A02">
        <w:trPr>
          <w:trHeight w:val="815"/>
          <w:jc w:val="center"/>
        </w:trPr>
        <w:tc>
          <w:tcPr>
            <w:tcW w:w="39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肿瘤标志物</w:t>
            </w:r>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AFP（甲胎蛋白）,CEA（癌胚抗原）,PSA（男性前列腺特异性抗原）</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117 </w:t>
            </w: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69 </w:t>
            </w:r>
          </w:p>
        </w:tc>
      </w:tr>
      <w:tr w:rsidR="00CF2C2B" w:rsidRPr="00CF2C2B" w:rsidTr="00E86A02">
        <w:trPr>
          <w:trHeight w:val="407"/>
          <w:jc w:val="center"/>
        </w:trPr>
        <w:tc>
          <w:tcPr>
            <w:tcW w:w="39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尿常规</w:t>
            </w:r>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定量检测尿液中红细胞、白细胞、管型、上皮细胞、细菌等。并对红细胞进行分型，有助于尿路感染、肾盂肾炎、肾小球肾炎等疾病诊断。</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33 </w:t>
            </w: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33 </w:t>
            </w:r>
          </w:p>
        </w:tc>
      </w:tr>
      <w:tr w:rsidR="00CF2C2B" w:rsidRPr="00CF2C2B" w:rsidTr="00E86A02">
        <w:trPr>
          <w:trHeight w:val="478"/>
          <w:jc w:val="center"/>
        </w:trPr>
        <w:tc>
          <w:tcPr>
            <w:tcW w:w="393" w:type="dxa"/>
            <w:vMerge w:val="restart"/>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p w:rsidR="00CF2C2B" w:rsidRPr="00CF2C2B" w:rsidRDefault="00CF2C2B" w:rsidP="00CF2C2B">
            <w:pPr>
              <w:spacing w:before="240" w:after="60"/>
              <w:jc w:val="left"/>
              <w:outlineLvl w:val="0"/>
              <w:rPr>
                <w:rFonts w:ascii="仿宋" w:eastAsia="仿宋" w:hAnsi="仿宋" w:cs="Times New Roman"/>
                <w:sz w:val="24"/>
                <w:szCs w:val="32"/>
              </w:rPr>
            </w:pPr>
          </w:p>
          <w:p w:rsidR="00CF2C2B" w:rsidRPr="00CF2C2B" w:rsidRDefault="00CF2C2B" w:rsidP="00CF2C2B">
            <w:pPr>
              <w:spacing w:before="240" w:after="60"/>
              <w:jc w:val="left"/>
              <w:outlineLvl w:val="0"/>
              <w:rPr>
                <w:rFonts w:ascii="仿宋" w:eastAsia="仿宋" w:hAnsi="仿宋" w:cs="Times New Roman"/>
                <w:sz w:val="24"/>
                <w:szCs w:val="32"/>
              </w:rPr>
            </w:pPr>
          </w:p>
          <w:p w:rsidR="00CF2C2B" w:rsidRPr="00CF2C2B" w:rsidRDefault="00CF2C2B" w:rsidP="00CF2C2B">
            <w:pPr>
              <w:spacing w:before="240" w:after="60"/>
              <w:jc w:val="left"/>
              <w:outlineLvl w:val="0"/>
              <w:rPr>
                <w:rFonts w:ascii="仿宋" w:eastAsia="仿宋" w:hAnsi="仿宋" w:cs="Times New Roman"/>
                <w:sz w:val="24"/>
                <w:szCs w:val="32"/>
              </w:rPr>
            </w:pPr>
          </w:p>
          <w:p w:rsidR="00CF2C2B" w:rsidRPr="00CF2C2B" w:rsidRDefault="00CF2C2B" w:rsidP="00CF2C2B">
            <w:pPr>
              <w:spacing w:before="240" w:after="60"/>
              <w:jc w:val="left"/>
              <w:outlineLvl w:val="0"/>
              <w:rPr>
                <w:rFonts w:ascii="仿宋" w:eastAsia="仿宋" w:hAnsi="仿宋" w:cs="Times New Roman"/>
                <w:sz w:val="24"/>
                <w:szCs w:val="32"/>
              </w:rPr>
            </w:pPr>
          </w:p>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lastRenderedPageBreak/>
              <w:t>常规检查</w:t>
            </w: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lastRenderedPageBreak/>
              <w:t>男性彩超（肝胆</w:t>
            </w:r>
            <w:proofErr w:type="gramStart"/>
            <w:r w:rsidRPr="00CF2C2B">
              <w:rPr>
                <w:rFonts w:ascii="仿宋" w:eastAsia="仿宋" w:hAnsi="仿宋" w:cs="Times New Roman" w:hint="eastAsia"/>
                <w:sz w:val="24"/>
                <w:szCs w:val="32"/>
              </w:rPr>
              <w:t>胰</w:t>
            </w:r>
            <w:proofErr w:type="gramEnd"/>
            <w:r w:rsidRPr="00CF2C2B">
              <w:rPr>
                <w:rFonts w:ascii="仿宋" w:eastAsia="仿宋" w:hAnsi="仿宋" w:cs="Times New Roman" w:hint="eastAsia"/>
                <w:sz w:val="24"/>
                <w:szCs w:val="32"/>
              </w:rPr>
              <w:t>脾肾输尿管膀胱前列腺）</w:t>
            </w:r>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检查肝、胆、胰、脾、双肾、输尿管、膀胱、前列腺的结构、形态、大小，筛查各脏器有无病变</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976"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202 </w:t>
            </w:r>
          </w:p>
        </w:tc>
        <w:tc>
          <w:tcPr>
            <w:tcW w:w="855" w:type="dxa"/>
            <w:shd w:val="clear" w:color="auto" w:fill="FFFFFF" w:themeFill="background1"/>
            <w:noWrap/>
            <w:vAlign w:val="center"/>
          </w:tcPr>
          <w:p w:rsidR="00CF2C2B" w:rsidRPr="00CF2C2B" w:rsidRDefault="00CF2C2B" w:rsidP="00CF2C2B">
            <w:pPr>
              <w:jc w:val="center"/>
              <w:rPr>
                <w:rFonts w:ascii="仿宋" w:eastAsia="仿宋" w:hAnsi="仿宋" w:cs="Times New Roman"/>
                <w:sz w:val="24"/>
                <w:szCs w:val="24"/>
              </w:rPr>
            </w:pPr>
          </w:p>
        </w:tc>
      </w:tr>
      <w:tr w:rsidR="00CF2C2B" w:rsidRPr="00CF2C2B" w:rsidTr="00E86A02">
        <w:trPr>
          <w:trHeight w:val="1626"/>
          <w:jc w:val="center"/>
        </w:trPr>
        <w:tc>
          <w:tcPr>
            <w:tcW w:w="39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女性彩超（肝胆</w:t>
            </w:r>
            <w:proofErr w:type="gramStart"/>
            <w:r w:rsidRPr="00CF2C2B">
              <w:rPr>
                <w:rFonts w:ascii="仿宋" w:eastAsia="仿宋" w:hAnsi="仿宋" w:cs="Times New Roman" w:hint="eastAsia"/>
                <w:sz w:val="24"/>
                <w:szCs w:val="32"/>
              </w:rPr>
              <w:t>胰</w:t>
            </w:r>
            <w:proofErr w:type="gramEnd"/>
            <w:r w:rsidRPr="00CF2C2B">
              <w:rPr>
                <w:rFonts w:ascii="仿宋" w:eastAsia="仿宋" w:hAnsi="仿宋" w:cs="Times New Roman" w:hint="eastAsia"/>
                <w:sz w:val="24"/>
                <w:szCs w:val="32"/>
              </w:rPr>
              <w:t>脾肾输尿管膀胱子宫附</w:t>
            </w:r>
            <w:r w:rsidRPr="00CF2C2B">
              <w:rPr>
                <w:rFonts w:ascii="仿宋" w:eastAsia="仿宋" w:hAnsi="仿宋" w:cs="Times New Roman" w:hint="eastAsia"/>
                <w:sz w:val="24"/>
                <w:szCs w:val="32"/>
              </w:rPr>
              <w:lastRenderedPageBreak/>
              <w:t>件）</w:t>
            </w:r>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lastRenderedPageBreak/>
              <w:t>检查肝、胆、胰、脾、双肾、输尿管、膀胱、子宫、附件的结构、形态、大小，筛查各脏器有无病变</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jc w:val="center"/>
              <w:rPr>
                <w:rFonts w:ascii="仿宋" w:eastAsia="仿宋" w:hAnsi="仿宋" w:cs="Times New Roman"/>
                <w:sz w:val="24"/>
                <w:szCs w:val="24"/>
              </w:rPr>
            </w:pP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303 </w:t>
            </w:r>
          </w:p>
        </w:tc>
      </w:tr>
      <w:tr w:rsidR="00CF2C2B" w:rsidRPr="00CF2C2B" w:rsidTr="00E86A02">
        <w:trPr>
          <w:trHeight w:val="611"/>
          <w:jc w:val="center"/>
        </w:trPr>
        <w:tc>
          <w:tcPr>
            <w:tcW w:w="39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甲状腺及颈部淋巴</w:t>
            </w:r>
            <w:proofErr w:type="gramStart"/>
            <w:r w:rsidRPr="00CF2C2B">
              <w:rPr>
                <w:rFonts w:ascii="仿宋" w:eastAsia="仿宋" w:hAnsi="仿宋" w:cs="Times New Roman" w:hint="eastAsia"/>
                <w:sz w:val="24"/>
                <w:szCs w:val="32"/>
              </w:rPr>
              <w:t>结彩超</w:t>
            </w:r>
            <w:proofErr w:type="gramEnd"/>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了解甲状腺的结构及血流情况等，筛查病变。</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107 </w:t>
            </w: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107 </w:t>
            </w:r>
          </w:p>
        </w:tc>
      </w:tr>
      <w:tr w:rsidR="00CF2C2B" w:rsidRPr="00CF2C2B" w:rsidTr="00E86A02">
        <w:trPr>
          <w:trHeight w:val="1020"/>
          <w:jc w:val="center"/>
        </w:trPr>
        <w:tc>
          <w:tcPr>
            <w:tcW w:w="39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乳腺及腋下淋巴</w:t>
            </w:r>
            <w:proofErr w:type="gramStart"/>
            <w:r w:rsidRPr="00CF2C2B">
              <w:rPr>
                <w:rFonts w:ascii="仿宋" w:eastAsia="仿宋" w:hAnsi="仿宋" w:cs="Times New Roman" w:hint="eastAsia"/>
                <w:sz w:val="24"/>
                <w:szCs w:val="32"/>
              </w:rPr>
              <w:t>结彩超</w:t>
            </w:r>
            <w:proofErr w:type="gramEnd"/>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通过超声影像对乳房疾病进行诊断，了解有无乳腺增生症、乳腺囊肿、乳腺肿瘤等</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jc w:val="center"/>
              <w:rPr>
                <w:rFonts w:ascii="仿宋" w:eastAsia="仿宋" w:hAnsi="仿宋" w:cs="Times New Roman"/>
                <w:sz w:val="24"/>
                <w:szCs w:val="24"/>
              </w:rPr>
            </w:pP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107 </w:t>
            </w:r>
          </w:p>
        </w:tc>
      </w:tr>
      <w:tr w:rsidR="00CF2C2B" w:rsidRPr="00CF2C2B" w:rsidTr="00E86A02">
        <w:trPr>
          <w:trHeight w:val="1750"/>
          <w:jc w:val="center"/>
        </w:trPr>
        <w:tc>
          <w:tcPr>
            <w:tcW w:w="39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胸部小剂量单次多层CT扫描</w:t>
            </w:r>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临床检测肺部病变的主要方法，协助有无肺炎、肺结核、肺气肿、气胸、胸腔积液、肿瘤等病变，特别是对早期肺癌筛查具有重要意义，可检出直径小于1cm的微小肺癌，为筛查早期肺癌的“利器”，同时可协助心脏大血管、纵膈病变的评估及诊断。</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253 </w:t>
            </w: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253 </w:t>
            </w:r>
          </w:p>
        </w:tc>
      </w:tr>
      <w:tr w:rsidR="00CF2C2B" w:rsidRPr="00CF2C2B" w:rsidTr="00E86A02">
        <w:trPr>
          <w:trHeight w:val="1610"/>
          <w:jc w:val="center"/>
        </w:trPr>
        <w:tc>
          <w:tcPr>
            <w:tcW w:w="39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颈动脉彩超（8根血管）（男）</w:t>
            </w:r>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了解血管内中膜是否增厚、有无斑块、是否有血管狭窄及狭窄程度、有无闭塞等详细情况, 并能进行准确的测量及定位, 特别是可检测早期动脉粥样硬化病变的存在，对预防缺血性脑卒中有重要意义</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976"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399 </w:t>
            </w:r>
          </w:p>
        </w:tc>
        <w:tc>
          <w:tcPr>
            <w:tcW w:w="855" w:type="dxa"/>
            <w:shd w:val="clear" w:color="auto" w:fill="FFFFFF" w:themeFill="background1"/>
            <w:noWrap/>
            <w:vAlign w:val="center"/>
          </w:tcPr>
          <w:p w:rsidR="00CF2C2B" w:rsidRPr="00CF2C2B" w:rsidRDefault="00CF2C2B" w:rsidP="00CF2C2B">
            <w:pPr>
              <w:jc w:val="center"/>
              <w:rPr>
                <w:rFonts w:ascii="仿宋" w:eastAsia="仿宋" w:hAnsi="仿宋" w:cs="Times New Roman"/>
                <w:sz w:val="24"/>
                <w:szCs w:val="24"/>
              </w:rPr>
            </w:pPr>
          </w:p>
        </w:tc>
      </w:tr>
      <w:tr w:rsidR="00CF2C2B" w:rsidRPr="00CF2C2B" w:rsidTr="00E86A02">
        <w:trPr>
          <w:trHeight w:val="815"/>
          <w:jc w:val="center"/>
        </w:trPr>
        <w:tc>
          <w:tcPr>
            <w:tcW w:w="39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12导联心电图</w:t>
            </w:r>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了解有无心肌缺血、心肌梗塞、心脏传导阻滞、心律失常等</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35 </w:t>
            </w: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35 </w:t>
            </w:r>
          </w:p>
        </w:tc>
      </w:tr>
      <w:tr w:rsidR="00CF2C2B" w:rsidRPr="00CF2C2B" w:rsidTr="00E86A02">
        <w:trPr>
          <w:trHeight w:val="1223"/>
          <w:jc w:val="center"/>
        </w:trPr>
        <w:tc>
          <w:tcPr>
            <w:tcW w:w="393" w:type="dxa"/>
            <w:vMerge w:val="restart"/>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临床体格检查</w:t>
            </w: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一般检查</w:t>
            </w:r>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检查身高、体重、血压、腰围、臀围，评估心脑血管疾病危险因素，辅助判断危险程度。健康评估证据和健康计划依据</w:t>
            </w:r>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0 </w:t>
            </w: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0 </w:t>
            </w:r>
          </w:p>
        </w:tc>
      </w:tr>
      <w:tr w:rsidR="00CF2C2B" w:rsidRPr="00CF2C2B" w:rsidTr="00E86A02">
        <w:trPr>
          <w:trHeight w:val="1835"/>
          <w:jc w:val="center"/>
        </w:trPr>
        <w:tc>
          <w:tcPr>
            <w:tcW w:w="39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146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妇科体格检查+宫颈液</w:t>
            </w:r>
            <w:proofErr w:type="gramStart"/>
            <w:r w:rsidRPr="00CF2C2B">
              <w:rPr>
                <w:rFonts w:ascii="仿宋" w:eastAsia="仿宋" w:hAnsi="仿宋" w:cs="Times New Roman" w:hint="eastAsia"/>
                <w:sz w:val="24"/>
                <w:szCs w:val="32"/>
              </w:rPr>
              <w:t>基细胞学检</w:t>
            </w:r>
            <w:proofErr w:type="gramEnd"/>
            <w:r w:rsidRPr="00CF2C2B">
              <w:rPr>
                <w:rFonts w:ascii="仿宋" w:eastAsia="仿宋" w:hAnsi="仿宋" w:cs="Times New Roman" w:hint="eastAsia"/>
                <w:sz w:val="24"/>
                <w:szCs w:val="32"/>
              </w:rPr>
              <w:t>+HC2-HPVDNA</w:t>
            </w:r>
          </w:p>
        </w:tc>
        <w:tc>
          <w:tcPr>
            <w:tcW w:w="4753"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通过触诊和物理检查，了解女性的宫颈、阴道的基本情况及子宫、附件有无压痛等；同时根据宫颈液基细胞学病理变化，初筛有无宫颈炎、宫颈癌前病变、宫颈癌等（仅限有性生活史的女性检查）</w:t>
            </w:r>
          </w:p>
        </w:tc>
        <w:tc>
          <w:tcPr>
            <w:tcW w:w="434" w:type="dxa"/>
            <w:shd w:val="clear" w:color="auto" w:fill="FFFFFF" w:themeFill="background1"/>
            <w:noWrap/>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jc w:val="center"/>
              <w:rPr>
                <w:rFonts w:ascii="仿宋" w:eastAsia="仿宋" w:hAnsi="仿宋" w:cs="Times New Roman"/>
                <w:sz w:val="24"/>
                <w:szCs w:val="24"/>
              </w:rPr>
            </w:pP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588 </w:t>
            </w:r>
          </w:p>
        </w:tc>
      </w:tr>
      <w:tr w:rsidR="00CF2C2B" w:rsidRPr="00CF2C2B" w:rsidTr="00E86A02">
        <w:trPr>
          <w:trHeight w:val="611"/>
          <w:jc w:val="center"/>
        </w:trPr>
        <w:tc>
          <w:tcPr>
            <w:tcW w:w="6609" w:type="dxa"/>
            <w:gridSpan w:val="3"/>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营养早餐，建立健康档案，专家健康咨询，健康报告及报告袋，静脉采血一次性医用材料费、</w:t>
            </w:r>
            <w:proofErr w:type="gramStart"/>
            <w:r w:rsidRPr="00CF2C2B">
              <w:rPr>
                <w:rFonts w:ascii="仿宋" w:eastAsia="仿宋" w:hAnsi="仿宋" w:cs="Times New Roman" w:hint="eastAsia"/>
                <w:sz w:val="24"/>
                <w:szCs w:val="32"/>
              </w:rPr>
              <w:t>采血管</w:t>
            </w:r>
            <w:proofErr w:type="gramEnd"/>
          </w:p>
        </w:tc>
        <w:tc>
          <w:tcPr>
            <w:tcW w:w="43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470"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w:t>
            </w:r>
          </w:p>
        </w:tc>
        <w:tc>
          <w:tcPr>
            <w:tcW w:w="976"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39 </w:t>
            </w: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39 </w:t>
            </w:r>
          </w:p>
        </w:tc>
      </w:tr>
      <w:tr w:rsidR="00CF2C2B" w:rsidRPr="00CF2C2B" w:rsidTr="00E86A02">
        <w:trPr>
          <w:trHeight w:val="407"/>
          <w:jc w:val="center"/>
        </w:trPr>
        <w:tc>
          <w:tcPr>
            <w:tcW w:w="6609" w:type="dxa"/>
            <w:gridSpan w:val="3"/>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Times New Roman"/>
                <w:sz w:val="24"/>
                <w:szCs w:val="32"/>
              </w:rPr>
            </w:pPr>
            <w:r w:rsidRPr="00CF2C2B">
              <w:rPr>
                <w:rFonts w:ascii="仿宋" w:eastAsia="仿宋" w:hAnsi="仿宋" w:cs="Times New Roman" w:hint="eastAsia"/>
                <w:sz w:val="24"/>
                <w:szCs w:val="32"/>
              </w:rPr>
              <w:t>体检总价合计：单位（元/人）</w:t>
            </w:r>
          </w:p>
        </w:tc>
        <w:tc>
          <w:tcPr>
            <w:tcW w:w="434" w:type="dxa"/>
            <w:shd w:val="clear" w:color="auto" w:fill="FFFFFF" w:themeFill="background1"/>
            <w:noWrap/>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470" w:type="dxa"/>
            <w:shd w:val="clear" w:color="auto" w:fill="FFFFFF" w:themeFill="background1"/>
            <w:noWrap/>
            <w:vAlign w:val="center"/>
          </w:tcPr>
          <w:p w:rsidR="00CF2C2B" w:rsidRPr="00CF2C2B" w:rsidRDefault="00CF2C2B" w:rsidP="00CF2C2B">
            <w:pPr>
              <w:spacing w:before="240" w:after="60"/>
              <w:jc w:val="left"/>
              <w:outlineLvl w:val="0"/>
              <w:rPr>
                <w:rFonts w:ascii="仿宋" w:eastAsia="仿宋" w:hAnsi="仿宋" w:cs="Times New Roman"/>
                <w:sz w:val="24"/>
                <w:szCs w:val="32"/>
              </w:rPr>
            </w:pPr>
          </w:p>
        </w:tc>
        <w:tc>
          <w:tcPr>
            <w:tcW w:w="976"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1591 </w:t>
            </w:r>
          </w:p>
        </w:tc>
        <w:tc>
          <w:tcPr>
            <w:tcW w:w="855"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Times New Roman"/>
                <w:sz w:val="24"/>
                <w:szCs w:val="24"/>
              </w:rPr>
            </w:pPr>
            <w:r w:rsidRPr="00CF2C2B">
              <w:rPr>
                <w:rFonts w:ascii="宋体" w:eastAsia="宋体" w:hAnsi="宋体" w:cs="宋体" w:hint="eastAsia"/>
                <w:kern w:val="0"/>
                <w:sz w:val="22"/>
                <w:lang w:bidi="ar"/>
              </w:rPr>
              <w:t xml:space="preserve">1940 </w:t>
            </w:r>
          </w:p>
        </w:tc>
      </w:tr>
    </w:tbl>
    <w:p w:rsidR="00CF2C2B" w:rsidRPr="00CF2C2B" w:rsidRDefault="00CF2C2B" w:rsidP="00CF2C2B">
      <w:pPr>
        <w:spacing w:before="240" w:after="60"/>
        <w:jc w:val="left"/>
        <w:outlineLvl w:val="0"/>
        <w:rPr>
          <w:rFonts w:ascii="仿宋" w:eastAsia="仿宋" w:hAnsi="仿宋" w:cs="Times New Roman"/>
          <w:b/>
          <w:bCs/>
          <w:sz w:val="24"/>
          <w:szCs w:val="32"/>
        </w:rPr>
      </w:pPr>
      <w:r w:rsidRPr="00CF2C2B">
        <w:rPr>
          <w:rFonts w:ascii="仿宋" w:eastAsia="仿宋" w:hAnsi="仿宋" w:cs="Times New Roman"/>
          <w:b/>
          <w:bCs/>
          <w:sz w:val="24"/>
          <w:szCs w:val="32"/>
        </w:rPr>
        <w:lastRenderedPageBreak/>
        <w:br w:type="page"/>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394"/>
        <w:gridCol w:w="4708"/>
        <w:gridCol w:w="524"/>
        <w:gridCol w:w="452"/>
        <w:gridCol w:w="959"/>
        <w:gridCol w:w="961"/>
      </w:tblGrid>
      <w:tr w:rsidR="00CF2C2B" w:rsidRPr="00CF2C2B" w:rsidTr="00E86A02">
        <w:trPr>
          <w:trHeight w:val="932"/>
          <w:jc w:val="center"/>
        </w:trPr>
        <w:tc>
          <w:tcPr>
            <w:tcW w:w="9521" w:type="dxa"/>
            <w:gridSpan w:val="7"/>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32"/>
                <w:szCs w:val="32"/>
                <w:lang w:bidi="ar"/>
              </w:rPr>
              <w:lastRenderedPageBreak/>
              <w:t xml:space="preserve"> </w:t>
            </w:r>
            <w:r w:rsidRPr="00CF2C2B">
              <w:rPr>
                <w:rFonts w:ascii="仿宋" w:eastAsia="仿宋" w:hAnsi="仿宋" w:cs="仿宋" w:hint="eastAsia"/>
                <w:sz w:val="32"/>
                <w:szCs w:val="32"/>
              </w:rPr>
              <w:t>成都市不动产登记中心2022年健康体检套餐（40岁以上含40岁）</w:t>
            </w:r>
          </w:p>
        </w:tc>
      </w:tr>
      <w:tr w:rsidR="00CF2C2B" w:rsidRPr="00CF2C2B" w:rsidTr="00E86A02">
        <w:trPr>
          <w:trHeight w:val="551"/>
          <w:jc w:val="center"/>
        </w:trPr>
        <w:tc>
          <w:tcPr>
            <w:tcW w:w="523" w:type="dxa"/>
            <w:vMerge w:val="restart"/>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仿宋"/>
                <w:sz w:val="24"/>
                <w:szCs w:val="24"/>
              </w:rPr>
            </w:pPr>
          </w:p>
        </w:tc>
        <w:tc>
          <w:tcPr>
            <w:tcW w:w="1394" w:type="dxa"/>
            <w:vMerge w:val="restart"/>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仿宋"/>
                <w:sz w:val="24"/>
                <w:szCs w:val="24"/>
              </w:rPr>
            </w:pPr>
            <w:r w:rsidRPr="00CF2C2B">
              <w:rPr>
                <w:rFonts w:ascii="仿宋" w:eastAsia="仿宋" w:hAnsi="仿宋" w:cs="Times New Roman" w:hint="eastAsia"/>
                <w:sz w:val="24"/>
                <w:szCs w:val="32"/>
              </w:rPr>
              <w:t>体检项目</w:t>
            </w:r>
          </w:p>
        </w:tc>
        <w:tc>
          <w:tcPr>
            <w:tcW w:w="4708" w:type="dxa"/>
            <w:vMerge w:val="restart"/>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仿宋"/>
                <w:sz w:val="24"/>
                <w:szCs w:val="24"/>
              </w:rPr>
            </w:pPr>
            <w:r w:rsidRPr="00CF2C2B">
              <w:rPr>
                <w:rFonts w:ascii="仿宋" w:eastAsia="仿宋" w:hAnsi="仿宋" w:cs="Times New Roman" w:hint="eastAsia"/>
                <w:sz w:val="24"/>
                <w:szCs w:val="32"/>
              </w:rPr>
              <w:t>检查意义</w:t>
            </w:r>
          </w:p>
        </w:tc>
        <w:tc>
          <w:tcPr>
            <w:tcW w:w="2896" w:type="dxa"/>
            <w:gridSpan w:val="4"/>
            <w:shd w:val="clear" w:color="auto" w:fill="FFFFFF" w:themeFill="background1"/>
            <w:vAlign w:val="center"/>
          </w:tcPr>
          <w:p w:rsidR="00CF2C2B" w:rsidRPr="00CF2C2B" w:rsidRDefault="00CF2C2B" w:rsidP="00CF2C2B">
            <w:pPr>
              <w:spacing w:before="240" w:after="60"/>
              <w:jc w:val="center"/>
              <w:outlineLvl w:val="0"/>
              <w:rPr>
                <w:rFonts w:ascii="仿宋" w:eastAsia="仿宋" w:hAnsi="仿宋" w:cs="仿宋"/>
                <w:sz w:val="24"/>
                <w:szCs w:val="24"/>
              </w:rPr>
            </w:pPr>
            <w:r w:rsidRPr="00CF2C2B">
              <w:rPr>
                <w:rFonts w:ascii="仿宋" w:eastAsia="仿宋" w:hAnsi="仿宋" w:cs="Times New Roman" w:hint="eastAsia"/>
                <w:sz w:val="24"/>
                <w:szCs w:val="32"/>
              </w:rPr>
              <w:t>体检价格</w:t>
            </w:r>
          </w:p>
        </w:tc>
      </w:tr>
      <w:tr w:rsidR="00CF2C2B" w:rsidRPr="00CF2C2B" w:rsidTr="00E86A02">
        <w:trPr>
          <w:trHeight w:val="90"/>
          <w:jc w:val="center"/>
        </w:trPr>
        <w:tc>
          <w:tcPr>
            <w:tcW w:w="523"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仿宋"/>
                <w:sz w:val="24"/>
                <w:szCs w:val="24"/>
              </w:rPr>
            </w:pPr>
          </w:p>
        </w:tc>
        <w:tc>
          <w:tcPr>
            <w:tcW w:w="1394"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仿宋"/>
                <w:sz w:val="24"/>
                <w:szCs w:val="24"/>
              </w:rPr>
            </w:pPr>
          </w:p>
        </w:tc>
        <w:tc>
          <w:tcPr>
            <w:tcW w:w="4708" w:type="dxa"/>
            <w:vMerge/>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仿宋"/>
                <w:sz w:val="24"/>
                <w:szCs w:val="24"/>
              </w:rPr>
            </w:pPr>
          </w:p>
        </w:tc>
        <w:tc>
          <w:tcPr>
            <w:tcW w:w="524"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仿宋"/>
                <w:sz w:val="24"/>
                <w:szCs w:val="24"/>
              </w:rPr>
            </w:pPr>
            <w:r w:rsidRPr="00CF2C2B">
              <w:rPr>
                <w:rFonts w:ascii="仿宋" w:eastAsia="仿宋" w:hAnsi="仿宋" w:cs="Times New Roman" w:hint="eastAsia"/>
                <w:sz w:val="24"/>
                <w:szCs w:val="32"/>
              </w:rPr>
              <w:t>男</w:t>
            </w:r>
          </w:p>
        </w:tc>
        <w:tc>
          <w:tcPr>
            <w:tcW w:w="452" w:type="dxa"/>
            <w:shd w:val="clear" w:color="auto" w:fill="FFFFFF" w:themeFill="background1"/>
            <w:vAlign w:val="center"/>
          </w:tcPr>
          <w:p w:rsidR="00CF2C2B" w:rsidRPr="00CF2C2B" w:rsidRDefault="00CF2C2B" w:rsidP="00CF2C2B">
            <w:pPr>
              <w:spacing w:before="240" w:after="60"/>
              <w:jc w:val="left"/>
              <w:outlineLvl w:val="0"/>
              <w:rPr>
                <w:rFonts w:ascii="仿宋" w:eastAsia="仿宋" w:hAnsi="仿宋" w:cs="仿宋"/>
                <w:sz w:val="24"/>
                <w:szCs w:val="24"/>
              </w:rPr>
            </w:pPr>
            <w:r w:rsidRPr="00CF2C2B">
              <w:rPr>
                <w:rFonts w:ascii="仿宋" w:eastAsia="仿宋" w:hAnsi="仿宋" w:cs="Times New Roman" w:hint="eastAsia"/>
                <w:sz w:val="24"/>
                <w:szCs w:val="32"/>
              </w:rPr>
              <w:t>女</w:t>
            </w:r>
          </w:p>
        </w:tc>
        <w:tc>
          <w:tcPr>
            <w:tcW w:w="959" w:type="dxa"/>
            <w:shd w:val="clear" w:color="auto" w:fill="FFFFFF" w:themeFill="background1"/>
            <w:noWrap/>
            <w:vAlign w:val="center"/>
          </w:tcPr>
          <w:p w:rsidR="00CF2C2B" w:rsidRPr="00CF2C2B" w:rsidRDefault="00CF2C2B" w:rsidP="00CF2C2B">
            <w:pPr>
              <w:spacing w:before="240" w:after="60"/>
              <w:jc w:val="left"/>
              <w:outlineLvl w:val="0"/>
              <w:rPr>
                <w:rFonts w:ascii="仿宋" w:eastAsia="仿宋" w:hAnsi="仿宋" w:cs="仿宋"/>
                <w:sz w:val="24"/>
                <w:szCs w:val="24"/>
              </w:rPr>
            </w:pPr>
            <w:r w:rsidRPr="00CF2C2B">
              <w:rPr>
                <w:rFonts w:ascii="仿宋" w:eastAsia="仿宋" w:hAnsi="仿宋" w:cs="Times New Roman" w:hint="eastAsia"/>
                <w:sz w:val="24"/>
                <w:szCs w:val="32"/>
              </w:rPr>
              <w:t>最高限价（男）</w:t>
            </w:r>
          </w:p>
        </w:tc>
        <w:tc>
          <w:tcPr>
            <w:tcW w:w="961" w:type="dxa"/>
            <w:shd w:val="clear" w:color="auto" w:fill="FFFFFF" w:themeFill="background1"/>
            <w:noWrap/>
            <w:vAlign w:val="center"/>
          </w:tcPr>
          <w:p w:rsidR="00CF2C2B" w:rsidRPr="00CF2C2B" w:rsidRDefault="00CF2C2B" w:rsidP="00CF2C2B">
            <w:pPr>
              <w:spacing w:before="240" w:after="60"/>
              <w:jc w:val="left"/>
              <w:outlineLvl w:val="0"/>
              <w:rPr>
                <w:rFonts w:ascii="仿宋" w:eastAsia="仿宋" w:hAnsi="仿宋" w:cs="仿宋"/>
                <w:sz w:val="24"/>
                <w:szCs w:val="24"/>
              </w:rPr>
            </w:pPr>
            <w:r w:rsidRPr="00CF2C2B">
              <w:rPr>
                <w:rFonts w:ascii="仿宋" w:eastAsia="仿宋" w:hAnsi="仿宋" w:cs="Times New Roman" w:hint="eastAsia"/>
                <w:sz w:val="24"/>
                <w:szCs w:val="32"/>
              </w:rPr>
              <w:t>最高限价（女）</w:t>
            </w:r>
          </w:p>
        </w:tc>
      </w:tr>
      <w:tr w:rsidR="00CF2C2B" w:rsidRPr="00CF2C2B" w:rsidTr="00E86A02">
        <w:trPr>
          <w:trHeight w:val="803"/>
          <w:jc w:val="center"/>
        </w:trPr>
        <w:tc>
          <w:tcPr>
            <w:tcW w:w="523" w:type="dxa"/>
            <w:vMerge w:val="restart"/>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化验检查</w:t>
            </w: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血常规</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评估红细胞、白细胞、血红蛋白计</w:t>
            </w:r>
            <w:proofErr w:type="gramStart"/>
            <w:r w:rsidRPr="00CF2C2B">
              <w:rPr>
                <w:rFonts w:ascii="仿宋" w:eastAsia="仿宋" w:hAnsi="仿宋" w:cs="仿宋" w:hint="eastAsia"/>
                <w:kern w:val="0"/>
                <w:sz w:val="24"/>
                <w:szCs w:val="24"/>
                <w:lang w:bidi="ar"/>
              </w:rPr>
              <w:t>数及其</w:t>
            </w:r>
            <w:proofErr w:type="gramEnd"/>
            <w:r w:rsidRPr="00CF2C2B">
              <w:rPr>
                <w:rFonts w:ascii="仿宋" w:eastAsia="仿宋" w:hAnsi="仿宋" w:cs="仿宋" w:hint="eastAsia"/>
                <w:kern w:val="0"/>
                <w:sz w:val="24"/>
                <w:szCs w:val="24"/>
                <w:lang w:bidi="ar"/>
              </w:rPr>
              <w:t>分类，筛查血液系统疾病</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21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21 </w:t>
            </w:r>
          </w:p>
        </w:tc>
      </w:tr>
      <w:tr w:rsidR="00CF2C2B" w:rsidRPr="00CF2C2B" w:rsidTr="00E86A02">
        <w:trPr>
          <w:trHeight w:val="90"/>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肝功能I</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 xml:space="preserve">谷丙转氨酶、谷草转氨酶、总蛋白、白蛋白、球蛋白、总胆红素、直接胆红素、间接胆红素、r-谷氨酰基转移酶（评估肝脏功能，筛查肝脏疾病）                          </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33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33 </w:t>
            </w:r>
          </w:p>
        </w:tc>
      </w:tr>
      <w:tr w:rsidR="00CF2C2B" w:rsidRPr="00CF2C2B" w:rsidTr="00E86A02">
        <w:trPr>
          <w:trHeight w:val="904"/>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肾功能I</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尿素、肌</w:t>
            </w:r>
            <w:proofErr w:type="gramStart"/>
            <w:r w:rsidRPr="00CF2C2B">
              <w:rPr>
                <w:rFonts w:ascii="仿宋" w:eastAsia="仿宋" w:hAnsi="仿宋" w:cs="仿宋" w:hint="eastAsia"/>
                <w:kern w:val="0"/>
                <w:sz w:val="24"/>
                <w:szCs w:val="24"/>
                <w:lang w:bidi="ar"/>
              </w:rPr>
              <w:t>酐</w:t>
            </w:r>
            <w:proofErr w:type="gramEnd"/>
            <w:r w:rsidRPr="00CF2C2B">
              <w:rPr>
                <w:rFonts w:ascii="仿宋" w:eastAsia="仿宋" w:hAnsi="仿宋" w:cs="仿宋" w:hint="eastAsia"/>
                <w:kern w:val="0"/>
                <w:sz w:val="24"/>
                <w:szCs w:val="24"/>
                <w:lang w:bidi="ar"/>
              </w:rPr>
              <w:t>、血尿酸、血钙（评估肾脏功能，筛查肾脏疾病）</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35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35 </w:t>
            </w:r>
          </w:p>
        </w:tc>
      </w:tr>
      <w:tr w:rsidR="00CF2C2B" w:rsidRPr="00CF2C2B" w:rsidTr="00E86A02">
        <w:trPr>
          <w:trHeight w:val="1068"/>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血脂I、II（四项）</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总胆固醇、甘油三酯、 高密度脂蛋白、低密度脂蛋白（心血管疾病的检测指标，有无高脂血症等）</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17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17 </w:t>
            </w:r>
          </w:p>
        </w:tc>
      </w:tr>
      <w:tr w:rsidR="00CF2C2B" w:rsidRPr="00CF2C2B" w:rsidTr="00E86A02">
        <w:trPr>
          <w:trHeight w:val="794"/>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同型半胱氨酸</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协助判断动脉粥样硬化性疾病、复发性静脉补血栓疾病的风险</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43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43 </w:t>
            </w:r>
          </w:p>
        </w:tc>
      </w:tr>
      <w:tr w:rsidR="00CF2C2B" w:rsidRPr="00CF2C2B" w:rsidTr="00E86A02">
        <w:trPr>
          <w:trHeight w:val="819"/>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甲状腺功能五项</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了解甲状腺激素水平，提示有无甲亢、甲减、自身免疫性甲状腺疾病等疾病</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184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184 </w:t>
            </w:r>
          </w:p>
        </w:tc>
      </w:tr>
      <w:tr w:rsidR="00CF2C2B" w:rsidRPr="00CF2C2B" w:rsidTr="00E86A02">
        <w:trPr>
          <w:trHeight w:val="956"/>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乙肝标志物定量(团队)</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能较为准确地反映其血清中的含量, 可以间接反映体内HBV 复制活跃程度, 对临床药物疗效评价具有重要意义</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77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77 </w:t>
            </w:r>
          </w:p>
        </w:tc>
      </w:tr>
      <w:tr w:rsidR="00CF2C2B" w:rsidRPr="00CF2C2B" w:rsidTr="00E86A02">
        <w:trPr>
          <w:trHeight w:val="532"/>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13C呼气试验</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筛查有无幽门螺杆</w:t>
            </w:r>
            <w:proofErr w:type="gramStart"/>
            <w:r w:rsidRPr="00CF2C2B">
              <w:rPr>
                <w:rFonts w:ascii="仿宋" w:eastAsia="仿宋" w:hAnsi="仿宋" w:cs="仿宋" w:hint="eastAsia"/>
                <w:kern w:val="0"/>
                <w:sz w:val="24"/>
                <w:szCs w:val="24"/>
                <w:lang w:bidi="ar"/>
              </w:rPr>
              <w:t>菌</w:t>
            </w:r>
            <w:proofErr w:type="gramEnd"/>
            <w:r w:rsidRPr="00CF2C2B">
              <w:rPr>
                <w:rFonts w:ascii="仿宋" w:eastAsia="仿宋" w:hAnsi="仿宋" w:cs="仿宋" w:hint="eastAsia"/>
                <w:kern w:val="0"/>
                <w:sz w:val="24"/>
                <w:szCs w:val="24"/>
                <w:lang w:bidi="ar"/>
              </w:rPr>
              <w:t>感染</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223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223 </w:t>
            </w:r>
          </w:p>
        </w:tc>
      </w:tr>
      <w:tr w:rsidR="00CF2C2B" w:rsidRPr="00CF2C2B" w:rsidTr="00E86A02">
        <w:trPr>
          <w:trHeight w:val="879"/>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肿瘤标志物</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AFP（甲胎蛋白）,CEA（癌胚抗原）,PSA（男性前列腺特异性抗原）</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117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69 </w:t>
            </w:r>
          </w:p>
        </w:tc>
      </w:tr>
      <w:tr w:rsidR="00CF2C2B" w:rsidRPr="00CF2C2B" w:rsidTr="00E86A02">
        <w:trPr>
          <w:trHeight w:val="90"/>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尿常规</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定量检测尿液中红细胞、白细胞、管型、上皮细胞、细菌等。并对红细胞进行分型，有助于尿路感染、肾盂肾炎、肾小球肾炎等疾病诊断。</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33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33 </w:t>
            </w:r>
          </w:p>
        </w:tc>
      </w:tr>
      <w:tr w:rsidR="00CF2C2B" w:rsidRPr="00CF2C2B" w:rsidTr="00E86A02">
        <w:trPr>
          <w:trHeight w:val="1498"/>
          <w:jc w:val="center"/>
        </w:trPr>
        <w:tc>
          <w:tcPr>
            <w:tcW w:w="523" w:type="dxa"/>
            <w:vMerge w:val="restart"/>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常规检查</w:t>
            </w: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男性彩超（肝胆</w:t>
            </w:r>
            <w:proofErr w:type="gramStart"/>
            <w:r w:rsidRPr="00CF2C2B">
              <w:rPr>
                <w:rFonts w:ascii="仿宋" w:eastAsia="仿宋" w:hAnsi="仿宋" w:cs="仿宋" w:hint="eastAsia"/>
                <w:kern w:val="0"/>
                <w:sz w:val="24"/>
                <w:szCs w:val="24"/>
                <w:lang w:bidi="ar"/>
              </w:rPr>
              <w:t>胰</w:t>
            </w:r>
            <w:proofErr w:type="gramEnd"/>
            <w:r w:rsidRPr="00CF2C2B">
              <w:rPr>
                <w:rFonts w:ascii="仿宋" w:eastAsia="仿宋" w:hAnsi="仿宋" w:cs="仿宋" w:hint="eastAsia"/>
                <w:kern w:val="0"/>
                <w:sz w:val="24"/>
                <w:szCs w:val="24"/>
                <w:lang w:bidi="ar"/>
              </w:rPr>
              <w:t>脾肾输尿管膀胱前列腺）</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检查肝、胆、胰、脾、双肾、输尿管、膀胱、前列腺的结构、形态、大小，筛查各脏器有无病变</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noWrap/>
            <w:vAlign w:val="center"/>
          </w:tcPr>
          <w:p w:rsidR="00CF2C2B" w:rsidRPr="00CF2C2B" w:rsidRDefault="00CF2C2B" w:rsidP="00CF2C2B">
            <w:pPr>
              <w:jc w:val="center"/>
              <w:rPr>
                <w:rFonts w:ascii="仿宋" w:eastAsia="仿宋" w:hAnsi="仿宋" w:cs="仿宋"/>
                <w:sz w:val="24"/>
                <w:szCs w:val="24"/>
              </w:rPr>
            </w:pP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202 </w:t>
            </w:r>
          </w:p>
        </w:tc>
        <w:tc>
          <w:tcPr>
            <w:tcW w:w="961" w:type="dxa"/>
            <w:shd w:val="clear" w:color="auto" w:fill="FFFFFF" w:themeFill="background1"/>
            <w:noWrap/>
            <w:vAlign w:val="center"/>
          </w:tcPr>
          <w:p w:rsidR="00CF2C2B" w:rsidRPr="00CF2C2B" w:rsidRDefault="00CF2C2B" w:rsidP="00CF2C2B">
            <w:pPr>
              <w:jc w:val="center"/>
              <w:rPr>
                <w:rFonts w:ascii="仿宋" w:eastAsia="仿宋" w:hAnsi="仿宋" w:cs="仿宋"/>
                <w:sz w:val="24"/>
                <w:szCs w:val="24"/>
              </w:rPr>
            </w:pPr>
          </w:p>
        </w:tc>
      </w:tr>
      <w:tr w:rsidR="00CF2C2B" w:rsidRPr="00CF2C2B" w:rsidTr="00E86A02">
        <w:trPr>
          <w:trHeight w:val="1718"/>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女性彩超（肝胆</w:t>
            </w:r>
            <w:proofErr w:type="gramStart"/>
            <w:r w:rsidRPr="00CF2C2B">
              <w:rPr>
                <w:rFonts w:ascii="仿宋" w:eastAsia="仿宋" w:hAnsi="仿宋" w:cs="仿宋" w:hint="eastAsia"/>
                <w:kern w:val="0"/>
                <w:sz w:val="24"/>
                <w:szCs w:val="24"/>
                <w:lang w:bidi="ar"/>
              </w:rPr>
              <w:t>胰</w:t>
            </w:r>
            <w:proofErr w:type="gramEnd"/>
            <w:r w:rsidRPr="00CF2C2B">
              <w:rPr>
                <w:rFonts w:ascii="仿宋" w:eastAsia="仿宋" w:hAnsi="仿宋" w:cs="仿宋" w:hint="eastAsia"/>
                <w:kern w:val="0"/>
                <w:sz w:val="24"/>
                <w:szCs w:val="24"/>
                <w:lang w:bidi="ar"/>
              </w:rPr>
              <w:t>脾肾输尿管膀胱子宫附件）</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检查肝、胆、胰、脾、双肾、输尿管、膀胱、子宫、附件的结构、形态、大小，筛查各脏器有无病变</w:t>
            </w:r>
          </w:p>
        </w:tc>
        <w:tc>
          <w:tcPr>
            <w:tcW w:w="524" w:type="dxa"/>
            <w:shd w:val="clear" w:color="auto" w:fill="FFFFFF" w:themeFill="background1"/>
            <w:noWrap/>
            <w:vAlign w:val="center"/>
          </w:tcPr>
          <w:p w:rsidR="00CF2C2B" w:rsidRPr="00CF2C2B" w:rsidRDefault="00CF2C2B" w:rsidP="00CF2C2B">
            <w:pPr>
              <w:jc w:val="center"/>
              <w:rPr>
                <w:rFonts w:ascii="仿宋" w:eastAsia="仿宋" w:hAnsi="仿宋" w:cs="仿宋"/>
                <w:sz w:val="24"/>
                <w:szCs w:val="24"/>
              </w:rPr>
            </w:pP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jc w:val="center"/>
              <w:rPr>
                <w:rFonts w:ascii="仿宋" w:eastAsia="仿宋" w:hAnsi="仿宋" w:cs="仿宋"/>
                <w:sz w:val="24"/>
                <w:szCs w:val="24"/>
              </w:rPr>
            </w:pP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303 </w:t>
            </w:r>
          </w:p>
        </w:tc>
      </w:tr>
      <w:tr w:rsidR="00CF2C2B" w:rsidRPr="00CF2C2B" w:rsidTr="00E86A02">
        <w:trPr>
          <w:trHeight w:val="870"/>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甲状腺及颈部淋巴</w:t>
            </w:r>
            <w:proofErr w:type="gramStart"/>
            <w:r w:rsidRPr="00CF2C2B">
              <w:rPr>
                <w:rFonts w:ascii="仿宋" w:eastAsia="仿宋" w:hAnsi="仿宋" w:cs="仿宋" w:hint="eastAsia"/>
                <w:kern w:val="0"/>
                <w:sz w:val="24"/>
                <w:szCs w:val="24"/>
                <w:lang w:bidi="ar"/>
              </w:rPr>
              <w:t>结彩超</w:t>
            </w:r>
            <w:proofErr w:type="gramEnd"/>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了解甲状腺的结构及血流情况等，筛查病变。</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107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107 </w:t>
            </w:r>
          </w:p>
        </w:tc>
      </w:tr>
      <w:tr w:rsidR="00CF2C2B" w:rsidRPr="00CF2C2B" w:rsidTr="00E86A02">
        <w:trPr>
          <w:trHeight w:val="1194"/>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乳腺及腋下淋巴</w:t>
            </w:r>
            <w:proofErr w:type="gramStart"/>
            <w:r w:rsidRPr="00CF2C2B">
              <w:rPr>
                <w:rFonts w:ascii="仿宋" w:eastAsia="仿宋" w:hAnsi="仿宋" w:cs="仿宋" w:hint="eastAsia"/>
                <w:kern w:val="0"/>
                <w:sz w:val="24"/>
                <w:szCs w:val="24"/>
                <w:lang w:bidi="ar"/>
              </w:rPr>
              <w:t>结彩超</w:t>
            </w:r>
            <w:proofErr w:type="gramEnd"/>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通过超声影像对乳房疾病进行诊断，了解有无乳腺增生症、乳腺囊肿、乳腺肿瘤等</w:t>
            </w:r>
          </w:p>
        </w:tc>
        <w:tc>
          <w:tcPr>
            <w:tcW w:w="524" w:type="dxa"/>
            <w:shd w:val="clear" w:color="auto" w:fill="FFFFFF" w:themeFill="background1"/>
            <w:noWrap/>
            <w:vAlign w:val="center"/>
          </w:tcPr>
          <w:p w:rsidR="00CF2C2B" w:rsidRPr="00CF2C2B" w:rsidRDefault="00CF2C2B" w:rsidP="00CF2C2B">
            <w:pPr>
              <w:jc w:val="center"/>
              <w:rPr>
                <w:rFonts w:ascii="仿宋" w:eastAsia="仿宋" w:hAnsi="仿宋" w:cs="仿宋"/>
                <w:sz w:val="24"/>
                <w:szCs w:val="24"/>
              </w:rPr>
            </w:pP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jc w:val="center"/>
              <w:rPr>
                <w:rFonts w:ascii="仿宋" w:eastAsia="仿宋" w:hAnsi="仿宋" w:cs="仿宋"/>
                <w:sz w:val="24"/>
                <w:szCs w:val="24"/>
              </w:rPr>
            </w:pP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107 </w:t>
            </w:r>
          </w:p>
        </w:tc>
      </w:tr>
      <w:tr w:rsidR="00CF2C2B" w:rsidRPr="00CF2C2B" w:rsidTr="00E86A02">
        <w:trPr>
          <w:trHeight w:val="1958"/>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胸部小剂量单次多层CT扫描</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临床检测肺部病变的主要方法，协助有无肺炎、肺结核、肺气肿、气胸、胸腔积液、肿瘤等病变，特别是对早期肺癌筛查具有重要意义，可检出直径小于1cm的微小肺癌，为筛查早期肺癌的“利器”，同时可协助心脏大血管、纵膈病变的评估及诊断。</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253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253 </w:t>
            </w:r>
          </w:p>
        </w:tc>
      </w:tr>
      <w:tr w:rsidR="00CF2C2B" w:rsidRPr="00CF2C2B" w:rsidTr="00E86A02">
        <w:trPr>
          <w:trHeight w:val="1450"/>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心脏彩超</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动态显示心腔内结构、心脏的搏动和血液流动，评估有无高血压性心脏病、冠心病、先天性心脏病等心脏结构功能改变，是诊断心脏疾病的有效检查手段</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248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248 </w:t>
            </w:r>
          </w:p>
        </w:tc>
      </w:tr>
      <w:tr w:rsidR="00CF2C2B" w:rsidRPr="00CF2C2B" w:rsidTr="00E86A02">
        <w:trPr>
          <w:trHeight w:val="90"/>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颈动脉彩超（8根血管）（男）</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了解血管内中膜是否增厚、有无斑块、是否有血管狭窄及狭窄程度、有无闭塞等详细情况, 并能进行准确的测量及定位, 特别是可检测早期动脉粥样硬化病变的存在，对预防缺血性脑卒中有重要意义</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noWrap/>
            <w:vAlign w:val="center"/>
          </w:tcPr>
          <w:p w:rsidR="00CF2C2B" w:rsidRPr="00CF2C2B" w:rsidRDefault="00CF2C2B" w:rsidP="00CF2C2B">
            <w:pPr>
              <w:jc w:val="center"/>
              <w:rPr>
                <w:rFonts w:ascii="仿宋" w:eastAsia="仿宋" w:hAnsi="仿宋" w:cs="仿宋"/>
                <w:sz w:val="24"/>
                <w:szCs w:val="24"/>
              </w:rPr>
            </w:pP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399 </w:t>
            </w:r>
          </w:p>
        </w:tc>
        <w:tc>
          <w:tcPr>
            <w:tcW w:w="961" w:type="dxa"/>
            <w:shd w:val="clear" w:color="auto" w:fill="FFFFFF" w:themeFill="background1"/>
            <w:noWrap/>
            <w:vAlign w:val="center"/>
          </w:tcPr>
          <w:p w:rsidR="00CF2C2B" w:rsidRPr="00CF2C2B" w:rsidRDefault="00CF2C2B" w:rsidP="00CF2C2B">
            <w:pPr>
              <w:jc w:val="center"/>
              <w:rPr>
                <w:rFonts w:ascii="仿宋" w:eastAsia="仿宋" w:hAnsi="仿宋" w:cs="仿宋"/>
                <w:sz w:val="24"/>
                <w:szCs w:val="24"/>
              </w:rPr>
            </w:pPr>
          </w:p>
        </w:tc>
      </w:tr>
      <w:tr w:rsidR="00CF2C2B" w:rsidRPr="00CF2C2B" w:rsidTr="00E86A02">
        <w:trPr>
          <w:trHeight w:val="589"/>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12导联心电图</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了解有无心肌缺血、心肌梗塞、心脏传导阻滞、心律失常等</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35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35 </w:t>
            </w:r>
          </w:p>
        </w:tc>
      </w:tr>
      <w:tr w:rsidR="00CF2C2B" w:rsidRPr="00CF2C2B" w:rsidTr="00E86A02">
        <w:trPr>
          <w:trHeight w:val="1157"/>
          <w:jc w:val="center"/>
        </w:trPr>
        <w:tc>
          <w:tcPr>
            <w:tcW w:w="523" w:type="dxa"/>
            <w:vMerge w:val="restart"/>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临床体格检查</w:t>
            </w: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一般检查</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检查身高、体重、血压、腰围、臀围，评估心脑血管疾病危险因素，辅助判断危险程度。健康评估证据和健康计划依据</w:t>
            </w:r>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0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0 </w:t>
            </w:r>
          </w:p>
        </w:tc>
      </w:tr>
      <w:tr w:rsidR="00CF2C2B" w:rsidRPr="00CF2C2B" w:rsidTr="00E86A02">
        <w:trPr>
          <w:trHeight w:val="1750"/>
          <w:jc w:val="center"/>
        </w:trPr>
        <w:tc>
          <w:tcPr>
            <w:tcW w:w="523" w:type="dxa"/>
            <w:vMerge/>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1394"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妇科体格检查+宫颈液基细胞学检查+HC2-HPVDNA</w:t>
            </w:r>
          </w:p>
        </w:tc>
        <w:tc>
          <w:tcPr>
            <w:tcW w:w="4708" w:type="dxa"/>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通过触诊和物理检查，了解女性的宫颈、阴道的基本情况及子宫、附件有无压痛等；同时根据宫颈液基细胞学病理变化，初筛有无宫颈炎、宫颈癌前病变、宫颈癌等（仅限有性生活史的女性检查）</w:t>
            </w:r>
          </w:p>
        </w:tc>
        <w:tc>
          <w:tcPr>
            <w:tcW w:w="524" w:type="dxa"/>
            <w:shd w:val="clear" w:color="auto" w:fill="FFFFFF" w:themeFill="background1"/>
            <w:noWrap/>
            <w:vAlign w:val="center"/>
          </w:tcPr>
          <w:p w:rsidR="00CF2C2B" w:rsidRPr="00CF2C2B" w:rsidRDefault="00CF2C2B" w:rsidP="00CF2C2B">
            <w:pPr>
              <w:jc w:val="center"/>
              <w:rPr>
                <w:rFonts w:ascii="仿宋" w:eastAsia="仿宋" w:hAnsi="仿宋" w:cs="仿宋"/>
                <w:sz w:val="24"/>
                <w:szCs w:val="24"/>
              </w:rPr>
            </w:pP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jc w:val="center"/>
              <w:rPr>
                <w:rFonts w:ascii="仿宋" w:eastAsia="仿宋" w:hAnsi="仿宋" w:cs="仿宋"/>
                <w:sz w:val="24"/>
                <w:szCs w:val="24"/>
              </w:rPr>
            </w:pP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588 </w:t>
            </w:r>
          </w:p>
        </w:tc>
      </w:tr>
      <w:tr w:rsidR="00CF2C2B" w:rsidRPr="00CF2C2B" w:rsidTr="00E86A02">
        <w:trPr>
          <w:trHeight w:val="870"/>
          <w:jc w:val="center"/>
        </w:trPr>
        <w:tc>
          <w:tcPr>
            <w:tcW w:w="6625" w:type="dxa"/>
            <w:gridSpan w:val="3"/>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营养早餐，建立健康档案，专家健康咨询，健康报告及报告袋，静脉采血一次性医用材料费、</w:t>
            </w:r>
            <w:proofErr w:type="gramStart"/>
            <w:r w:rsidRPr="00CF2C2B">
              <w:rPr>
                <w:rFonts w:ascii="仿宋" w:eastAsia="仿宋" w:hAnsi="仿宋" w:cs="仿宋" w:hint="eastAsia"/>
                <w:kern w:val="0"/>
                <w:sz w:val="24"/>
                <w:szCs w:val="24"/>
                <w:lang w:bidi="ar"/>
              </w:rPr>
              <w:t>采血管</w:t>
            </w:r>
            <w:proofErr w:type="gramEnd"/>
          </w:p>
        </w:tc>
        <w:tc>
          <w:tcPr>
            <w:tcW w:w="524"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452" w:type="dxa"/>
            <w:shd w:val="clear" w:color="auto" w:fill="FFFFFF" w:themeFill="background1"/>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w:t>
            </w: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39 </w:t>
            </w:r>
          </w:p>
        </w:tc>
        <w:tc>
          <w:tcPr>
            <w:tcW w:w="961"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39 </w:t>
            </w:r>
          </w:p>
        </w:tc>
      </w:tr>
      <w:tr w:rsidR="00CF2C2B" w:rsidRPr="00CF2C2B" w:rsidTr="00E86A02">
        <w:trPr>
          <w:trHeight w:val="324"/>
          <w:jc w:val="center"/>
        </w:trPr>
        <w:tc>
          <w:tcPr>
            <w:tcW w:w="6625" w:type="dxa"/>
            <w:gridSpan w:val="3"/>
            <w:shd w:val="clear" w:color="auto" w:fill="FFFFFF" w:themeFill="background1"/>
            <w:vAlign w:val="center"/>
          </w:tcPr>
          <w:p w:rsidR="00CF2C2B" w:rsidRPr="00CF2C2B" w:rsidRDefault="00CF2C2B" w:rsidP="00CF2C2B">
            <w:pPr>
              <w:widowControl/>
              <w:jc w:val="left"/>
              <w:textAlignment w:val="center"/>
              <w:rPr>
                <w:rFonts w:ascii="仿宋" w:eastAsia="仿宋" w:hAnsi="仿宋" w:cs="仿宋"/>
                <w:sz w:val="24"/>
                <w:szCs w:val="24"/>
              </w:rPr>
            </w:pPr>
            <w:r w:rsidRPr="00CF2C2B">
              <w:rPr>
                <w:rFonts w:ascii="仿宋" w:eastAsia="仿宋" w:hAnsi="仿宋" w:cs="仿宋" w:hint="eastAsia"/>
                <w:kern w:val="0"/>
                <w:sz w:val="24"/>
                <w:szCs w:val="24"/>
                <w:lang w:bidi="ar"/>
              </w:rPr>
              <w:t>体检总价合计：单位（元/人）</w:t>
            </w:r>
          </w:p>
        </w:tc>
        <w:tc>
          <w:tcPr>
            <w:tcW w:w="524" w:type="dxa"/>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452" w:type="dxa"/>
            <w:shd w:val="clear" w:color="auto" w:fill="FFFFFF" w:themeFill="background1"/>
            <w:vAlign w:val="center"/>
          </w:tcPr>
          <w:p w:rsidR="00CF2C2B" w:rsidRPr="00CF2C2B" w:rsidRDefault="00CF2C2B" w:rsidP="00CF2C2B">
            <w:pPr>
              <w:jc w:val="center"/>
              <w:rPr>
                <w:rFonts w:ascii="仿宋" w:eastAsia="仿宋" w:hAnsi="仿宋" w:cs="仿宋"/>
                <w:sz w:val="24"/>
                <w:szCs w:val="24"/>
              </w:rPr>
            </w:pPr>
          </w:p>
        </w:tc>
        <w:tc>
          <w:tcPr>
            <w:tcW w:w="959" w:type="dxa"/>
            <w:shd w:val="clear" w:color="auto" w:fill="FFFFFF" w:themeFill="background1"/>
            <w:noWrap/>
            <w:vAlign w:val="center"/>
          </w:tcPr>
          <w:p w:rsidR="00CF2C2B" w:rsidRPr="00CF2C2B" w:rsidRDefault="00CF2C2B" w:rsidP="00CF2C2B">
            <w:pPr>
              <w:widowControl/>
              <w:jc w:val="center"/>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2066 </w:t>
            </w:r>
          </w:p>
        </w:tc>
        <w:tc>
          <w:tcPr>
            <w:tcW w:w="961" w:type="dxa"/>
            <w:shd w:val="clear" w:color="auto" w:fill="FFFFFF" w:themeFill="background1"/>
            <w:noWrap/>
            <w:vAlign w:val="center"/>
          </w:tcPr>
          <w:p w:rsidR="00CF2C2B" w:rsidRPr="00CF2C2B" w:rsidRDefault="00CF2C2B" w:rsidP="00CF2C2B">
            <w:pPr>
              <w:widowControl/>
              <w:jc w:val="right"/>
              <w:textAlignment w:val="center"/>
              <w:rPr>
                <w:rFonts w:ascii="仿宋" w:eastAsia="仿宋" w:hAnsi="仿宋" w:cs="仿宋"/>
                <w:sz w:val="24"/>
                <w:szCs w:val="24"/>
              </w:rPr>
            </w:pPr>
            <w:r w:rsidRPr="00CF2C2B">
              <w:rPr>
                <w:rFonts w:ascii="宋体" w:eastAsia="宋体" w:hAnsi="宋体" w:cs="宋体" w:hint="eastAsia"/>
                <w:kern w:val="0"/>
                <w:sz w:val="22"/>
                <w:lang w:bidi="ar"/>
              </w:rPr>
              <w:t xml:space="preserve">2415 </w:t>
            </w:r>
          </w:p>
        </w:tc>
      </w:tr>
    </w:tbl>
    <w:p w:rsidR="00CF2C2B" w:rsidRPr="00CF2C2B" w:rsidRDefault="00CF2C2B" w:rsidP="00CF2C2B">
      <w:pPr>
        <w:numPr>
          <w:ilvl w:val="0"/>
          <w:numId w:val="1"/>
        </w:numPr>
        <w:autoSpaceDE w:val="0"/>
        <w:autoSpaceDN w:val="0"/>
        <w:snapToGrid w:val="0"/>
        <w:spacing w:line="520" w:lineRule="exact"/>
        <w:ind w:firstLineChars="200" w:firstLine="480"/>
        <w:rPr>
          <w:rFonts w:ascii="仿宋" w:eastAsia="仿宋" w:hAnsi="仿宋" w:cs="Times New Roman"/>
          <w:sz w:val="24"/>
          <w:szCs w:val="24"/>
        </w:rPr>
      </w:pPr>
      <w:r w:rsidRPr="00CF2C2B">
        <w:rPr>
          <w:rFonts w:ascii="仿宋" w:eastAsia="仿宋" w:hAnsi="仿宋" w:cs="Times New Roman" w:hint="eastAsia"/>
          <w:sz w:val="24"/>
          <w:szCs w:val="24"/>
        </w:rPr>
        <w:lastRenderedPageBreak/>
        <w:t>供应商应提供体检前服务：</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sz w:val="24"/>
          <w:szCs w:val="24"/>
        </w:rPr>
      </w:pPr>
      <w:r w:rsidRPr="00CF2C2B">
        <w:rPr>
          <w:rFonts w:ascii="仿宋" w:eastAsia="仿宋" w:hAnsi="仿宋" w:cs="Times New Roman" w:hint="eastAsia"/>
          <w:sz w:val="24"/>
          <w:szCs w:val="24"/>
        </w:rPr>
        <w:t>4.1安排具体体检项目、体检时间，体检安排应充分考虑采购人单位员工工作时间安排，提前沟通、衔接；</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sz w:val="24"/>
          <w:szCs w:val="24"/>
        </w:rPr>
      </w:pPr>
      <w:r w:rsidRPr="00CF2C2B">
        <w:rPr>
          <w:rFonts w:ascii="仿宋" w:eastAsia="仿宋" w:hAnsi="仿宋" w:cs="Times New Roman" w:hint="eastAsia"/>
          <w:sz w:val="24"/>
          <w:szCs w:val="24"/>
        </w:rPr>
        <w:t>4.2上门对各部门负责人进行检前培训。</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sz w:val="24"/>
          <w:szCs w:val="24"/>
        </w:rPr>
      </w:pPr>
      <w:r w:rsidRPr="00CF2C2B">
        <w:rPr>
          <w:rFonts w:ascii="仿宋" w:eastAsia="仿宋" w:hAnsi="仿宋" w:cs="Times New Roman" w:hint="eastAsia"/>
          <w:sz w:val="24"/>
          <w:szCs w:val="24"/>
        </w:rPr>
        <w:t>5.供应商应提供体检中服务，包括：</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sz w:val="24"/>
          <w:szCs w:val="24"/>
        </w:rPr>
      </w:pPr>
      <w:r w:rsidRPr="00CF2C2B">
        <w:rPr>
          <w:rFonts w:ascii="仿宋" w:eastAsia="仿宋" w:hAnsi="仿宋" w:cs="Times New Roman" w:hint="eastAsia"/>
          <w:sz w:val="24"/>
          <w:szCs w:val="24"/>
        </w:rPr>
        <w:t>5.1现场接待，安排导</w:t>
      </w:r>
      <w:proofErr w:type="gramStart"/>
      <w:r w:rsidRPr="00CF2C2B">
        <w:rPr>
          <w:rFonts w:ascii="仿宋" w:eastAsia="仿宋" w:hAnsi="仿宋" w:cs="Times New Roman" w:hint="eastAsia"/>
          <w:sz w:val="24"/>
          <w:szCs w:val="24"/>
        </w:rPr>
        <w:t>医</w:t>
      </w:r>
      <w:proofErr w:type="gramEnd"/>
      <w:r w:rsidRPr="00CF2C2B">
        <w:rPr>
          <w:rFonts w:ascii="仿宋" w:eastAsia="仿宋" w:hAnsi="仿宋" w:cs="Times New Roman" w:hint="eastAsia"/>
          <w:sz w:val="24"/>
          <w:szCs w:val="24"/>
        </w:rPr>
        <w:t>引领，保证体检期间秩序及体检质量；</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sz w:val="24"/>
          <w:szCs w:val="24"/>
        </w:rPr>
      </w:pPr>
      <w:r w:rsidRPr="00CF2C2B">
        <w:rPr>
          <w:rFonts w:ascii="仿宋" w:eastAsia="仿宋" w:hAnsi="仿宋" w:cs="Times New Roman" w:hint="eastAsia"/>
          <w:sz w:val="24"/>
          <w:szCs w:val="24"/>
        </w:rPr>
        <w:t>5.2安排医生负责各个科目的体检工作，提供体检过程中的专业医学咨询服务；</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sz w:val="24"/>
          <w:szCs w:val="24"/>
        </w:rPr>
      </w:pPr>
      <w:r w:rsidRPr="00CF2C2B">
        <w:rPr>
          <w:rFonts w:ascii="仿宋" w:eastAsia="仿宋" w:hAnsi="仿宋" w:cs="Times New Roman" w:hint="eastAsia"/>
          <w:sz w:val="24"/>
          <w:szCs w:val="24"/>
        </w:rPr>
        <w:t>5.3保护采购人体检员工个人隐私，体检场所应当独立，与就诊病人相隔离；</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sz w:val="24"/>
          <w:szCs w:val="24"/>
        </w:rPr>
      </w:pPr>
      <w:r w:rsidRPr="00CF2C2B">
        <w:rPr>
          <w:rFonts w:ascii="仿宋" w:eastAsia="仿宋" w:hAnsi="仿宋" w:cs="Times New Roman" w:hint="eastAsia"/>
          <w:sz w:val="24"/>
          <w:szCs w:val="24"/>
        </w:rPr>
        <w:t>5.4做好体检现场急救及其他意外防范措施。</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sz w:val="24"/>
          <w:szCs w:val="24"/>
        </w:rPr>
      </w:pPr>
      <w:r w:rsidRPr="00CF2C2B">
        <w:rPr>
          <w:rFonts w:ascii="仿宋" w:eastAsia="仿宋" w:hAnsi="仿宋" w:cs="Times New Roman" w:hint="eastAsia"/>
          <w:sz w:val="24"/>
          <w:szCs w:val="24"/>
        </w:rPr>
        <w:t>6.供应商应提供体检后服务，包括：</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sz w:val="24"/>
          <w:szCs w:val="24"/>
        </w:rPr>
      </w:pPr>
      <w:r w:rsidRPr="00CF2C2B">
        <w:rPr>
          <w:rFonts w:ascii="仿宋" w:eastAsia="仿宋" w:hAnsi="仿宋" w:cs="Times New Roman" w:hint="eastAsia"/>
          <w:sz w:val="24"/>
          <w:szCs w:val="24"/>
        </w:rPr>
        <w:t>6.1针对须复查的人员提供后续服务；</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sz w:val="24"/>
          <w:szCs w:val="24"/>
        </w:rPr>
      </w:pPr>
      <w:r w:rsidRPr="00CF2C2B">
        <w:rPr>
          <w:rFonts w:ascii="仿宋" w:eastAsia="仿宋" w:hAnsi="仿宋" w:cs="Times New Roman" w:hint="eastAsia"/>
          <w:sz w:val="24"/>
          <w:szCs w:val="24"/>
        </w:rPr>
        <w:t>6.2</w:t>
      </w:r>
      <w:r w:rsidRPr="00CF2C2B">
        <w:rPr>
          <w:rFonts w:ascii="仿宋" w:eastAsia="仿宋" w:hAnsi="仿宋" w:cs="Times New Roman"/>
          <w:sz w:val="24"/>
          <w:szCs w:val="24"/>
        </w:rPr>
        <w:t>在集中体检结束后</w:t>
      </w:r>
      <w:r w:rsidRPr="00CF2C2B">
        <w:rPr>
          <w:rFonts w:ascii="仿宋" w:eastAsia="仿宋" w:hAnsi="仿宋" w:cs="Times New Roman" w:hint="eastAsia"/>
          <w:sz w:val="24"/>
          <w:szCs w:val="24"/>
        </w:rPr>
        <w:t>10个工作日</w:t>
      </w:r>
      <w:r w:rsidRPr="00CF2C2B">
        <w:rPr>
          <w:rFonts w:ascii="仿宋" w:eastAsia="仿宋" w:hAnsi="仿宋" w:cs="Times New Roman"/>
          <w:sz w:val="24"/>
          <w:szCs w:val="24"/>
        </w:rPr>
        <w:t>内，供应商应向采购人提供所有已体检员工的体检报告，并配送至</w:t>
      </w:r>
      <w:r w:rsidRPr="00CF2C2B">
        <w:rPr>
          <w:rFonts w:ascii="仿宋" w:eastAsia="仿宋" w:hAnsi="仿宋" w:cs="Times New Roman" w:hint="eastAsia"/>
          <w:sz w:val="24"/>
          <w:szCs w:val="24"/>
        </w:rPr>
        <w:t>采购人</w:t>
      </w:r>
      <w:r w:rsidRPr="00CF2C2B">
        <w:rPr>
          <w:rFonts w:ascii="仿宋" w:eastAsia="仿宋" w:hAnsi="仿宋" w:cs="Times New Roman"/>
          <w:sz w:val="24"/>
          <w:szCs w:val="24"/>
        </w:rPr>
        <w:t>指定地点</w:t>
      </w:r>
      <w:r w:rsidRPr="00CF2C2B">
        <w:rPr>
          <w:rFonts w:ascii="仿宋" w:eastAsia="仿宋" w:hAnsi="仿宋" w:cs="Times New Roman" w:hint="eastAsia"/>
          <w:sz w:val="24"/>
          <w:szCs w:val="24"/>
        </w:rPr>
        <w:t>；针对团体体检情况汇总分析及健康促进计划制定服务方案。</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sz w:val="24"/>
          <w:szCs w:val="24"/>
        </w:rPr>
      </w:pPr>
      <w:r w:rsidRPr="00CF2C2B">
        <w:rPr>
          <w:rFonts w:ascii="仿宋" w:eastAsia="仿宋" w:hAnsi="仿宋" w:cs="Times New Roman" w:hint="eastAsia"/>
          <w:sz w:val="24"/>
          <w:szCs w:val="24"/>
        </w:rPr>
        <w:t>6.2在采购人收到</w:t>
      </w:r>
      <w:r w:rsidRPr="00CF2C2B">
        <w:rPr>
          <w:rFonts w:ascii="仿宋" w:eastAsia="仿宋" w:hAnsi="仿宋" w:cs="Times New Roman"/>
          <w:sz w:val="24"/>
          <w:szCs w:val="24"/>
        </w:rPr>
        <w:t>所有已体检员工的体检报</w:t>
      </w:r>
      <w:r w:rsidRPr="00CF2C2B">
        <w:rPr>
          <w:rFonts w:ascii="仿宋" w:eastAsia="仿宋" w:hAnsi="仿宋" w:cs="Times New Roman" w:hint="eastAsia"/>
          <w:sz w:val="24"/>
          <w:szCs w:val="24"/>
        </w:rPr>
        <w:t>告后10个工作日内， 供应商应</w:t>
      </w:r>
      <w:r w:rsidRPr="00CF2C2B">
        <w:rPr>
          <w:rFonts w:ascii="仿宋" w:eastAsia="仿宋" w:hAnsi="仿宋" w:cs="Times New Roman"/>
          <w:sz w:val="24"/>
          <w:szCs w:val="24"/>
        </w:rPr>
        <w:t>提供专家进行检后讲座及检后咨询服务</w:t>
      </w:r>
      <w:r w:rsidRPr="00CF2C2B">
        <w:rPr>
          <w:rFonts w:ascii="仿宋" w:eastAsia="仿宋" w:hAnsi="仿宋" w:cs="Times New Roman" w:hint="eastAsia"/>
          <w:sz w:val="24"/>
          <w:szCs w:val="24"/>
        </w:rPr>
        <w:t>（现场咨询或电话咨询），现场</w:t>
      </w:r>
      <w:r w:rsidRPr="00CF2C2B">
        <w:rPr>
          <w:rFonts w:ascii="仿宋" w:eastAsia="仿宋" w:hAnsi="仿宋" w:cs="Times New Roman"/>
          <w:sz w:val="24"/>
          <w:szCs w:val="24"/>
        </w:rPr>
        <w:t>咨询地点包括：城东办证点（汇泉北路323号）、</w:t>
      </w:r>
      <w:r w:rsidRPr="00CF2C2B">
        <w:rPr>
          <w:rFonts w:ascii="仿宋" w:eastAsia="仿宋" w:hAnsi="仿宋" w:cs="Times New Roman" w:hint="eastAsia"/>
          <w:sz w:val="24"/>
          <w:szCs w:val="24"/>
        </w:rPr>
        <w:t>青羊办证点（</w:t>
      </w:r>
      <w:r w:rsidRPr="00CF2C2B">
        <w:rPr>
          <w:rFonts w:ascii="仿宋" w:eastAsia="仿宋" w:hAnsi="仿宋" w:cs="Times New Roman"/>
          <w:sz w:val="24"/>
          <w:szCs w:val="24"/>
        </w:rPr>
        <w:t>清江中路20号</w:t>
      </w:r>
      <w:r w:rsidRPr="00CF2C2B">
        <w:rPr>
          <w:rFonts w:ascii="仿宋" w:eastAsia="仿宋" w:hAnsi="仿宋" w:cs="Times New Roman" w:hint="eastAsia"/>
          <w:sz w:val="24"/>
          <w:szCs w:val="24"/>
        </w:rPr>
        <w:t>）、</w:t>
      </w:r>
      <w:r w:rsidRPr="00CF2C2B">
        <w:rPr>
          <w:rFonts w:ascii="仿宋" w:eastAsia="仿宋" w:hAnsi="仿宋" w:cs="Times New Roman"/>
          <w:sz w:val="24"/>
          <w:szCs w:val="24"/>
        </w:rPr>
        <w:t>城南办证点（锦城大道999号）</w:t>
      </w:r>
      <w:r w:rsidRPr="00CF2C2B">
        <w:rPr>
          <w:rFonts w:ascii="仿宋" w:eastAsia="仿宋" w:hAnsi="仿宋" w:cs="Times New Roman" w:hint="eastAsia"/>
          <w:sz w:val="24"/>
          <w:szCs w:val="24"/>
        </w:rPr>
        <w:t>，其他办证点采用电话咨询形式；</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sz w:val="24"/>
          <w:szCs w:val="24"/>
        </w:rPr>
      </w:pPr>
      <w:r w:rsidRPr="00CF2C2B">
        <w:rPr>
          <w:rFonts w:ascii="仿宋" w:eastAsia="仿宋" w:hAnsi="仿宋" w:cs="Times New Roman" w:hint="eastAsia"/>
          <w:sz w:val="24"/>
          <w:szCs w:val="24"/>
        </w:rPr>
        <w:t>6.4做好健康体检档案管理；</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sz w:val="24"/>
          <w:szCs w:val="24"/>
        </w:rPr>
      </w:pPr>
      <w:r w:rsidRPr="00CF2C2B">
        <w:rPr>
          <w:rFonts w:ascii="仿宋" w:eastAsia="仿宋" w:hAnsi="仿宋" w:cs="Times New Roman" w:hint="eastAsia"/>
          <w:sz w:val="24"/>
          <w:szCs w:val="24"/>
        </w:rPr>
        <w:t>6.5针对须进一步治疗的人员提供挂号、住院、会诊服务。</w:t>
      </w:r>
    </w:p>
    <w:p w:rsidR="00CF2C2B" w:rsidRPr="00CF2C2B" w:rsidRDefault="00CF2C2B" w:rsidP="00CF2C2B">
      <w:pPr>
        <w:autoSpaceDE w:val="0"/>
        <w:autoSpaceDN w:val="0"/>
        <w:snapToGrid w:val="0"/>
        <w:spacing w:line="520" w:lineRule="exact"/>
        <w:rPr>
          <w:rFonts w:ascii="仿宋" w:eastAsia="仿宋" w:hAnsi="仿宋" w:cs="Times New Roman"/>
          <w:sz w:val="24"/>
          <w:szCs w:val="24"/>
        </w:rPr>
      </w:pPr>
      <w:r w:rsidRPr="00CF2C2B">
        <w:rPr>
          <w:rFonts w:ascii="仿宋" w:eastAsia="仿宋" w:hAnsi="仿宋" w:cs="Times New Roman" w:hint="eastAsia"/>
          <w:b/>
          <w:bCs/>
          <w:sz w:val="24"/>
          <w:szCs w:val="24"/>
        </w:rPr>
        <w:t>*四、</w:t>
      </w:r>
      <w:r w:rsidRPr="00CF2C2B">
        <w:rPr>
          <w:rFonts w:ascii="仿宋" w:eastAsia="仿宋" w:hAnsi="仿宋" w:cs="Times New Roman" w:hint="eastAsia"/>
          <w:sz w:val="24"/>
          <w:szCs w:val="24"/>
        </w:rPr>
        <w:t>违约责任</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sz w:val="24"/>
          <w:szCs w:val="24"/>
        </w:rPr>
      </w:pPr>
      <w:r w:rsidRPr="00CF2C2B">
        <w:rPr>
          <w:rFonts w:ascii="仿宋" w:eastAsia="仿宋" w:hAnsi="仿宋" w:cs="Times New Roman" w:hint="eastAsia"/>
          <w:sz w:val="24"/>
          <w:szCs w:val="24"/>
        </w:rPr>
        <w:t>1.采购人、供应</w:t>
      </w:r>
      <w:proofErr w:type="gramStart"/>
      <w:r w:rsidRPr="00CF2C2B">
        <w:rPr>
          <w:rFonts w:ascii="仿宋" w:eastAsia="仿宋" w:hAnsi="仿宋" w:cs="Times New Roman" w:hint="eastAsia"/>
          <w:sz w:val="24"/>
          <w:szCs w:val="24"/>
        </w:rPr>
        <w:t>商双方</w:t>
      </w:r>
      <w:proofErr w:type="gramEnd"/>
      <w:r w:rsidRPr="00CF2C2B">
        <w:rPr>
          <w:rFonts w:ascii="仿宋" w:eastAsia="仿宋" w:hAnsi="仿宋" w:cs="Times New Roman" w:hint="eastAsia"/>
          <w:sz w:val="24"/>
          <w:szCs w:val="24"/>
        </w:rPr>
        <w:t>任何一方未经对方许可泄漏合同内容而造成的另一方权益损害的，守约方将有权追究违约方的法律责任和经济责任。</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bCs/>
          <w:sz w:val="24"/>
          <w:szCs w:val="24"/>
        </w:rPr>
      </w:pPr>
      <w:r w:rsidRPr="00CF2C2B">
        <w:rPr>
          <w:rFonts w:ascii="仿宋" w:eastAsia="仿宋" w:hAnsi="仿宋" w:cs="Times New Roman" w:hint="eastAsia"/>
          <w:sz w:val="24"/>
          <w:szCs w:val="24"/>
        </w:rPr>
        <w:t>2.供应商应在双方商定的“体检时间”内为采购人员工进行健康体检工</w:t>
      </w:r>
      <w:r w:rsidRPr="00CF2C2B">
        <w:rPr>
          <w:rFonts w:ascii="仿宋" w:eastAsia="仿宋" w:hAnsi="仿宋" w:cs="Times New Roman" w:hint="eastAsia"/>
          <w:bCs/>
          <w:sz w:val="24"/>
          <w:szCs w:val="24"/>
        </w:rPr>
        <w:t>作，如供应商未按时实施该项工作，给采购人及员工造成工作和利益损害，采购人有</w:t>
      </w:r>
      <w:r w:rsidRPr="00CF2C2B">
        <w:rPr>
          <w:rFonts w:ascii="仿宋" w:eastAsia="仿宋" w:hAnsi="仿宋" w:cs="Times New Roman" w:hint="eastAsia"/>
          <w:bCs/>
          <w:sz w:val="24"/>
          <w:szCs w:val="24"/>
        </w:rPr>
        <w:lastRenderedPageBreak/>
        <w:t>权要求供应</w:t>
      </w:r>
      <w:proofErr w:type="gramStart"/>
      <w:r w:rsidRPr="00CF2C2B">
        <w:rPr>
          <w:rFonts w:ascii="仿宋" w:eastAsia="仿宋" w:hAnsi="仿宋" w:cs="Times New Roman" w:hint="eastAsia"/>
          <w:bCs/>
          <w:sz w:val="24"/>
          <w:szCs w:val="24"/>
        </w:rPr>
        <w:t>商按照</w:t>
      </w:r>
      <w:proofErr w:type="gramEnd"/>
      <w:r w:rsidRPr="00CF2C2B">
        <w:rPr>
          <w:rFonts w:ascii="仿宋" w:eastAsia="仿宋" w:hAnsi="仿宋" w:cs="Times New Roman" w:hint="eastAsia"/>
          <w:bCs/>
          <w:sz w:val="24"/>
          <w:szCs w:val="24"/>
        </w:rPr>
        <w:t>合同总金额的10 %向</w:t>
      </w:r>
      <w:r w:rsidRPr="00CF2C2B">
        <w:rPr>
          <w:rFonts w:ascii="仿宋" w:eastAsia="仿宋" w:hAnsi="仿宋" w:cs="Times New Roman" w:hint="eastAsia"/>
          <w:sz w:val="24"/>
          <w:szCs w:val="24"/>
        </w:rPr>
        <w:t>采购人</w:t>
      </w:r>
      <w:r w:rsidRPr="00CF2C2B">
        <w:rPr>
          <w:rFonts w:ascii="仿宋" w:eastAsia="仿宋" w:hAnsi="仿宋" w:cs="Times New Roman" w:hint="eastAsia"/>
          <w:bCs/>
          <w:sz w:val="24"/>
          <w:szCs w:val="24"/>
        </w:rPr>
        <w:t>支付违约金，并承担由此造成的一切损失的赔偿责任。</w:t>
      </w:r>
    </w:p>
    <w:p w:rsidR="00CF2C2B" w:rsidRPr="00CF2C2B" w:rsidRDefault="00CF2C2B" w:rsidP="00CF2C2B">
      <w:pPr>
        <w:tabs>
          <w:tab w:val="left" w:pos="945"/>
        </w:tabs>
        <w:spacing w:line="360" w:lineRule="auto"/>
        <w:ind w:firstLineChars="200" w:firstLine="480"/>
        <w:jc w:val="left"/>
        <w:rPr>
          <w:rFonts w:ascii="仿宋" w:eastAsia="仿宋" w:hAnsi="仿宋" w:cs="Times New Roman"/>
          <w:bCs/>
          <w:sz w:val="24"/>
          <w:szCs w:val="24"/>
        </w:rPr>
      </w:pPr>
      <w:r w:rsidRPr="00CF2C2B">
        <w:rPr>
          <w:rFonts w:ascii="仿宋" w:eastAsia="仿宋" w:hAnsi="仿宋" w:cs="Times New Roman" w:hint="eastAsia"/>
          <w:bCs/>
          <w:sz w:val="24"/>
          <w:szCs w:val="24"/>
        </w:rPr>
        <w:t>3.采购人应遵守双方商定的“体检时间”，如因特殊情况需更改“体检时间”，采购人应提前10个工作日通知供应商。</w:t>
      </w:r>
    </w:p>
    <w:p w:rsidR="00CF2C2B" w:rsidRPr="00CF2C2B" w:rsidRDefault="00CF2C2B" w:rsidP="00CF2C2B">
      <w:pPr>
        <w:tabs>
          <w:tab w:val="left" w:pos="945"/>
        </w:tabs>
        <w:spacing w:line="360" w:lineRule="auto"/>
        <w:ind w:firstLineChars="200" w:firstLine="480"/>
        <w:jc w:val="left"/>
        <w:rPr>
          <w:rFonts w:ascii="仿宋" w:eastAsia="仿宋" w:hAnsi="仿宋" w:cs="Times New Roman"/>
          <w:bCs/>
          <w:sz w:val="24"/>
          <w:szCs w:val="24"/>
        </w:rPr>
      </w:pPr>
      <w:r w:rsidRPr="00CF2C2B">
        <w:rPr>
          <w:rFonts w:ascii="仿宋" w:eastAsia="仿宋" w:hAnsi="仿宋" w:cs="Times New Roman" w:hint="eastAsia"/>
          <w:bCs/>
          <w:sz w:val="24"/>
          <w:szCs w:val="24"/>
        </w:rPr>
        <w:t>4.因供应商漏检、检查错误、结论报告错误而给采购人体检员工造成人身损害，由采购人、供应商以及采购人体检人员三方共同协商解决。</w:t>
      </w:r>
    </w:p>
    <w:p w:rsidR="00CF2C2B" w:rsidRPr="00CF2C2B" w:rsidRDefault="00CF2C2B" w:rsidP="00CF2C2B">
      <w:pPr>
        <w:tabs>
          <w:tab w:val="left" w:pos="945"/>
        </w:tabs>
        <w:spacing w:line="360" w:lineRule="auto"/>
        <w:ind w:firstLineChars="200" w:firstLine="480"/>
        <w:jc w:val="left"/>
        <w:rPr>
          <w:rFonts w:ascii="仿宋" w:eastAsia="仿宋" w:hAnsi="仿宋" w:cs="Times New Roman"/>
          <w:bCs/>
          <w:sz w:val="24"/>
          <w:szCs w:val="24"/>
        </w:rPr>
      </w:pPr>
      <w:r w:rsidRPr="00CF2C2B">
        <w:rPr>
          <w:rFonts w:ascii="仿宋" w:eastAsia="仿宋" w:hAnsi="仿宋" w:cs="Times New Roman" w:hint="eastAsia"/>
          <w:bCs/>
          <w:sz w:val="24"/>
          <w:szCs w:val="24"/>
        </w:rPr>
        <w:t>5.因供应商泄漏采购人体检员工健康体检信息并造成人身损害，采购人及采购人体检员工有权追究供应商的法律责任。</w:t>
      </w:r>
    </w:p>
    <w:p w:rsidR="00CF2C2B" w:rsidRPr="00CF2C2B" w:rsidRDefault="00CF2C2B" w:rsidP="00CF2C2B">
      <w:pPr>
        <w:tabs>
          <w:tab w:val="left" w:pos="945"/>
        </w:tabs>
        <w:spacing w:line="360" w:lineRule="auto"/>
        <w:ind w:firstLineChars="200" w:firstLine="480"/>
        <w:jc w:val="left"/>
        <w:rPr>
          <w:rFonts w:ascii="Times New Roman" w:eastAsia="宋体" w:hAnsi="Times New Roman" w:cs="Times New Roman"/>
          <w:szCs w:val="24"/>
        </w:rPr>
      </w:pPr>
      <w:r w:rsidRPr="00CF2C2B">
        <w:rPr>
          <w:rFonts w:ascii="仿宋" w:eastAsia="仿宋" w:hAnsi="仿宋" w:cs="Times New Roman" w:hint="eastAsia"/>
          <w:bCs/>
          <w:sz w:val="24"/>
          <w:szCs w:val="24"/>
        </w:rPr>
        <w:t>6.如因供应商侵犯知识产权而引起法律纠纷，采购人有权单方解除合同，并由</w:t>
      </w:r>
      <w:proofErr w:type="gramStart"/>
      <w:r w:rsidRPr="00CF2C2B">
        <w:rPr>
          <w:rFonts w:ascii="仿宋" w:eastAsia="仿宋" w:hAnsi="仿宋" w:cs="Times New Roman" w:hint="eastAsia"/>
          <w:bCs/>
          <w:sz w:val="24"/>
          <w:szCs w:val="24"/>
        </w:rPr>
        <w:t>供应商方承担</w:t>
      </w:r>
      <w:proofErr w:type="gramEnd"/>
      <w:r w:rsidRPr="00CF2C2B">
        <w:rPr>
          <w:rFonts w:ascii="仿宋" w:eastAsia="仿宋" w:hAnsi="仿宋" w:cs="Times New Roman" w:hint="eastAsia"/>
          <w:bCs/>
          <w:sz w:val="24"/>
          <w:szCs w:val="24"/>
        </w:rPr>
        <w:t>给采购人或第三方造成的损失</w:t>
      </w:r>
      <w:r w:rsidRPr="00CF2C2B">
        <w:rPr>
          <w:rFonts w:ascii="Times New Roman" w:eastAsia="仿宋" w:hAnsi="Times New Roman" w:cs="Times New Roman" w:hint="eastAsia"/>
          <w:szCs w:val="24"/>
        </w:rPr>
        <w:t>。</w:t>
      </w:r>
    </w:p>
    <w:p w:rsidR="00CF2C2B" w:rsidRPr="00CF2C2B" w:rsidRDefault="00CF2C2B" w:rsidP="00CF2C2B">
      <w:pPr>
        <w:keepNext/>
        <w:keepLines/>
        <w:spacing w:before="260" w:after="260" w:line="400" w:lineRule="exact"/>
        <w:ind w:firstLineChars="98" w:firstLine="236"/>
        <w:outlineLvl w:val="1"/>
        <w:rPr>
          <w:rFonts w:ascii="仿宋" w:eastAsia="仿宋" w:hAnsi="仿宋" w:cs="Times New Roman"/>
          <w:bCs/>
          <w:sz w:val="24"/>
          <w:szCs w:val="24"/>
        </w:rPr>
      </w:pPr>
      <w:r w:rsidRPr="00CF2C2B">
        <w:rPr>
          <w:rFonts w:ascii="仿宋" w:eastAsia="仿宋" w:hAnsi="仿宋" w:cs="Times New Roman" w:hint="eastAsia"/>
          <w:b/>
          <w:bCs/>
          <w:sz w:val="24"/>
          <w:szCs w:val="24"/>
        </w:rPr>
        <w:t>*五、</w:t>
      </w:r>
      <w:r w:rsidRPr="00CF2C2B">
        <w:rPr>
          <w:rFonts w:ascii="仿宋" w:eastAsia="仿宋" w:hAnsi="仿宋" w:cs="Times New Roman" w:hint="eastAsia"/>
          <w:bCs/>
          <w:sz w:val="24"/>
          <w:szCs w:val="24"/>
        </w:rPr>
        <w:t>商务要求</w:t>
      </w:r>
    </w:p>
    <w:p w:rsidR="00CF2C2B" w:rsidRPr="00CF2C2B" w:rsidRDefault="00CF2C2B" w:rsidP="00CF2C2B">
      <w:pPr>
        <w:spacing w:line="40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1.体检时间：2022年7月至10月期间应安排连续10个工作日进行体检，每日约36人次。</w:t>
      </w:r>
    </w:p>
    <w:p w:rsidR="00CF2C2B" w:rsidRPr="00CF2C2B" w:rsidRDefault="00CF2C2B" w:rsidP="00CF2C2B">
      <w:pPr>
        <w:spacing w:line="40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2.补检时间：根据补检人数安排集中补检。</w:t>
      </w:r>
    </w:p>
    <w:p w:rsidR="00CF2C2B" w:rsidRPr="00CF2C2B" w:rsidRDefault="00CF2C2B" w:rsidP="00CF2C2B">
      <w:pPr>
        <w:autoSpaceDE w:val="0"/>
        <w:autoSpaceDN w:val="0"/>
        <w:snapToGrid w:val="0"/>
        <w:spacing w:line="520" w:lineRule="exact"/>
        <w:ind w:firstLineChars="200" w:firstLine="512"/>
        <w:rPr>
          <w:rFonts w:ascii="仿宋" w:eastAsia="仿宋" w:hAnsi="仿宋" w:cs="Times New Roman"/>
          <w:spacing w:val="8"/>
          <w:sz w:val="24"/>
          <w:szCs w:val="24"/>
        </w:rPr>
      </w:pPr>
      <w:r w:rsidRPr="00CF2C2B">
        <w:rPr>
          <w:rFonts w:ascii="仿宋" w:eastAsia="仿宋" w:hAnsi="仿宋" w:cs="仿宋" w:hint="eastAsia"/>
          <w:spacing w:val="8"/>
          <w:sz w:val="24"/>
          <w:szCs w:val="24"/>
          <w:lang w:bidi="ar"/>
        </w:rPr>
        <w:t>2.1采购人体检员工因特殊原因未能在“体检时间”当日参加体检，由采购人联系人供应商协商安排统一补检时间（具体补检次数根据采购人补检人数决定）。</w:t>
      </w:r>
    </w:p>
    <w:p w:rsidR="00CF2C2B" w:rsidRPr="00CF2C2B" w:rsidRDefault="00CF2C2B" w:rsidP="00CF2C2B">
      <w:pPr>
        <w:autoSpaceDE w:val="0"/>
        <w:autoSpaceDN w:val="0"/>
        <w:snapToGrid w:val="0"/>
        <w:spacing w:line="520" w:lineRule="exact"/>
        <w:ind w:firstLineChars="200" w:firstLine="512"/>
        <w:rPr>
          <w:rFonts w:ascii="仿宋" w:eastAsia="仿宋" w:hAnsi="仿宋" w:cs="仿宋"/>
          <w:spacing w:val="8"/>
          <w:sz w:val="24"/>
          <w:szCs w:val="24"/>
          <w:lang w:bidi="ar"/>
        </w:rPr>
      </w:pPr>
      <w:r w:rsidRPr="00CF2C2B">
        <w:rPr>
          <w:rFonts w:ascii="仿宋" w:eastAsia="仿宋" w:hAnsi="仿宋" w:cs="仿宋" w:hint="eastAsia"/>
          <w:spacing w:val="8"/>
          <w:sz w:val="24"/>
          <w:szCs w:val="24"/>
          <w:lang w:bidi="ar"/>
        </w:rPr>
        <w:t>2.2采购人体检员工因个人原因未检项目不能替换，应在体检当日后10个工作日内完成该体检项目，逾期按</w:t>
      </w:r>
      <w:proofErr w:type="gramStart"/>
      <w:r w:rsidRPr="00CF2C2B">
        <w:rPr>
          <w:rFonts w:ascii="仿宋" w:eastAsia="仿宋" w:hAnsi="仿宋" w:cs="仿宋" w:hint="eastAsia"/>
          <w:spacing w:val="8"/>
          <w:sz w:val="24"/>
          <w:szCs w:val="24"/>
          <w:lang w:bidi="ar"/>
        </w:rPr>
        <w:t>自愿弃检处理</w:t>
      </w:r>
      <w:proofErr w:type="gramEnd"/>
      <w:r w:rsidRPr="00CF2C2B">
        <w:rPr>
          <w:rFonts w:ascii="仿宋" w:eastAsia="仿宋" w:hAnsi="仿宋" w:cs="仿宋" w:hint="eastAsia"/>
          <w:spacing w:val="8"/>
          <w:sz w:val="24"/>
          <w:szCs w:val="24"/>
          <w:lang w:bidi="ar"/>
        </w:rPr>
        <w:t>，</w:t>
      </w:r>
      <w:proofErr w:type="gramStart"/>
      <w:r w:rsidRPr="00CF2C2B">
        <w:rPr>
          <w:rFonts w:ascii="仿宋" w:eastAsia="仿宋" w:hAnsi="仿宋" w:cs="仿宋" w:hint="eastAsia"/>
          <w:spacing w:val="8"/>
          <w:sz w:val="24"/>
          <w:szCs w:val="24"/>
          <w:lang w:bidi="ar"/>
        </w:rPr>
        <w:t>自愿弃检项目</w:t>
      </w:r>
      <w:proofErr w:type="gramEnd"/>
      <w:r w:rsidRPr="00CF2C2B">
        <w:rPr>
          <w:rFonts w:ascii="仿宋" w:eastAsia="仿宋" w:hAnsi="仿宋" w:cs="仿宋" w:hint="eastAsia"/>
          <w:spacing w:val="8"/>
          <w:sz w:val="24"/>
          <w:szCs w:val="24"/>
          <w:lang w:bidi="ar"/>
        </w:rPr>
        <w:t>费用不计入结算价款。</w:t>
      </w:r>
    </w:p>
    <w:p w:rsidR="00CF2C2B" w:rsidRPr="00CF2C2B" w:rsidRDefault="00CF2C2B" w:rsidP="00CF2C2B">
      <w:pPr>
        <w:autoSpaceDE w:val="0"/>
        <w:autoSpaceDN w:val="0"/>
        <w:snapToGrid w:val="0"/>
        <w:spacing w:line="520" w:lineRule="exact"/>
        <w:ind w:firstLineChars="200" w:firstLine="512"/>
        <w:rPr>
          <w:rFonts w:ascii="仿宋" w:eastAsia="仿宋" w:hAnsi="仿宋" w:cs="仿宋"/>
          <w:spacing w:val="8"/>
          <w:sz w:val="24"/>
          <w:szCs w:val="24"/>
          <w:lang w:bidi="ar"/>
        </w:rPr>
      </w:pPr>
      <w:r w:rsidRPr="00CF2C2B">
        <w:rPr>
          <w:rFonts w:ascii="仿宋" w:eastAsia="仿宋" w:hAnsi="仿宋" w:cs="仿宋" w:hint="eastAsia"/>
          <w:spacing w:val="8"/>
          <w:sz w:val="24"/>
          <w:szCs w:val="24"/>
          <w:lang w:bidi="ar"/>
        </w:rPr>
        <w:t>3.体检地点：合同约定的体检地点。</w:t>
      </w:r>
    </w:p>
    <w:p w:rsidR="00CF2C2B" w:rsidRPr="00CF2C2B" w:rsidRDefault="00CF2C2B" w:rsidP="00CF2C2B">
      <w:pPr>
        <w:autoSpaceDE w:val="0"/>
        <w:autoSpaceDN w:val="0"/>
        <w:snapToGrid w:val="0"/>
        <w:spacing w:line="520" w:lineRule="exact"/>
        <w:ind w:firstLineChars="200" w:firstLine="512"/>
        <w:rPr>
          <w:rFonts w:ascii="仿宋" w:eastAsia="仿宋" w:hAnsi="仿宋" w:cs="仿宋"/>
          <w:spacing w:val="8"/>
          <w:sz w:val="24"/>
          <w:szCs w:val="24"/>
          <w:lang w:bidi="ar"/>
        </w:rPr>
      </w:pPr>
      <w:r w:rsidRPr="00CF2C2B">
        <w:rPr>
          <w:rFonts w:ascii="仿宋" w:eastAsia="仿宋" w:hAnsi="仿宋" w:cs="仿宋" w:hint="eastAsia"/>
          <w:spacing w:val="8"/>
          <w:sz w:val="24"/>
          <w:szCs w:val="24"/>
          <w:lang w:bidi="ar"/>
        </w:rPr>
        <w:t>4.结算方式：按照采购人实际参加体检人数及参检项目进行结算（合同总金额据实结算，不超过本项目成交价格），职工</w:t>
      </w:r>
      <w:proofErr w:type="gramStart"/>
      <w:r w:rsidRPr="00CF2C2B">
        <w:rPr>
          <w:rFonts w:ascii="仿宋" w:eastAsia="仿宋" w:hAnsi="仿宋" w:cs="仿宋" w:hint="eastAsia"/>
          <w:spacing w:val="8"/>
          <w:sz w:val="24"/>
          <w:szCs w:val="24"/>
          <w:lang w:bidi="ar"/>
        </w:rPr>
        <w:t>自愿弃检项目</w:t>
      </w:r>
      <w:proofErr w:type="gramEnd"/>
      <w:r w:rsidRPr="00CF2C2B">
        <w:rPr>
          <w:rFonts w:ascii="仿宋" w:eastAsia="仿宋" w:hAnsi="仿宋" w:cs="仿宋" w:hint="eastAsia"/>
          <w:spacing w:val="8"/>
          <w:sz w:val="24"/>
          <w:szCs w:val="24"/>
          <w:lang w:bidi="ar"/>
        </w:rPr>
        <w:t>费用不计入结算价款，职工增加体检项目由职工自行支付。</w:t>
      </w:r>
    </w:p>
    <w:p w:rsidR="00CF2C2B" w:rsidRPr="00CF2C2B" w:rsidRDefault="00CF2C2B" w:rsidP="00CF2C2B">
      <w:pPr>
        <w:autoSpaceDE w:val="0"/>
        <w:autoSpaceDN w:val="0"/>
        <w:snapToGrid w:val="0"/>
        <w:spacing w:line="520" w:lineRule="exact"/>
        <w:ind w:firstLineChars="238" w:firstLine="609"/>
        <w:rPr>
          <w:rFonts w:ascii="仿宋" w:eastAsia="仿宋" w:hAnsi="仿宋" w:cs="仿宋"/>
          <w:spacing w:val="8"/>
          <w:sz w:val="24"/>
          <w:szCs w:val="24"/>
          <w:lang w:bidi="ar"/>
        </w:rPr>
      </w:pPr>
      <w:r w:rsidRPr="00CF2C2B">
        <w:rPr>
          <w:rFonts w:ascii="仿宋" w:eastAsia="仿宋" w:hAnsi="仿宋" w:cs="仿宋" w:hint="eastAsia"/>
          <w:spacing w:val="8"/>
          <w:sz w:val="24"/>
          <w:szCs w:val="24"/>
          <w:lang w:bidi="ar"/>
        </w:rPr>
        <w:t>5.支付方式：分两次支付。</w:t>
      </w:r>
    </w:p>
    <w:p w:rsidR="00CF2C2B" w:rsidRPr="00CF2C2B" w:rsidRDefault="00CF2C2B" w:rsidP="00CF2C2B">
      <w:pPr>
        <w:autoSpaceDE w:val="0"/>
        <w:autoSpaceDN w:val="0"/>
        <w:snapToGrid w:val="0"/>
        <w:spacing w:line="520" w:lineRule="exact"/>
        <w:ind w:firstLineChars="238" w:firstLine="609"/>
        <w:rPr>
          <w:rFonts w:ascii="仿宋" w:eastAsia="仿宋" w:hAnsi="仿宋" w:cs="仿宋"/>
          <w:spacing w:val="8"/>
          <w:sz w:val="24"/>
          <w:szCs w:val="24"/>
          <w:lang w:bidi="ar"/>
        </w:rPr>
      </w:pPr>
      <w:r w:rsidRPr="00CF2C2B">
        <w:rPr>
          <w:rFonts w:ascii="仿宋" w:eastAsia="仿宋" w:hAnsi="仿宋" w:cs="仿宋" w:hint="eastAsia"/>
          <w:spacing w:val="8"/>
          <w:sz w:val="24"/>
          <w:szCs w:val="24"/>
          <w:lang w:bidi="ar"/>
        </w:rPr>
        <w:t>5.1合同签订之日起，采购人在收到供应商开具的足额、有效的发票后10个工作日内向供应商支付合同总金额30%的费用。</w:t>
      </w:r>
    </w:p>
    <w:p w:rsidR="00CF2C2B" w:rsidRPr="00CF2C2B" w:rsidRDefault="00CF2C2B" w:rsidP="00CF2C2B">
      <w:pPr>
        <w:autoSpaceDE w:val="0"/>
        <w:autoSpaceDN w:val="0"/>
        <w:snapToGrid w:val="0"/>
        <w:spacing w:line="520" w:lineRule="exact"/>
        <w:ind w:firstLineChars="238" w:firstLine="609"/>
        <w:rPr>
          <w:rFonts w:ascii="仿宋" w:eastAsia="仿宋" w:hAnsi="仿宋" w:cs="仿宋"/>
          <w:spacing w:val="8"/>
          <w:sz w:val="24"/>
          <w:szCs w:val="24"/>
          <w:lang w:bidi="ar"/>
        </w:rPr>
      </w:pPr>
      <w:r w:rsidRPr="00CF2C2B">
        <w:rPr>
          <w:rFonts w:ascii="仿宋" w:eastAsia="仿宋" w:hAnsi="仿宋" w:cs="仿宋" w:hint="eastAsia"/>
          <w:spacing w:val="8"/>
          <w:sz w:val="24"/>
          <w:szCs w:val="24"/>
          <w:lang w:bidi="ar"/>
        </w:rPr>
        <w:lastRenderedPageBreak/>
        <w:t>5.2采购人完成全部体检并收到体检报告后，采购人与供应商对体检人数及项目进行核对，核对无误后，采购人在收到供应商开具的足额、有效的发票后10个工作日内向供应商支付实际发生金额的剩余费用。</w:t>
      </w:r>
    </w:p>
    <w:p w:rsidR="00CF2C2B" w:rsidRPr="00CF2C2B" w:rsidRDefault="00CF2C2B" w:rsidP="00CF2C2B">
      <w:pPr>
        <w:spacing w:line="500" w:lineRule="exact"/>
        <w:ind w:firstLineChars="200" w:firstLine="512"/>
        <w:rPr>
          <w:rFonts w:ascii="仿宋" w:eastAsia="仿宋" w:hAnsi="仿宋" w:cs="仿宋"/>
          <w:spacing w:val="8"/>
          <w:sz w:val="24"/>
          <w:szCs w:val="24"/>
          <w:lang w:bidi="ar"/>
        </w:rPr>
      </w:pPr>
      <w:r w:rsidRPr="00CF2C2B">
        <w:rPr>
          <w:rFonts w:ascii="仿宋" w:eastAsia="仿宋" w:hAnsi="仿宋" w:cs="仿宋" w:hint="eastAsia"/>
          <w:spacing w:val="8"/>
          <w:sz w:val="24"/>
          <w:szCs w:val="24"/>
          <w:lang w:bidi="ar"/>
        </w:rPr>
        <w:t>6.验收方式</w:t>
      </w:r>
    </w:p>
    <w:p w:rsidR="00CF2C2B" w:rsidRPr="00CF2C2B" w:rsidRDefault="00CF2C2B" w:rsidP="00CF2C2B">
      <w:pPr>
        <w:spacing w:line="50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6.1验收程序：在合同约定内容全部履行完毕后，采购人按以下标准进行验收。</w:t>
      </w:r>
    </w:p>
    <w:p w:rsidR="00CF2C2B" w:rsidRPr="00CF2C2B" w:rsidRDefault="00CF2C2B" w:rsidP="00CF2C2B">
      <w:pPr>
        <w:spacing w:line="50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6.2验收标准：</w:t>
      </w:r>
    </w:p>
    <w:p w:rsidR="00CF2C2B" w:rsidRPr="00CF2C2B" w:rsidRDefault="00CF2C2B" w:rsidP="00CF2C2B">
      <w:pPr>
        <w:spacing w:line="50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6.2.1供应商应向采购人提供与采购人职工体检项目有关的医学知识咨询。</w:t>
      </w:r>
    </w:p>
    <w:p w:rsidR="00CF2C2B" w:rsidRPr="00CF2C2B" w:rsidRDefault="00CF2C2B" w:rsidP="00CF2C2B">
      <w:pPr>
        <w:spacing w:line="50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6.2.2供应商应在协议商定的时间内完成采购人体检员工的体检项目。</w:t>
      </w:r>
    </w:p>
    <w:p w:rsidR="00CF2C2B" w:rsidRPr="00CF2C2B" w:rsidRDefault="00CF2C2B" w:rsidP="00CF2C2B">
      <w:pPr>
        <w:spacing w:line="50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6.2.3供应商应在实施采购人体检员工体检的过程中，如发现危、急、重症病例（例：心血管急症、各种急性肝炎、急性肾功能损害、恶性肿瘤等），在72小时内（特殊检查除外）及时通知体检员工本人，以便及时就诊或进一步检查。</w:t>
      </w:r>
    </w:p>
    <w:p w:rsidR="00CF2C2B" w:rsidRPr="00CF2C2B" w:rsidRDefault="00CF2C2B" w:rsidP="00CF2C2B">
      <w:pPr>
        <w:spacing w:line="50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6.2.4在集中体检结束后10个工作日内，供应商应向采购人提供所有已体检员工的体检报告，并配送至采购人指定地点。</w:t>
      </w:r>
    </w:p>
    <w:p w:rsidR="00CF2C2B" w:rsidRPr="00CF2C2B" w:rsidRDefault="00CF2C2B" w:rsidP="00CF2C2B">
      <w:pPr>
        <w:spacing w:line="50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6.2.5供应商有义务保护采购人体检员工的健康体检信息，未经体检员工书面授权，不得向其他机构或个人泄漏。</w:t>
      </w:r>
    </w:p>
    <w:p w:rsidR="00CF2C2B" w:rsidRPr="00CF2C2B" w:rsidRDefault="00CF2C2B" w:rsidP="00CF2C2B">
      <w:pPr>
        <w:spacing w:line="50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6.2.6供应商应为采购人单位所有人员提供后续的绿色就诊通道，特殊病例协调入院、快速安排复检相关服务。</w:t>
      </w:r>
    </w:p>
    <w:p w:rsidR="00CF2C2B" w:rsidRPr="00CF2C2B" w:rsidRDefault="00CF2C2B" w:rsidP="00CF2C2B">
      <w:pPr>
        <w:spacing w:line="50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6.2.7供应商提供专家进行体检后讲座及检后咨询服务（现场咨询或电话咨询），现场咨询地点包括：城东办证点（汇泉北路323号）、青羊办证点（清江中路20号）、城南办证点（锦城大道999号），其他办证点采用电话咨询形式。</w:t>
      </w:r>
    </w:p>
    <w:p w:rsidR="00CF2C2B" w:rsidRPr="00CF2C2B" w:rsidRDefault="00CF2C2B" w:rsidP="00CF2C2B">
      <w:pPr>
        <w:autoSpaceDE w:val="0"/>
        <w:autoSpaceDN w:val="0"/>
        <w:snapToGrid w:val="0"/>
        <w:spacing w:line="520" w:lineRule="exact"/>
        <w:ind w:firstLineChars="200" w:firstLine="482"/>
        <w:rPr>
          <w:rFonts w:ascii="仿宋" w:eastAsia="仿宋" w:hAnsi="仿宋" w:cs="Times New Roman"/>
          <w:bCs/>
          <w:sz w:val="24"/>
          <w:szCs w:val="24"/>
        </w:rPr>
      </w:pPr>
      <w:r w:rsidRPr="00CF2C2B">
        <w:rPr>
          <w:rFonts w:ascii="仿宋" w:eastAsia="仿宋" w:hAnsi="仿宋" w:cs="Times New Roman" w:hint="eastAsia"/>
          <w:b/>
          <w:bCs/>
          <w:sz w:val="24"/>
          <w:szCs w:val="24"/>
        </w:rPr>
        <w:t>*六、</w:t>
      </w:r>
      <w:r w:rsidRPr="00CF2C2B">
        <w:rPr>
          <w:rFonts w:ascii="仿宋" w:eastAsia="仿宋" w:hAnsi="仿宋" w:cs="Times New Roman" w:hint="eastAsia"/>
          <w:bCs/>
          <w:sz w:val="24"/>
          <w:szCs w:val="24"/>
        </w:rPr>
        <w:t>其他</w:t>
      </w:r>
    </w:p>
    <w:p w:rsidR="00CF2C2B" w:rsidRPr="00CF2C2B" w:rsidRDefault="00CF2C2B" w:rsidP="00CF2C2B">
      <w:pPr>
        <w:autoSpaceDE w:val="0"/>
        <w:autoSpaceDN w:val="0"/>
        <w:snapToGrid w:val="0"/>
        <w:spacing w:line="520" w:lineRule="exact"/>
        <w:ind w:firstLineChars="200" w:firstLine="480"/>
        <w:rPr>
          <w:rFonts w:ascii="仿宋" w:eastAsia="仿宋" w:hAnsi="仿宋" w:cs="Times New Roman"/>
          <w:bCs/>
          <w:sz w:val="24"/>
          <w:szCs w:val="24"/>
        </w:rPr>
      </w:pPr>
      <w:r w:rsidRPr="00CF2C2B">
        <w:rPr>
          <w:rFonts w:ascii="仿宋" w:eastAsia="仿宋" w:hAnsi="仿宋" w:cs="Times New Roman" w:hint="eastAsia"/>
          <w:bCs/>
          <w:sz w:val="24"/>
          <w:szCs w:val="24"/>
        </w:rPr>
        <w:t>1.采购人、供应</w:t>
      </w:r>
      <w:proofErr w:type="gramStart"/>
      <w:r w:rsidRPr="00CF2C2B">
        <w:rPr>
          <w:rFonts w:ascii="仿宋" w:eastAsia="仿宋" w:hAnsi="仿宋" w:cs="Times New Roman" w:hint="eastAsia"/>
          <w:bCs/>
          <w:sz w:val="24"/>
          <w:szCs w:val="24"/>
        </w:rPr>
        <w:t>商任何</w:t>
      </w:r>
      <w:proofErr w:type="gramEnd"/>
      <w:r w:rsidRPr="00CF2C2B">
        <w:rPr>
          <w:rFonts w:ascii="仿宋" w:eastAsia="仿宋" w:hAnsi="仿宋" w:cs="Times New Roman" w:hint="eastAsia"/>
          <w:bCs/>
          <w:sz w:val="24"/>
          <w:szCs w:val="24"/>
        </w:rPr>
        <w:t>一方因发生不可抗力因素而不能按时履约，均不负违约责任。</w:t>
      </w:r>
    </w:p>
    <w:p w:rsidR="00CF2C2B" w:rsidRPr="00CF2C2B" w:rsidRDefault="00CF2C2B" w:rsidP="00CF2C2B">
      <w:pPr>
        <w:autoSpaceDE w:val="0"/>
        <w:autoSpaceDN w:val="0"/>
        <w:snapToGrid w:val="0"/>
        <w:spacing w:line="520" w:lineRule="exact"/>
        <w:ind w:firstLineChars="238" w:firstLine="571"/>
        <w:rPr>
          <w:rFonts w:ascii="仿宋" w:eastAsia="仿宋" w:hAnsi="仿宋" w:cs="Times New Roman"/>
          <w:bCs/>
          <w:sz w:val="24"/>
          <w:szCs w:val="24"/>
        </w:rPr>
      </w:pPr>
      <w:r w:rsidRPr="00CF2C2B">
        <w:rPr>
          <w:rFonts w:ascii="仿宋" w:eastAsia="仿宋" w:hAnsi="仿宋" w:cs="Times New Roman" w:hint="eastAsia"/>
          <w:bCs/>
          <w:sz w:val="24"/>
          <w:szCs w:val="24"/>
        </w:rPr>
        <w:t>2.因采购人体检员工自愿放弃体检项目或延期不领取体检报告造成损害，采购人体检员工自行负责。</w:t>
      </w:r>
    </w:p>
    <w:p w:rsidR="00BA44E9" w:rsidRPr="00CF2C2B" w:rsidRDefault="00BA44E9"/>
    <w:sectPr w:rsidR="00BA44E9" w:rsidRPr="00CF2C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C2B" w:rsidRDefault="00CF2C2B" w:rsidP="00CF2C2B">
      <w:r>
        <w:separator/>
      </w:r>
    </w:p>
  </w:endnote>
  <w:endnote w:type="continuationSeparator" w:id="0">
    <w:p w:rsidR="00CF2C2B" w:rsidRDefault="00CF2C2B" w:rsidP="00CF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C2B" w:rsidRDefault="00CF2C2B" w:rsidP="00CF2C2B">
      <w:r>
        <w:separator/>
      </w:r>
    </w:p>
  </w:footnote>
  <w:footnote w:type="continuationSeparator" w:id="0">
    <w:p w:rsidR="00CF2C2B" w:rsidRDefault="00CF2C2B" w:rsidP="00CF2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E6D68"/>
    <w:multiLevelType w:val="singleLevel"/>
    <w:tmpl w:val="297E6D68"/>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4E"/>
    <w:rsid w:val="0006724E"/>
    <w:rsid w:val="00BA44E9"/>
    <w:rsid w:val="00CF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2C2B"/>
    <w:rPr>
      <w:sz w:val="18"/>
      <w:szCs w:val="18"/>
    </w:rPr>
  </w:style>
  <w:style w:type="paragraph" w:styleId="a4">
    <w:name w:val="footer"/>
    <w:basedOn w:val="a"/>
    <w:link w:val="Char0"/>
    <w:uiPriority w:val="99"/>
    <w:unhideWhenUsed/>
    <w:rsid w:val="00CF2C2B"/>
    <w:pPr>
      <w:tabs>
        <w:tab w:val="center" w:pos="4153"/>
        <w:tab w:val="right" w:pos="8306"/>
      </w:tabs>
      <w:snapToGrid w:val="0"/>
      <w:jc w:val="left"/>
    </w:pPr>
    <w:rPr>
      <w:sz w:val="18"/>
      <w:szCs w:val="18"/>
    </w:rPr>
  </w:style>
  <w:style w:type="character" w:customStyle="1" w:styleId="Char0">
    <w:name w:val="页脚 Char"/>
    <w:basedOn w:val="a0"/>
    <w:link w:val="a4"/>
    <w:uiPriority w:val="99"/>
    <w:rsid w:val="00CF2C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2C2B"/>
    <w:rPr>
      <w:sz w:val="18"/>
      <w:szCs w:val="18"/>
    </w:rPr>
  </w:style>
  <w:style w:type="paragraph" w:styleId="a4">
    <w:name w:val="footer"/>
    <w:basedOn w:val="a"/>
    <w:link w:val="Char0"/>
    <w:uiPriority w:val="99"/>
    <w:unhideWhenUsed/>
    <w:rsid w:val="00CF2C2B"/>
    <w:pPr>
      <w:tabs>
        <w:tab w:val="center" w:pos="4153"/>
        <w:tab w:val="right" w:pos="8306"/>
      </w:tabs>
      <w:snapToGrid w:val="0"/>
      <w:jc w:val="left"/>
    </w:pPr>
    <w:rPr>
      <w:sz w:val="18"/>
      <w:szCs w:val="18"/>
    </w:rPr>
  </w:style>
  <w:style w:type="character" w:customStyle="1" w:styleId="Char0">
    <w:name w:val="页脚 Char"/>
    <w:basedOn w:val="a0"/>
    <w:link w:val="a4"/>
    <w:uiPriority w:val="99"/>
    <w:rsid w:val="00CF2C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818</Words>
  <Characters>4663</Characters>
  <Application>Microsoft Office Word</Application>
  <DocSecurity>0</DocSecurity>
  <Lines>38</Lines>
  <Paragraphs>10</Paragraphs>
  <ScaleCrop>false</ScaleCrop>
  <Company>china</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2022-05-05T09:52:00Z</dcterms:created>
  <dcterms:modified xsi:type="dcterms:W3CDTF">2022-05-05T09:54:00Z</dcterms:modified>
</cp:coreProperties>
</file>