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A7" w:rsidRPr="00A078A7" w:rsidRDefault="00A078A7" w:rsidP="00A078A7">
      <w:pPr>
        <w:keepNext/>
        <w:keepLines/>
        <w:spacing w:before="260" w:after="260" w:line="400" w:lineRule="exact"/>
        <w:ind w:firstLineChars="98" w:firstLine="236"/>
        <w:outlineLvl w:val="1"/>
        <w:rPr>
          <w:rFonts w:ascii="仿宋" w:eastAsia="仿宋" w:hAnsi="仿宋" w:cs="Times New Roman"/>
          <w:b/>
          <w:bCs/>
          <w:sz w:val="24"/>
          <w:szCs w:val="24"/>
        </w:rPr>
      </w:pPr>
      <w:bookmarkStart w:id="0" w:name="_Toc217446095"/>
      <w:proofErr w:type="gramStart"/>
      <w:r w:rsidRPr="00A078A7">
        <w:rPr>
          <w:rFonts w:ascii="仿宋" w:eastAsia="仿宋" w:hAnsi="仿宋" w:cs="Times New Roman"/>
          <w:b/>
          <w:bCs/>
          <w:sz w:val="24"/>
          <w:szCs w:val="24"/>
        </w:rPr>
        <w:t>一</w:t>
      </w:r>
      <w:proofErr w:type="gramEnd"/>
      <w:r w:rsidRPr="00A078A7">
        <w:rPr>
          <w:rFonts w:ascii="仿宋" w:eastAsia="仿宋" w:hAnsi="仿宋" w:cs="Times New Roman"/>
          <w:b/>
          <w:bCs/>
          <w:sz w:val="24"/>
          <w:szCs w:val="24"/>
        </w:rPr>
        <w:t>.</w:t>
      </w:r>
      <w:r w:rsidRPr="00A078A7">
        <w:rPr>
          <w:rFonts w:ascii="仿宋" w:eastAsia="仿宋" w:hAnsi="仿宋" w:cs="Times New Roman" w:hint="eastAsia"/>
          <w:b/>
          <w:bCs/>
          <w:sz w:val="24"/>
          <w:szCs w:val="24"/>
        </w:rPr>
        <w:t>项目概述</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（一）项目</w:t>
      </w:r>
      <w:r w:rsidRPr="00A078A7">
        <w:rPr>
          <w:rFonts w:ascii="仿宋" w:eastAsia="仿宋" w:hAnsi="仿宋" w:cs="Times New Roman"/>
          <w:bCs/>
          <w:sz w:val="24"/>
          <w:szCs w:val="24"/>
        </w:rPr>
        <w:t>概况</w:t>
      </w:r>
      <w:r w:rsidRPr="00A078A7">
        <w:rPr>
          <w:rFonts w:ascii="仿宋" w:eastAsia="仿宋" w:hAnsi="仿宋" w:cs="Times New Roman" w:hint="eastAsia"/>
          <w:bCs/>
          <w:sz w:val="24"/>
          <w:szCs w:val="24"/>
        </w:rPr>
        <w:t>：本项目共1个包，采购成都市第二人民医院医疗责任保险服务供应商1名。</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（二）采购人病床位数：2</w:t>
      </w:r>
      <w:r w:rsidRPr="00A078A7">
        <w:rPr>
          <w:rFonts w:ascii="仿宋" w:eastAsia="仿宋" w:hAnsi="仿宋" w:cs="Times New Roman"/>
          <w:bCs/>
          <w:sz w:val="24"/>
          <w:szCs w:val="24"/>
        </w:rPr>
        <w:t>600张。</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（三）医务人员总数：保险服务期间，保险事故发生时在医院在岗的所有人员（截至2022年3月25日，医生1,253人,护士1500人,医技322人（含药学）。</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（四）年手术台次：2021年手术台次共计40137台次</w:t>
      </w:r>
      <w:bookmarkStart w:id="1" w:name="_GoBack"/>
      <w:bookmarkEnd w:id="1"/>
      <w:r w:rsidRPr="00A078A7">
        <w:rPr>
          <w:rFonts w:ascii="仿宋" w:eastAsia="仿宋" w:hAnsi="仿宋" w:cs="Times New Roman" w:hint="eastAsia"/>
          <w:bCs/>
          <w:sz w:val="24"/>
          <w:szCs w:val="24"/>
        </w:rPr>
        <w:t>。</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（五）本保单保险条款中的“医务人员”包括本院医务人员及非本院医务人员，非本院医务人员特指实习生、见习生、进修医务人员、</w:t>
      </w:r>
      <w:proofErr w:type="gramStart"/>
      <w:r w:rsidRPr="00A078A7">
        <w:rPr>
          <w:rFonts w:ascii="仿宋" w:eastAsia="仿宋" w:hAnsi="仿宋" w:cs="Times New Roman" w:hint="eastAsia"/>
          <w:bCs/>
          <w:sz w:val="24"/>
          <w:szCs w:val="24"/>
        </w:rPr>
        <w:t>规</w:t>
      </w:r>
      <w:proofErr w:type="gramEnd"/>
      <w:r w:rsidRPr="00A078A7">
        <w:rPr>
          <w:rFonts w:ascii="仿宋" w:eastAsia="仿宋" w:hAnsi="仿宋" w:cs="Times New Roman" w:hint="eastAsia"/>
          <w:bCs/>
          <w:sz w:val="24"/>
          <w:szCs w:val="24"/>
        </w:rPr>
        <w:t>培医务人员、外聘专家（包括多点执业人员）。</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（六）标的名称及</w:t>
      </w:r>
      <w:r w:rsidRPr="00A078A7">
        <w:rPr>
          <w:rFonts w:ascii="仿宋" w:eastAsia="仿宋" w:hAnsi="仿宋" w:cs="Times New Roman"/>
          <w:bCs/>
          <w:sz w:val="24"/>
          <w:szCs w:val="24"/>
        </w:rPr>
        <w:t>所属行业</w:t>
      </w:r>
      <w:r w:rsidRPr="00A078A7">
        <w:rPr>
          <w:rFonts w:ascii="仿宋" w:eastAsia="仿宋" w:hAnsi="仿宋" w:cs="Times New Roman" w:hint="eastAsia"/>
          <w:bCs/>
          <w:sz w:val="24"/>
          <w:szCs w:val="24"/>
        </w:rPr>
        <w:t>：</w:t>
      </w:r>
    </w:p>
    <w:tbl>
      <w:tblPr>
        <w:tblStyle w:val="a5"/>
        <w:tblW w:w="7005" w:type="dxa"/>
        <w:jc w:val="center"/>
        <w:tblLook w:val="04A0" w:firstRow="1" w:lastRow="0" w:firstColumn="1" w:lastColumn="0" w:noHBand="0" w:noVBand="1"/>
      </w:tblPr>
      <w:tblGrid>
        <w:gridCol w:w="1271"/>
        <w:gridCol w:w="1418"/>
        <w:gridCol w:w="1559"/>
        <w:gridCol w:w="2757"/>
      </w:tblGrid>
      <w:tr w:rsidR="00A078A7" w:rsidRPr="00A078A7" w:rsidTr="00173CFB">
        <w:trPr>
          <w:jc w:val="center"/>
        </w:trPr>
        <w:tc>
          <w:tcPr>
            <w:tcW w:w="1271" w:type="dxa"/>
            <w:vMerge w:val="restart"/>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bCs/>
                <w:sz w:val="24"/>
                <w:szCs w:val="24"/>
              </w:rPr>
              <w:t>包号：</w:t>
            </w:r>
            <w:r w:rsidRPr="00A078A7">
              <w:rPr>
                <w:rFonts w:ascii="仿宋" w:eastAsia="仿宋" w:hAnsi="仿宋"/>
                <w:bCs/>
                <w:sz w:val="24"/>
                <w:szCs w:val="24"/>
              </w:rPr>
              <w:t>01</w:t>
            </w:r>
          </w:p>
        </w:tc>
        <w:tc>
          <w:tcPr>
            <w:tcW w:w="1418"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bCs/>
                <w:sz w:val="24"/>
                <w:szCs w:val="24"/>
              </w:rPr>
              <w:t>品目号</w:t>
            </w:r>
          </w:p>
        </w:tc>
        <w:tc>
          <w:tcPr>
            <w:tcW w:w="1559"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bCs/>
                <w:sz w:val="24"/>
                <w:szCs w:val="24"/>
              </w:rPr>
              <w:t>标的</w:t>
            </w:r>
            <w:r w:rsidRPr="00A078A7">
              <w:rPr>
                <w:rFonts w:ascii="仿宋" w:eastAsia="仿宋" w:hAnsi="仿宋"/>
                <w:bCs/>
                <w:sz w:val="24"/>
                <w:szCs w:val="24"/>
              </w:rPr>
              <w:t>名称</w:t>
            </w:r>
          </w:p>
        </w:tc>
        <w:tc>
          <w:tcPr>
            <w:tcW w:w="2757"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bCs/>
                <w:sz w:val="24"/>
                <w:szCs w:val="24"/>
              </w:rPr>
              <w:t>所属行业</w:t>
            </w:r>
          </w:p>
        </w:tc>
      </w:tr>
      <w:tr w:rsidR="00A078A7" w:rsidRPr="00A078A7" w:rsidTr="00173CFB">
        <w:trPr>
          <w:jc w:val="center"/>
        </w:trPr>
        <w:tc>
          <w:tcPr>
            <w:tcW w:w="1271" w:type="dxa"/>
            <w:vMerge/>
          </w:tcPr>
          <w:p w:rsidR="00A078A7" w:rsidRPr="00A078A7" w:rsidRDefault="00A078A7" w:rsidP="00A078A7">
            <w:pPr>
              <w:spacing w:after="160" w:line="400" w:lineRule="exact"/>
              <w:rPr>
                <w:rFonts w:ascii="仿宋" w:eastAsia="仿宋" w:hAnsi="仿宋"/>
                <w:bCs/>
                <w:sz w:val="24"/>
                <w:szCs w:val="24"/>
              </w:rPr>
            </w:pPr>
          </w:p>
        </w:tc>
        <w:tc>
          <w:tcPr>
            <w:tcW w:w="1418"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bCs/>
                <w:sz w:val="24"/>
                <w:szCs w:val="24"/>
              </w:rPr>
              <w:t>1-1</w:t>
            </w:r>
          </w:p>
        </w:tc>
        <w:tc>
          <w:tcPr>
            <w:tcW w:w="1559"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sz w:val="24"/>
                <w:szCs w:val="24"/>
              </w:rPr>
              <w:t>医疗责任保险</w:t>
            </w:r>
            <w:r w:rsidRPr="00A078A7">
              <w:rPr>
                <w:rFonts w:ascii="仿宋" w:eastAsia="仿宋" w:hAnsi="仿宋"/>
                <w:bCs/>
                <w:sz w:val="24"/>
                <w:szCs w:val="24"/>
              </w:rPr>
              <w:t>服务</w:t>
            </w:r>
          </w:p>
        </w:tc>
        <w:tc>
          <w:tcPr>
            <w:tcW w:w="2757" w:type="dxa"/>
          </w:tcPr>
          <w:p w:rsidR="00A078A7" w:rsidRPr="00A078A7" w:rsidRDefault="00A078A7" w:rsidP="00A078A7">
            <w:pPr>
              <w:spacing w:after="160" w:line="400" w:lineRule="exact"/>
              <w:rPr>
                <w:rFonts w:ascii="仿宋" w:eastAsia="仿宋" w:hAnsi="仿宋"/>
                <w:bCs/>
                <w:sz w:val="24"/>
                <w:szCs w:val="24"/>
              </w:rPr>
            </w:pPr>
            <w:r w:rsidRPr="00A078A7">
              <w:rPr>
                <w:rFonts w:ascii="仿宋" w:eastAsia="仿宋" w:hAnsi="仿宋" w:hint="eastAsia"/>
                <w:sz w:val="24"/>
                <w:szCs w:val="24"/>
              </w:rPr>
              <w:t>其他未列明行业</w:t>
            </w:r>
          </w:p>
        </w:tc>
      </w:tr>
    </w:tbl>
    <w:p w:rsidR="00A078A7" w:rsidRPr="00A078A7" w:rsidRDefault="00A078A7" w:rsidP="00A078A7">
      <w:pPr>
        <w:keepNext/>
        <w:keepLines/>
        <w:spacing w:before="260" w:after="260" w:line="400" w:lineRule="exact"/>
        <w:ind w:firstLineChars="98" w:firstLine="236"/>
        <w:outlineLvl w:val="1"/>
        <w:rPr>
          <w:rFonts w:ascii="仿宋" w:eastAsia="仿宋" w:hAnsi="仿宋" w:cs="Times New Roman"/>
          <w:b/>
          <w:bCs/>
          <w:sz w:val="24"/>
          <w:szCs w:val="24"/>
        </w:rPr>
      </w:pPr>
      <w:r w:rsidRPr="00A078A7">
        <w:rPr>
          <w:rFonts w:ascii="仿宋" w:eastAsia="仿宋" w:hAnsi="仿宋" w:cs="Times New Roman"/>
          <w:b/>
          <w:bCs/>
          <w:sz w:val="24"/>
          <w:szCs w:val="24"/>
        </w:rPr>
        <w:t>*二.</w:t>
      </w:r>
      <w:r w:rsidRPr="00A078A7">
        <w:rPr>
          <w:rFonts w:ascii="仿宋" w:eastAsia="仿宋" w:hAnsi="仿宋" w:cs="Times New Roman" w:hint="eastAsia"/>
          <w:b/>
          <w:bCs/>
          <w:sz w:val="24"/>
          <w:szCs w:val="24"/>
        </w:rPr>
        <w:t>商务要求</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（一）付款方式：成交供应商与采购人签订合同之日起15日内支付保费，成交供应商收到保险费即刻出具保险单并提供相关票据。</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（二）服务期限：本项目采购有效期三年，合同一年一签，达到采购人要求且验收通过后，续签合同。</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（三）服务地点：采购人指定地点。</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（四）售后服务：成交供应商提供售后服务机构网点清单、服务电话和服务人员名单。（加盖公章）</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（五）验收：按照《关于进一步加强政府采购需求和履约验收管理的指导意见》（财库〔2016〕205号）及招标文件技术要求、投标文件响应情况和国家、行业标准进行验收。</w:t>
      </w:r>
    </w:p>
    <w:bookmarkEnd w:id="0"/>
    <w:p w:rsidR="00A078A7" w:rsidRPr="00A078A7" w:rsidRDefault="00A078A7" w:rsidP="00A078A7">
      <w:pPr>
        <w:keepNext/>
        <w:keepLines/>
        <w:spacing w:before="260" w:after="260" w:line="400" w:lineRule="exact"/>
        <w:ind w:firstLineChars="98" w:firstLine="236"/>
        <w:outlineLvl w:val="1"/>
        <w:rPr>
          <w:rFonts w:ascii="仿宋" w:eastAsia="仿宋" w:hAnsi="仿宋" w:cs="Times New Roman"/>
          <w:b/>
          <w:bCs/>
          <w:sz w:val="24"/>
          <w:szCs w:val="24"/>
        </w:rPr>
      </w:pPr>
      <w:r w:rsidRPr="00A078A7">
        <w:rPr>
          <w:rFonts w:ascii="仿宋" w:eastAsia="仿宋" w:hAnsi="仿宋" w:cs="Times New Roman"/>
          <w:b/>
          <w:bCs/>
          <w:sz w:val="24"/>
          <w:szCs w:val="24"/>
        </w:rPr>
        <w:lastRenderedPageBreak/>
        <w:t>*三.</w:t>
      </w:r>
      <w:r w:rsidRPr="00A078A7">
        <w:rPr>
          <w:rFonts w:ascii="Arial" w:eastAsia="黑体" w:hAnsi="Arial" w:cs="Times New Roman" w:hint="eastAsia"/>
          <w:b/>
          <w:bCs/>
          <w:sz w:val="32"/>
          <w:szCs w:val="32"/>
        </w:rPr>
        <w:t xml:space="preserve"> </w:t>
      </w:r>
      <w:r w:rsidRPr="00A078A7">
        <w:rPr>
          <w:rFonts w:ascii="仿宋" w:eastAsia="仿宋" w:hAnsi="仿宋" w:cs="Times New Roman" w:hint="eastAsia"/>
          <w:b/>
          <w:bCs/>
          <w:sz w:val="24"/>
          <w:szCs w:val="24"/>
        </w:rPr>
        <w:t>项目服务要求</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（一）医疗责任</w:t>
      </w:r>
      <w:proofErr w:type="gramStart"/>
      <w:r w:rsidRPr="00A078A7">
        <w:rPr>
          <w:rFonts w:ascii="仿宋" w:eastAsia="仿宋" w:hAnsi="仿宋" w:cs="Times New Roman" w:hint="eastAsia"/>
          <w:bCs/>
          <w:sz w:val="24"/>
          <w:szCs w:val="24"/>
        </w:rPr>
        <w:t>保险保险</w:t>
      </w:r>
      <w:proofErr w:type="gramEnd"/>
      <w:r w:rsidRPr="00A078A7">
        <w:rPr>
          <w:rFonts w:ascii="仿宋" w:eastAsia="仿宋" w:hAnsi="仿宋" w:cs="Times New Roman" w:hint="eastAsia"/>
          <w:bCs/>
          <w:sz w:val="24"/>
          <w:szCs w:val="24"/>
        </w:rPr>
        <w:t>责任</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在保险期间或保险合同载明的追溯期内，采购人的投保医务人员在保险单载明的区域范围内从事诊疗护理活动时，因执业过失造成患者人身损害，由受害人在保险期间内首次向采购人提出损害赔偿请求，依照中华人民共和国法律（不包括港澳台地区法律）应由采购人承担的经济赔偿责任，成交供应</w:t>
      </w:r>
      <w:proofErr w:type="gramStart"/>
      <w:r w:rsidRPr="00A078A7">
        <w:rPr>
          <w:rFonts w:ascii="仿宋" w:eastAsia="仿宋" w:hAnsi="仿宋" w:cs="Times New Roman" w:hint="eastAsia"/>
          <w:bCs/>
          <w:sz w:val="24"/>
          <w:szCs w:val="24"/>
        </w:rPr>
        <w:t>商按照</w:t>
      </w:r>
      <w:proofErr w:type="gramEnd"/>
      <w:r w:rsidRPr="00A078A7">
        <w:rPr>
          <w:rFonts w:ascii="仿宋" w:eastAsia="仿宋" w:hAnsi="仿宋" w:cs="Times New Roman" w:hint="eastAsia"/>
          <w:bCs/>
          <w:sz w:val="24"/>
          <w:szCs w:val="24"/>
        </w:rPr>
        <w:t>本保险合同约定负责赔偿：</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保险事故发生后，采购人因保险事故而与受害人之间产生纠纷，对应由采购人支付的法律费用（包括律师费用、事故鉴定费、查勘费、取证费、仲裁或诉讼费、案件受理费等）以及保险事故发生后，采购人为避免或减轻患者损害，或者为了防止赔偿扩大所支付的必要的、合理的费用，供应商也负责赔偿。成交供应商对前述法律费用每次事故、累计承担的额度分别不超过本保险单明细表中列明的法律费用每次事故赔偿限额、累计赔偿限额。</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（二）医疗责任保险承保要求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3480"/>
        <w:gridCol w:w="3756"/>
      </w:tblGrid>
      <w:tr w:rsidR="00A078A7" w:rsidRPr="00A078A7" w:rsidTr="00173CFB">
        <w:trPr>
          <w:trHeight w:val="20"/>
          <w:jc w:val="center"/>
        </w:trPr>
        <w:tc>
          <w:tcPr>
            <w:tcW w:w="1284" w:type="dxa"/>
            <w:vAlign w:val="center"/>
          </w:tcPr>
          <w:p w:rsidR="00A078A7" w:rsidRPr="00A078A7" w:rsidRDefault="00A078A7" w:rsidP="00A078A7">
            <w:pPr>
              <w:spacing w:line="440" w:lineRule="exact"/>
              <w:jc w:val="center"/>
              <w:rPr>
                <w:rFonts w:ascii="仿宋" w:eastAsia="仿宋" w:hAnsi="仿宋" w:cs="宋体"/>
                <w:b/>
                <w:szCs w:val="24"/>
              </w:rPr>
            </w:pPr>
            <w:r w:rsidRPr="00A078A7">
              <w:rPr>
                <w:rFonts w:ascii="仿宋" w:eastAsia="仿宋" w:hAnsi="仿宋" w:cs="宋体" w:hint="eastAsia"/>
                <w:b/>
                <w:szCs w:val="24"/>
              </w:rPr>
              <w:t>保险类别</w:t>
            </w:r>
          </w:p>
        </w:tc>
        <w:tc>
          <w:tcPr>
            <w:tcW w:w="3480" w:type="dxa"/>
            <w:vAlign w:val="center"/>
          </w:tcPr>
          <w:p w:rsidR="00A078A7" w:rsidRPr="00A078A7" w:rsidRDefault="00A078A7" w:rsidP="00A078A7">
            <w:pPr>
              <w:spacing w:line="440" w:lineRule="exact"/>
              <w:jc w:val="center"/>
              <w:rPr>
                <w:rFonts w:ascii="仿宋" w:eastAsia="仿宋" w:hAnsi="仿宋" w:cs="宋体"/>
                <w:b/>
                <w:szCs w:val="24"/>
              </w:rPr>
            </w:pPr>
            <w:r w:rsidRPr="00A078A7">
              <w:rPr>
                <w:rFonts w:ascii="仿宋" w:eastAsia="仿宋" w:hAnsi="仿宋" w:cs="宋体" w:hint="eastAsia"/>
                <w:b/>
                <w:szCs w:val="24"/>
              </w:rPr>
              <w:t>承保要求</w:t>
            </w:r>
          </w:p>
        </w:tc>
        <w:tc>
          <w:tcPr>
            <w:tcW w:w="3756" w:type="dxa"/>
            <w:vAlign w:val="center"/>
          </w:tcPr>
          <w:p w:rsidR="00A078A7" w:rsidRPr="00A078A7" w:rsidRDefault="00A078A7" w:rsidP="00A078A7">
            <w:pPr>
              <w:spacing w:line="440" w:lineRule="exact"/>
              <w:jc w:val="center"/>
              <w:rPr>
                <w:rFonts w:ascii="仿宋" w:eastAsia="仿宋" w:hAnsi="仿宋" w:cs="宋体"/>
                <w:b/>
                <w:szCs w:val="24"/>
              </w:rPr>
            </w:pPr>
            <w:r w:rsidRPr="00A078A7">
              <w:rPr>
                <w:rFonts w:ascii="仿宋" w:eastAsia="仿宋" w:hAnsi="仿宋" w:cs="宋体" w:hint="eastAsia"/>
                <w:b/>
                <w:szCs w:val="24"/>
              </w:rPr>
              <w:t>赔付金额</w:t>
            </w:r>
          </w:p>
        </w:tc>
      </w:tr>
      <w:tr w:rsidR="00A078A7" w:rsidRPr="00A078A7" w:rsidTr="00173CFB">
        <w:trPr>
          <w:trHeight w:val="20"/>
          <w:jc w:val="center"/>
        </w:trPr>
        <w:tc>
          <w:tcPr>
            <w:tcW w:w="1284" w:type="dxa"/>
            <w:vMerge w:val="restart"/>
            <w:vAlign w:val="center"/>
          </w:tcPr>
          <w:p w:rsidR="00A078A7" w:rsidRPr="00A078A7" w:rsidRDefault="00A078A7" w:rsidP="00A078A7">
            <w:pPr>
              <w:spacing w:line="440" w:lineRule="exact"/>
              <w:jc w:val="center"/>
              <w:rPr>
                <w:rFonts w:ascii="仿宋" w:eastAsia="仿宋" w:hAnsi="仿宋" w:cs="宋体"/>
                <w:szCs w:val="24"/>
              </w:rPr>
            </w:pPr>
            <w:proofErr w:type="gramStart"/>
            <w:r w:rsidRPr="00A078A7">
              <w:rPr>
                <w:rFonts w:ascii="仿宋" w:eastAsia="仿宋" w:hAnsi="仿宋" w:cs="宋体" w:hint="eastAsia"/>
                <w:szCs w:val="24"/>
              </w:rPr>
              <w:t>医</w:t>
            </w:r>
            <w:proofErr w:type="gramEnd"/>
          </w:p>
          <w:p w:rsidR="00A078A7" w:rsidRPr="00A078A7" w:rsidRDefault="00A078A7" w:rsidP="00A078A7">
            <w:pPr>
              <w:spacing w:line="440" w:lineRule="exact"/>
              <w:jc w:val="center"/>
              <w:rPr>
                <w:rFonts w:ascii="仿宋" w:eastAsia="仿宋" w:hAnsi="仿宋" w:cs="宋体"/>
                <w:szCs w:val="24"/>
              </w:rPr>
            </w:pPr>
            <w:proofErr w:type="gramStart"/>
            <w:r w:rsidRPr="00A078A7">
              <w:rPr>
                <w:rFonts w:ascii="仿宋" w:eastAsia="仿宋" w:hAnsi="仿宋" w:cs="宋体" w:hint="eastAsia"/>
                <w:szCs w:val="24"/>
              </w:rPr>
              <w:t>疗</w:t>
            </w:r>
            <w:proofErr w:type="gramEnd"/>
          </w:p>
          <w:p w:rsidR="00A078A7" w:rsidRPr="00A078A7" w:rsidRDefault="00A078A7" w:rsidP="00A078A7">
            <w:pPr>
              <w:spacing w:line="440" w:lineRule="exact"/>
              <w:jc w:val="center"/>
              <w:rPr>
                <w:rFonts w:ascii="仿宋" w:eastAsia="仿宋" w:hAnsi="仿宋" w:cs="宋体"/>
                <w:szCs w:val="24"/>
              </w:rPr>
            </w:pPr>
            <w:proofErr w:type="gramStart"/>
            <w:r w:rsidRPr="00A078A7">
              <w:rPr>
                <w:rFonts w:ascii="仿宋" w:eastAsia="仿宋" w:hAnsi="仿宋" w:cs="宋体" w:hint="eastAsia"/>
                <w:szCs w:val="24"/>
              </w:rPr>
              <w:t>责</w:t>
            </w:r>
            <w:proofErr w:type="gramEnd"/>
          </w:p>
          <w:p w:rsidR="00A078A7" w:rsidRPr="00A078A7" w:rsidRDefault="00A078A7" w:rsidP="00A078A7">
            <w:pPr>
              <w:spacing w:line="440" w:lineRule="exact"/>
              <w:jc w:val="center"/>
              <w:rPr>
                <w:rFonts w:ascii="仿宋" w:eastAsia="仿宋" w:hAnsi="仿宋" w:cs="宋体"/>
                <w:szCs w:val="24"/>
              </w:rPr>
            </w:pPr>
            <w:r w:rsidRPr="00A078A7">
              <w:rPr>
                <w:rFonts w:ascii="仿宋" w:eastAsia="仿宋" w:hAnsi="仿宋" w:cs="宋体" w:hint="eastAsia"/>
                <w:szCs w:val="24"/>
              </w:rPr>
              <w:t>任</w:t>
            </w:r>
          </w:p>
          <w:p w:rsidR="00A078A7" w:rsidRPr="00A078A7" w:rsidRDefault="00A078A7" w:rsidP="00A078A7">
            <w:pPr>
              <w:spacing w:line="440" w:lineRule="exact"/>
              <w:jc w:val="center"/>
              <w:rPr>
                <w:rFonts w:ascii="仿宋" w:eastAsia="仿宋" w:hAnsi="仿宋" w:cs="宋体"/>
                <w:szCs w:val="24"/>
              </w:rPr>
            </w:pPr>
            <w:r w:rsidRPr="00A078A7">
              <w:rPr>
                <w:rFonts w:ascii="仿宋" w:eastAsia="仿宋" w:hAnsi="仿宋" w:cs="宋体" w:hint="eastAsia"/>
                <w:szCs w:val="24"/>
              </w:rPr>
              <w:t>保</w:t>
            </w:r>
          </w:p>
          <w:p w:rsidR="00A078A7" w:rsidRPr="00A078A7" w:rsidRDefault="00A078A7" w:rsidP="00A078A7">
            <w:pPr>
              <w:spacing w:line="440" w:lineRule="exact"/>
              <w:jc w:val="center"/>
              <w:rPr>
                <w:rFonts w:ascii="仿宋" w:eastAsia="仿宋" w:hAnsi="仿宋" w:cs="宋体"/>
                <w:szCs w:val="24"/>
              </w:rPr>
            </w:pPr>
            <w:r w:rsidRPr="00A078A7">
              <w:rPr>
                <w:rFonts w:ascii="仿宋" w:eastAsia="仿宋" w:hAnsi="仿宋" w:cs="宋体" w:hint="eastAsia"/>
                <w:szCs w:val="24"/>
              </w:rPr>
              <w:t>险</w:t>
            </w:r>
          </w:p>
        </w:tc>
        <w:tc>
          <w:tcPr>
            <w:tcW w:w="3480"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每人责任限额</w:t>
            </w: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20万元</w:t>
            </w:r>
          </w:p>
        </w:tc>
      </w:tr>
      <w:tr w:rsidR="00A078A7" w:rsidRPr="00A078A7" w:rsidTr="00173CFB">
        <w:trPr>
          <w:trHeight w:val="20"/>
          <w:jc w:val="center"/>
        </w:trPr>
        <w:tc>
          <w:tcPr>
            <w:tcW w:w="1284" w:type="dxa"/>
            <w:vMerge/>
            <w:vAlign w:val="center"/>
          </w:tcPr>
          <w:p w:rsidR="00A078A7" w:rsidRPr="00A078A7" w:rsidRDefault="00A078A7" w:rsidP="00A078A7">
            <w:pPr>
              <w:spacing w:line="440" w:lineRule="exact"/>
              <w:jc w:val="center"/>
              <w:rPr>
                <w:rFonts w:ascii="仿宋" w:eastAsia="仿宋" w:hAnsi="仿宋" w:cs="宋体"/>
                <w:szCs w:val="24"/>
              </w:rPr>
            </w:pPr>
          </w:p>
        </w:tc>
        <w:tc>
          <w:tcPr>
            <w:tcW w:w="3480"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年度累计责任限额</w:t>
            </w: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200万元</w:t>
            </w:r>
          </w:p>
        </w:tc>
      </w:tr>
      <w:tr w:rsidR="00A078A7" w:rsidRPr="00A078A7" w:rsidTr="00173CFB">
        <w:trPr>
          <w:trHeight w:val="20"/>
          <w:jc w:val="center"/>
        </w:trPr>
        <w:tc>
          <w:tcPr>
            <w:tcW w:w="1284" w:type="dxa"/>
            <w:vMerge/>
            <w:vAlign w:val="center"/>
          </w:tcPr>
          <w:p w:rsidR="00A078A7" w:rsidRPr="00A078A7" w:rsidRDefault="00A078A7" w:rsidP="00A078A7">
            <w:pPr>
              <w:spacing w:line="440" w:lineRule="exact"/>
              <w:rPr>
                <w:rFonts w:ascii="仿宋" w:eastAsia="仿宋" w:hAnsi="仿宋" w:cs="宋体"/>
                <w:szCs w:val="24"/>
              </w:rPr>
            </w:pPr>
          </w:p>
        </w:tc>
        <w:tc>
          <w:tcPr>
            <w:tcW w:w="3480"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每次事故免赔额（率）</w:t>
            </w: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按医疗责任每次事故赔偿金额的20%或10000元计。</w:t>
            </w:r>
          </w:p>
        </w:tc>
      </w:tr>
      <w:tr w:rsidR="00A078A7" w:rsidRPr="00A078A7" w:rsidTr="00173CFB">
        <w:trPr>
          <w:trHeight w:val="344"/>
          <w:jc w:val="center"/>
        </w:trPr>
        <w:tc>
          <w:tcPr>
            <w:tcW w:w="1284" w:type="dxa"/>
            <w:vMerge/>
            <w:vAlign w:val="center"/>
          </w:tcPr>
          <w:p w:rsidR="00A078A7" w:rsidRPr="00A078A7" w:rsidRDefault="00A078A7" w:rsidP="00A078A7">
            <w:pPr>
              <w:spacing w:line="440" w:lineRule="exact"/>
              <w:rPr>
                <w:rFonts w:ascii="仿宋" w:eastAsia="仿宋" w:hAnsi="仿宋" w:cs="宋体"/>
                <w:szCs w:val="24"/>
              </w:rPr>
            </w:pPr>
          </w:p>
        </w:tc>
        <w:tc>
          <w:tcPr>
            <w:tcW w:w="3480"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精神损害每人责任限额</w:t>
            </w: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每人责任限额：5万元</w:t>
            </w:r>
          </w:p>
        </w:tc>
      </w:tr>
      <w:tr w:rsidR="00A078A7" w:rsidRPr="00A078A7" w:rsidTr="00173CFB">
        <w:trPr>
          <w:trHeight w:val="424"/>
          <w:jc w:val="center"/>
        </w:trPr>
        <w:tc>
          <w:tcPr>
            <w:tcW w:w="1284" w:type="dxa"/>
            <w:vMerge/>
            <w:vAlign w:val="center"/>
          </w:tcPr>
          <w:p w:rsidR="00A078A7" w:rsidRPr="00A078A7" w:rsidRDefault="00A078A7" w:rsidP="00A078A7">
            <w:pPr>
              <w:spacing w:line="440" w:lineRule="exact"/>
              <w:rPr>
                <w:rFonts w:ascii="仿宋" w:eastAsia="仿宋" w:hAnsi="仿宋" w:cs="宋体"/>
                <w:szCs w:val="24"/>
              </w:rPr>
            </w:pPr>
          </w:p>
        </w:tc>
        <w:tc>
          <w:tcPr>
            <w:tcW w:w="3480" w:type="dxa"/>
            <w:vMerge w:val="restart"/>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法律费用责任限额</w:t>
            </w: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每次事故责任限额：1万元</w:t>
            </w:r>
          </w:p>
        </w:tc>
      </w:tr>
      <w:tr w:rsidR="00A078A7" w:rsidRPr="00A078A7" w:rsidTr="00173CFB">
        <w:trPr>
          <w:trHeight w:val="430"/>
          <w:jc w:val="center"/>
        </w:trPr>
        <w:tc>
          <w:tcPr>
            <w:tcW w:w="1284" w:type="dxa"/>
            <w:vMerge/>
            <w:vAlign w:val="center"/>
          </w:tcPr>
          <w:p w:rsidR="00A078A7" w:rsidRPr="00A078A7" w:rsidRDefault="00A078A7" w:rsidP="00A078A7">
            <w:pPr>
              <w:spacing w:line="440" w:lineRule="exact"/>
              <w:rPr>
                <w:rFonts w:ascii="仿宋" w:eastAsia="仿宋" w:hAnsi="仿宋" w:cs="宋体"/>
                <w:szCs w:val="24"/>
              </w:rPr>
            </w:pPr>
          </w:p>
        </w:tc>
        <w:tc>
          <w:tcPr>
            <w:tcW w:w="3480" w:type="dxa"/>
            <w:vMerge/>
            <w:vAlign w:val="center"/>
          </w:tcPr>
          <w:p w:rsidR="00A078A7" w:rsidRPr="00A078A7" w:rsidRDefault="00A078A7" w:rsidP="00A078A7">
            <w:pPr>
              <w:spacing w:line="440" w:lineRule="exact"/>
              <w:rPr>
                <w:rFonts w:ascii="仿宋" w:eastAsia="仿宋" w:hAnsi="仿宋" w:cs="宋体"/>
                <w:szCs w:val="24"/>
              </w:rPr>
            </w:pPr>
          </w:p>
        </w:tc>
        <w:tc>
          <w:tcPr>
            <w:tcW w:w="3756"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累计责任限额：15万元</w:t>
            </w:r>
          </w:p>
        </w:tc>
      </w:tr>
      <w:tr w:rsidR="00A078A7" w:rsidRPr="00A078A7" w:rsidTr="00173CFB">
        <w:trPr>
          <w:trHeight w:val="430"/>
          <w:jc w:val="center"/>
        </w:trPr>
        <w:tc>
          <w:tcPr>
            <w:tcW w:w="1284" w:type="dxa"/>
            <w:vMerge/>
            <w:vAlign w:val="center"/>
          </w:tcPr>
          <w:p w:rsidR="00A078A7" w:rsidRPr="00A078A7" w:rsidRDefault="00A078A7" w:rsidP="00A078A7">
            <w:pPr>
              <w:spacing w:line="440" w:lineRule="exact"/>
              <w:rPr>
                <w:rFonts w:ascii="仿宋" w:eastAsia="仿宋" w:hAnsi="仿宋" w:cs="宋体"/>
                <w:szCs w:val="24"/>
              </w:rPr>
            </w:pPr>
          </w:p>
        </w:tc>
        <w:tc>
          <w:tcPr>
            <w:tcW w:w="3480" w:type="dxa"/>
            <w:vAlign w:val="center"/>
          </w:tcPr>
          <w:p w:rsidR="00A078A7" w:rsidRPr="00A078A7" w:rsidRDefault="00A078A7" w:rsidP="00A078A7">
            <w:pPr>
              <w:spacing w:line="440" w:lineRule="exact"/>
              <w:rPr>
                <w:rFonts w:ascii="仿宋" w:eastAsia="仿宋" w:hAnsi="仿宋" w:cs="宋体"/>
                <w:szCs w:val="24"/>
              </w:rPr>
            </w:pPr>
            <w:r w:rsidRPr="00A078A7">
              <w:rPr>
                <w:rFonts w:ascii="仿宋" w:eastAsia="仿宋" w:hAnsi="仿宋" w:cs="宋体" w:hint="eastAsia"/>
                <w:szCs w:val="24"/>
              </w:rPr>
              <w:t>追溯期</w:t>
            </w:r>
          </w:p>
        </w:tc>
        <w:tc>
          <w:tcPr>
            <w:tcW w:w="3756" w:type="dxa"/>
            <w:vAlign w:val="center"/>
          </w:tcPr>
          <w:p w:rsidR="00A078A7" w:rsidRPr="00A078A7" w:rsidRDefault="00A078A7" w:rsidP="00A078A7">
            <w:pPr>
              <w:spacing w:after="160" w:line="440" w:lineRule="exact"/>
              <w:rPr>
                <w:rFonts w:ascii="仿宋" w:eastAsia="仿宋" w:hAnsi="仿宋" w:cs="宋体"/>
                <w:szCs w:val="24"/>
              </w:rPr>
            </w:pPr>
            <w:r w:rsidRPr="00A078A7">
              <w:rPr>
                <w:rFonts w:ascii="仿宋" w:eastAsia="仿宋" w:hAnsi="仿宋" w:cs="宋体" w:hint="eastAsia"/>
                <w:szCs w:val="24"/>
              </w:rPr>
              <w:t>首次投保追溯期为1年，第二年续保追溯期为2年，第三年续保追溯期为3年。</w:t>
            </w:r>
          </w:p>
        </w:tc>
      </w:tr>
    </w:tbl>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（三）发生医疗纠纷后，采购人向成交供应商报案。成交供应</w:t>
      </w:r>
      <w:proofErr w:type="gramStart"/>
      <w:r w:rsidRPr="00A078A7">
        <w:rPr>
          <w:rFonts w:ascii="仿宋" w:eastAsia="仿宋" w:hAnsi="仿宋" w:cs="Times New Roman" w:hint="eastAsia"/>
          <w:bCs/>
          <w:sz w:val="24"/>
          <w:szCs w:val="24"/>
        </w:rPr>
        <w:t>商设置</w:t>
      </w:r>
      <w:proofErr w:type="gramEnd"/>
      <w:r w:rsidRPr="00A078A7">
        <w:rPr>
          <w:rFonts w:ascii="仿宋" w:eastAsia="仿宋" w:hAnsi="仿宋" w:cs="Times New Roman" w:hint="eastAsia"/>
          <w:bCs/>
          <w:sz w:val="24"/>
          <w:szCs w:val="24"/>
        </w:rPr>
        <w:t>理赔专员，24小时内受理。</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（四）其他要求</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bCs/>
          <w:sz w:val="24"/>
          <w:szCs w:val="24"/>
        </w:rPr>
        <w:t>1.</w:t>
      </w:r>
      <w:r w:rsidRPr="00A078A7">
        <w:rPr>
          <w:rFonts w:ascii="仿宋" w:eastAsia="仿宋" w:hAnsi="仿宋" w:cs="Times New Roman" w:hint="eastAsia"/>
          <w:bCs/>
          <w:sz w:val="24"/>
          <w:szCs w:val="24"/>
        </w:rPr>
        <w:t>服务团队：成交供应商应成立专门的服务团队，由专人负责采购人的理赔事宜（上门收取资料、接受咨询等），负责做好与采购人及其参与人的沟通协调、咨询、费用支付、投诉等服务以便更好地保证服务质量和时效。成交供应商需为</w:t>
      </w:r>
      <w:r w:rsidRPr="00A078A7">
        <w:rPr>
          <w:rFonts w:ascii="仿宋" w:eastAsia="仿宋" w:hAnsi="仿宋" w:cs="Times New Roman" w:hint="eastAsia"/>
          <w:bCs/>
          <w:sz w:val="24"/>
          <w:szCs w:val="24"/>
        </w:rPr>
        <w:lastRenderedPageBreak/>
        <w:t>采购人《保险服务手册》，以帮助被保险人充分了解保障信息、理赔流程等，方便理赔申请。</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bCs/>
          <w:sz w:val="24"/>
          <w:szCs w:val="24"/>
        </w:rPr>
        <w:t>2.</w:t>
      </w:r>
      <w:r w:rsidRPr="00A078A7">
        <w:rPr>
          <w:rFonts w:ascii="仿宋" w:eastAsia="仿宋" w:hAnsi="仿宋" w:cs="Times New Roman" w:hint="eastAsia"/>
          <w:bCs/>
          <w:sz w:val="24"/>
          <w:szCs w:val="24"/>
        </w:rPr>
        <w:t>理赔服务：</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2.</w:t>
      </w:r>
      <w:r w:rsidRPr="00A078A7">
        <w:rPr>
          <w:rFonts w:ascii="仿宋" w:eastAsia="仿宋" w:hAnsi="仿宋" w:cs="Times New Roman"/>
          <w:bCs/>
          <w:sz w:val="24"/>
          <w:szCs w:val="24"/>
        </w:rPr>
        <w:t>1</w:t>
      </w:r>
      <w:r w:rsidRPr="00A078A7">
        <w:rPr>
          <w:rFonts w:ascii="仿宋" w:eastAsia="仿宋" w:hAnsi="仿宋" w:cs="Times New Roman" w:hint="eastAsia"/>
          <w:bCs/>
          <w:sz w:val="24"/>
          <w:szCs w:val="24"/>
        </w:rPr>
        <w:t>在保险期内医院被保险人员在诊疗活动中，因执业过失造成患者的人身损害，均属于保险赔付范围；</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2.</w:t>
      </w:r>
      <w:r w:rsidRPr="00A078A7">
        <w:rPr>
          <w:rFonts w:ascii="仿宋" w:eastAsia="仿宋" w:hAnsi="仿宋" w:cs="Times New Roman"/>
          <w:bCs/>
          <w:sz w:val="24"/>
          <w:szCs w:val="24"/>
        </w:rPr>
        <w:t>2</w:t>
      </w:r>
      <w:r w:rsidRPr="00A078A7">
        <w:rPr>
          <w:rFonts w:ascii="仿宋" w:eastAsia="仿宋" w:hAnsi="仿宋" w:cs="Times New Roman" w:hint="eastAsia"/>
          <w:bCs/>
          <w:sz w:val="24"/>
          <w:szCs w:val="24"/>
        </w:rPr>
        <w:t>和解协议书、调解书（</w:t>
      </w:r>
      <w:proofErr w:type="gramStart"/>
      <w:r w:rsidRPr="00A078A7">
        <w:rPr>
          <w:rFonts w:ascii="仿宋" w:eastAsia="仿宋" w:hAnsi="仿宋" w:cs="Times New Roman" w:hint="eastAsia"/>
          <w:bCs/>
          <w:sz w:val="24"/>
          <w:szCs w:val="24"/>
        </w:rPr>
        <w:t>医</w:t>
      </w:r>
      <w:proofErr w:type="gramEnd"/>
      <w:r w:rsidRPr="00A078A7">
        <w:rPr>
          <w:rFonts w:ascii="仿宋" w:eastAsia="仿宋" w:hAnsi="仿宋" w:cs="Times New Roman" w:hint="eastAsia"/>
          <w:bCs/>
          <w:sz w:val="24"/>
          <w:szCs w:val="24"/>
        </w:rPr>
        <w:t>调委调解、卫生行政主管部门调解、人民法院调解）、法院判决书等作为理赔依据；</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2.</w:t>
      </w:r>
      <w:r w:rsidRPr="00A078A7">
        <w:rPr>
          <w:rFonts w:ascii="仿宋" w:eastAsia="仿宋" w:hAnsi="仿宋" w:cs="Times New Roman"/>
          <w:bCs/>
          <w:sz w:val="24"/>
          <w:szCs w:val="24"/>
        </w:rPr>
        <w:t>3</w:t>
      </w:r>
      <w:r w:rsidRPr="00A078A7">
        <w:rPr>
          <w:rFonts w:ascii="仿宋" w:eastAsia="仿宋" w:hAnsi="仿宋" w:cs="Times New Roman" w:hint="eastAsia"/>
          <w:bCs/>
          <w:sz w:val="24"/>
          <w:szCs w:val="24"/>
        </w:rPr>
        <w:t>过错认定方式：参加协商沟通的各方共同确定、医疗事故技术鉴定、司法鉴定、主管部门组织的专家团队出具的讨论意见；</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2.</w:t>
      </w:r>
      <w:r w:rsidRPr="00A078A7">
        <w:rPr>
          <w:rFonts w:ascii="仿宋" w:eastAsia="仿宋" w:hAnsi="仿宋" w:cs="Times New Roman"/>
          <w:bCs/>
          <w:sz w:val="24"/>
          <w:szCs w:val="24"/>
        </w:rPr>
        <w:t>4</w:t>
      </w:r>
      <w:r w:rsidRPr="00A078A7">
        <w:rPr>
          <w:rFonts w:ascii="仿宋" w:eastAsia="仿宋" w:hAnsi="仿宋" w:cs="Times New Roman" w:hint="eastAsia"/>
          <w:bCs/>
          <w:sz w:val="24"/>
          <w:szCs w:val="24"/>
        </w:rPr>
        <w:t>小额赔偿（小于等于2万元），经过采购人、患者、成交供应商协商一致可不需要通过鉴定；大额赔偿（大于2万元），由</w:t>
      </w:r>
      <w:proofErr w:type="gramStart"/>
      <w:r w:rsidRPr="00A078A7">
        <w:rPr>
          <w:rFonts w:ascii="仿宋" w:eastAsia="仿宋" w:hAnsi="仿宋" w:cs="Times New Roman" w:hint="eastAsia"/>
          <w:bCs/>
          <w:sz w:val="24"/>
          <w:szCs w:val="24"/>
        </w:rPr>
        <w:t>医</w:t>
      </w:r>
      <w:proofErr w:type="gramEnd"/>
      <w:r w:rsidRPr="00A078A7">
        <w:rPr>
          <w:rFonts w:ascii="仿宋" w:eastAsia="仿宋" w:hAnsi="仿宋" w:cs="Times New Roman" w:hint="eastAsia"/>
          <w:bCs/>
          <w:sz w:val="24"/>
          <w:szCs w:val="24"/>
        </w:rPr>
        <w:t>调委组织</w:t>
      </w:r>
      <w:proofErr w:type="gramStart"/>
      <w:r w:rsidRPr="00A078A7">
        <w:rPr>
          <w:rFonts w:ascii="仿宋" w:eastAsia="仿宋" w:hAnsi="仿宋" w:cs="Times New Roman" w:hint="eastAsia"/>
          <w:bCs/>
          <w:sz w:val="24"/>
          <w:szCs w:val="24"/>
        </w:rPr>
        <w:t>医</w:t>
      </w:r>
      <w:proofErr w:type="gramEnd"/>
      <w:r w:rsidRPr="00A078A7">
        <w:rPr>
          <w:rFonts w:ascii="仿宋" w:eastAsia="仿宋" w:hAnsi="仿宋" w:cs="Times New Roman" w:hint="eastAsia"/>
          <w:bCs/>
          <w:sz w:val="24"/>
          <w:szCs w:val="24"/>
        </w:rPr>
        <w:t>、患、保三方沟通处理或经过卫生行政主管部门的行政调解达成协议的，可不需再进行鉴定；</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2.</w:t>
      </w:r>
      <w:r w:rsidRPr="00A078A7">
        <w:rPr>
          <w:rFonts w:ascii="仿宋" w:eastAsia="仿宋" w:hAnsi="仿宋" w:cs="Times New Roman"/>
          <w:bCs/>
          <w:sz w:val="24"/>
          <w:szCs w:val="24"/>
        </w:rPr>
        <w:t>5</w:t>
      </w:r>
      <w:r w:rsidRPr="00A078A7">
        <w:rPr>
          <w:rFonts w:ascii="仿宋" w:eastAsia="仿宋" w:hAnsi="仿宋" w:cs="Times New Roman" w:hint="eastAsia"/>
          <w:bCs/>
          <w:sz w:val="24"/>
          <w:szCs w:val="24"/>
        </w:rPr>
        <w:t>法律费用包括：鉴定费、诉讼费、聘请律师等与案件相关的法律费用；</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bCs/>
          <w:sz w:val="24"/>
          <w:szCs w:val="24"/>
        </w:rPr>
        <w:t>（五）</w:t>
      </w:r>
      <w:r w:rsidRPr="00A078A7">
        <w:rPr>
          <w:rFonts w:ascii="仿宋" w:eastAsia="仿宋" w:hAnsi="仿宋" w:cs="Times New Roman" w:hint="eastAsia"/>
          <w:bCs/>
          <w:sz w:val="24"/>
          <w:szCs w:val="24"/>
        </w:rPr>
        <w:t>成交供应商应做好保密措施。因成交供应商泄露案件相关信息引发的一切后果包括侵犯患方隐私权、导致采购人名誉受到损害等，</w:t>
      </w:r>
      <w:proofErr w:type="gramStart"/>
      <w:r w:rsidRPr="00A078A7">
        <w:rPr>
          <w:rFonts w:ascii="仿宋" w:eastAsia="仿宋" w:hAnsi="仿宋" w:cs="Times New Roman" w:hint="eastAsia"/>
          <w:bCs/>
          <w:sz w:val="24"/>
          <w:szCs w:val="24"/>
        </w:rPr>
        <w:t>由成交</w:t>
      </w:r>
      <w:proofErr w:type="gramEnd"/>
      <w:r w:rsidRPr="00A078A7">
        <w:rPr>
          <w:rFonts w:ascii="仿宋" w:eastAsia="仿宋" w:hAnsi="仿宋" w:cs="Times New Roman" w:hint="eastAsia"/>
          <w:bCs/>
          <w:sz w:val="24"/>
          <w:szCs w:val="24"/>
        </w:rPr>
        <w:t>供应商承担全部。</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 xml:space="preserve">（六）理赔时效：成交供应商在收到符合理赔规定且齐全的理赔单证后 7 </w:t>
      </w:r>
      <w:proofErr w:type="gramStart"/>
      <w:r w:rsidRPr="00A078A7">
        <w:rPr>
          <w:rFonts w:ascii="仿宋" w:eastAsia="仿宋" w:hAnsi="仿宋" w:cs="Times New Roman" w:hint="eastAsia"/>
          <w:bCs/>
          <w:sz w:val="24"/>
          <w:szCs w:val="24"/>
        </w:rPr>
        <w:t>个</w:t>
      </w:r>
      <w:proofErr w:type="gramEnd"/>
      <w:r w:rsidRPr="00A078A7">
        <w:rPr>
          <w:rFonts w:ascii="仿宋" w:eastAsia="仿宋" w:hAnsi="仿宋" w:cs="Times New Roman" w:hint="eastAsia"/>
          <w:bCs/>
          <w:sz w:val="24"/>
          <w:szCs w:val="24"/>
        </w:rPr>
        <w:t>工作日内</w:t>
      </w:r>
      <w:proofErr w:type="gramStart"/>
      <w:r w:rsidRPr="00A078A7">
        <w:rPr>
          <w:rFonts w:ascii="仿宋" w:eastAsia="仿宋" w:hAnsi="仿宋" w:cs="Times New Roman" w:hint="eastAsia"/>
          <w:bCs/>
          <w:sz w:val="24"/>
          <w:szCs w:val="24"/>
        </w:rPr>
        <w:t>作出</w:t>
      </w:r>
      <w:proofErr w:type="gramEnd"/>
      <w:r w:rsidRPr="00A078A7">
        <w:rPr>
          <w:rFonts w:ascii="仿宋" w:eastAsia="仿宋" w:hAnsi="仿宋" w:cs="Times New Roman" w:hint="eastAsia"/>
          <w:bCs/>
          <w:sz w:val="24"/>
          <w:szCs w:val="24"/>
        </w:rPr>
        <w:t>理赔结论，并向采购人或受益人指定的银行账户划拨保险金。保险公司按照合同约定，认为有关的证明和资料不完整的，应当及时一次性通知医疗机构补充提供。</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 xml:space="preserve">（七）理赔通知：成交供应商在理赔结束划款后 2 </w:t>
      </w:r>
      <w:proofErr w:type="gramStart"/>
      <w:r w:rsidRPr="00A078A7">
        <w:rPr>
          <w:rFonts w:ascii="仿宋" w:eastAsia="仿宋" w:hAnsi="仿宋" w:cs="Times New Roman" w:hint="eastAsia"/>
          <w:bCs/>
          <w:sz w:val="24"/>
          <w:szCs w:val="24"/>
        </w:rPr>
        <w:t>个</w:t>
      </w:r>
      <w:proofErr w:type="gramEnd"/>
      <w:r w:rsidRPr="00A078A7">
        <w:rPr>
          <w:rFonts w:ascii="仿宋" w:eastAsia="仿宋" w:hAnsi="仿宋" w:cs="Times New Roman" w:hint="eastAsia"/>
          <w:bCs/>
          <w:sz w:val="24"/>
          <w:szCs w:val="24"/>
        </w:rPr>
        <w:t>工作日内通过短信、电话或书面等形式告知采购人理赔情况。</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r w:rsidRPr="00A078A7">
        <w:rPr>
          <w:rFonts w:ascii="仿宋" w:eastAsia="仿宋" w:hAnsi="仿宋" w:cs="Times New Roman" w:hint="eastAsia"/>
          <w:bCs/>
          <w:sz w:val="24"/>
          <w:szCs w:val="24"/>
        </w:rPr>
        <w:t>（八）差错赔付：成交供应商应协调好内部各部门，特别是业务经办部门与客户服务部门的关系，不得相互推诿、丢失理赔资料或拖延理赔。如出现上述问题，成交供应商按采购人索赔申请金额进行全额赔偿，采购人不再提供理赔相关资料。</w:t>
      </w:r>
    </w:p>
    <w:p w:rsidR="00A078A7" w:rsidRPr="00A078A7" w:rsidRDefault="00A078A7" w:rsidP="00A078A7">
      <w:pPr>
        <w:spacing w:after="160" w:line="400" w:lineRule="exact"/>
        <w:ind w:firstLineChars="200" w:firstLine="480"/>
        <w:rPr>
          <w:rFonts w:ascii="仿宋" w:eastAsia="仿宋" w:hAnsi="仿宋" w:cs="Times New Roman"/>
          <w:bCs/>
          <w:sz w:val="24"/>
          <w:szCs w:val="24"/>
        </w:rPr>
      </w:pPr>
    </w:p>
    <w:p w:rsidR="00A078A7" w:rsidRPr="00A078A7" w:rsidRDefault="00A078A7" w:rsidP="00A078A7">
      <w:pPr>
        <w:spacing w:after="160" w:line="400" w:lineRule="exact"/>
        <w:ind w:firstLineChars="175" w:firstLine="422"/>
        <w:rPr>
          <w:rFonts w:ascii="仿宋" w:eastAsia="仿宋" w:hAnsi="仿宋" w:cs="Times New Roman"/>
          <w:b/>
          <w:bCs/>
          <w:sz w:val="24"/>
          <w:szCs w:val="24"/>
        </w:rPr>
      </w:pPr>
    </w:p>
    <w:p w:rsidR="001A7619" w:rsidRPr="00A078A7" w:rsidRDefault="001A7619"/>
    <w:sectPr w:rsidR="001A7619" w:rsidRPr="00A07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A7" w:rsidRDefault="00A078A7" w:rsidP="00A078A7">
      <w:r>
        <w:separator/>
      </w:r>
    </w:p>
  </w:endnote>
  <w:endnote w:type="continuationSeparator" w:id="0">
    <w:p w:rsidR="00A078A7" w:rsidRDefault="00A078A7" w:rsidP="00A0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A7" w:rsidRDefault="00A078A7" w:rsidP="00A078A7">
      <w:r>
        <w:separator/>
      </w:r>
    </w:p>
  </w:footnote>
  <w:footnote w:type="continuationSeparator" w:id="0">
    <w:p w:rsidR="00A078A7" w:rsidRDefault="00A078A7" w:rsidP="00A07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D5"/>
    <w:rsid w:val="001A7619"/>
    <w:rsid w:val="008E3BD5"/>
    <w:rsid w:val="00A0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8A7"/>
    <w:rPr>
      <w:sz w:val="18"/>
      <w:szCs w:val="18"/>
    </w:rPr>
  </w:style>
  <w:style w:type="paragraph" w:styleId="a4">
    <w:name w:val="footer"/>
    <w:basedOn w:val="a"/>
    <w:link w:val="Char0"/>
    <w:uiPriority w:val="99"/>
    <w:unhideWhenUsed/>
    <w:rsid w:val="00A078A7"/>
    <w:pPr>
      <w:tabs>
        <w:tab w:val="center" w:pos="4153"/>
        <w:tab w:val="right" w:pos="8306"/>
      </w:tabs>
      <w:snapToGrid w:val="0"/>
      <w:jc w:val="left"/>
    </w:pPr>
    <w:rPr>
      <w:sz w:val="18"/>
      <w:szCs w:val="18"/>
    </w:rPr>
  </w:style>
  <w:style w:type="character" w:customStyle="1" w:styleId="Char0">
    <w:name w:val="页脚 Char"/>
    <w:basedOn w:val="a0"/>
    <w:link w:val="a4"/>
    <w:uiPriority w:val="99"/>
    <w:rsid w:val="00A078A7"/>
    <w:rPr>
      <w:sz w:val="18"/>
      <w:szCs w:val="18"/>
    </w:rPr>
  </w:style>
  <w:style w:type="table" w:styleId="a5">
    <w:name w:val="Table Grid"/>
    <w:basedOn w:val="a1"/>
    <w:qFormat/>
    <w:rsid w:val="00A078A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8A7"/>
    <w:rPr>
      <w:sz w:val="18"/>
      <w:szCs w:val="18"/>
    </w:rPr>
  </w:style>
  <w:style w:type="paragraph" w:styleId="a4">
    <w:name w:val="footer"/>
    <w:basedOn w:val="a"/>
    <w:link w:val="Char0"/>
    <w:uiPriority w:val="99"/>
    <w:unhideWhenUsed/>
    <w:rsid w:val="00A078A7"/>
    <w:pPr>
      <w:tabs>
        <w:tab w:val="center" w:pos="4153"/>
        <w:tab w:val="right" w:pos="8306"/>
      </w:tabs>
      <w:snapToGrid w:val="0"/>
      <w:jc w:val="left"/>
    </w:pPr>
    <w:rPr>
      <w:sz w:val="18"/>
      <w:szCs w:val="18"/>
    </w:rPr>
  </w:style>
  <w:style w:type="character" w:customStyle="1" w:styleId="Char0">
    <w:name w:val="页脚 Char"/>
    <w:basedOn w:val="a0"/>
    <w:link w:val="a4"/>
    <w:uiPriority w:val="99"/>
    <w:rsid w:val="00A078A7"/>
    <w:rPr>
      <w:sz w:val="18"/>
      <w:szCs w:val="18"/>
    </w:rPr>
  </w:style>
  <w:style w:type="table" w:styleId="a5">
    <w:name w:val="Table Grid"/>
    <w:basedOn w:val="a1"/>
    <w:qFormat/>
    <w:rsid w:val="00A078A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1708</Characters>
  <Application>Microsoft Office Word</Application>
  <DocSecurity>0</DocSecurity>
  <Lines>14</Lines>
  <Paragraphs>4</Paragraphs>
  <ScaleCrop>false</ScaleCrop>
  <Company>china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2022-04-02T06:53:00Z</dcterms:created>
  <dcterms:modified xsi:type="dcterms:W3CDTF">2022-04-02T06:53:00Z</dcterms:modified>
</cp:coreProperties>
</file>