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687" w:rsidRPr="00FA6AFE" w:rsidRDefault="00830687" w:rsidP="00830687">
      <w:pPr>
        <w:pStyle w:val="2"/>
        <w:spacing w:line="400" w:lineRule="exact"/>
        <w:ind w:firstLineChars="98" w:firstLine="236"/>
        <w:rPr>
          <w:rFonts w:ascii="仿宋" w:eastAsia="仿宋" w:hAnsi="仿宋"/>
          <w:b w:val="0"/>
          <w:sz w:val="24"/>
          <w:szCs w:val="24"/>
        </w:rPr>
      </w:pPr>
      <w:r>
        <w:rPr>
          <w:rFonts w:ascii="仿宋" w:eastAsia="仿宋" w:hAnsi="仿宋" w:hint="eastAsia"/>
          <w:sz w:val="24"/>
          <w:szCs w:val="24"/>
        </w:rPr>
        <w:t>一、</w:t>
      </w:r>
      <w:r w:rsidRPr="00FA6AFE">
        <w:rPr>
          <w:rFonts w:ascii="仿宋" w:eastAsia="仿宋" w:hAnsi="仿宋" w:hint="eastAsia"/>
          <w:b w:val="0"/>
          <w:sz w:val="24"/>
          <w:szCs w:val="24"/>
        </w:rPr>
        <w:t>项目概述</w:t>
      </w:r>
    </w:p>
    <w:p w:rsidR="00830687" w:rsidRDefault="00830687" w:rsidP="00830687">
      <w:pPr>
        <w:pStyle w:val="a5"/>
        <w:spacing w:line="400" w:lineRule="exact"/>
        <w:ind w:firstLine="480"/>
        <w:rPr>
          <w:rFonts w:ascii="仿宋" w:eastAsia="仿宋" w:hAnsi="仿宋"/>
          <w:bCs/>
          <w:sz w:val="24"/>
        </w:rPr>
      </w:pPr>
      <w:r>
        <w:rPr>
          <w:rFonts w:ascii="仿宋" w:eastAsia="仿宋" w:hAnsi="仿宋" w:hint="eastAsia"/>
          <w:bCs/>
          <w:sz w:val="24"/>
        </w:rPr>
        <w:t>本项目拟采购一家供应商</w:t>
      </w:r>
      <w:r w:rsidRPr="001579BA">
        <w:rPr>
          <w:rFonts w:ascii="仿宋" w:eastAsia="仿宋" w:hAnsi="仿宋" w:hint="eastAsia"/>
          <w:bCs/>
          <w:sz w:val="24"/>
        </w:rPr>
        <w:t>为郫都区约15万名（具体人数以2021年秋季学期报名入学人数为准）公民办中小学（含中职学校）学生、幼儿园幼儿提供2次近视防控服务。第一次服务时间约为2021年9-10月，第二次服务时间约为2021年12月-202</w:t>
      </w:r>
      <w:r w:rsidR="00C25590">
        <w:rPr>
          <w:rFonts w:ascii="仿宋" w:eastAsia="仿宋" w:hAnsi="仿宋"/>
          <w:bCs/>
          <w:sz w:val="24"/>
        </w:rPr>
        <w:t>2</w:t>
      </w:r>
      <w:r w:rsidRPr="001579BA">
        <w:rPr>
          <w:rFonts w:ascii="仿宋" w:eastAsia="仿宋" w:hAnsi="仿宋" w:hint="eastAsia"/>
          <w:bCs/>
          <w:sz w:val="24"/>
        </w:rPr>
        <w:t>年1月。</w:t>
      </w:r>
    </w:p>
    <w:p w:rsidR="00830687" w:rsidRPr="001579BA" w:rsidRDefault="00830687" w:rsidP="00830687">
      <w:pPr>
        <w:pStyle w:val="2"/>
        <w:spacing w:line="400" w:lineRule="exact"/>
        <w:ind w:firstLineChars="98" w:firstLine="236"/>
        <w:rPr>
          <w:rFonts w:ascii="仿宋" w:eastAsia="仿宋" w:hAnsi="仿宋"/>
          <w:b w:val="0"/>
          <w:sz w:val="24"/>
          <w:szCs w:val="24"/>
        </w:rPr>
      </w:pPr>
      <w:r>
        <w:rPr>
          <w:rFonts w:ascii="仿宋" w:eastAsia="仿宋" w:hAnsi="仿宋" w:hint="eastAsia"/>
          <w:sz w:val="24"/>
          <w:szCs w:val="24"/>
        </w:rPr>
        <w:t>二、</w:t>
      </w:r>
      <w:r w:rsidRPr="00FA6AFE">
        <w:rPr>
          <w:rFonts w:ascii="仿宋" w:eastAsia="仿宋" w:hAnsi="仿宋" w:hint="eastAsia"/>
          <w:b w:val="0"/>
          <w:sz w:val="24"/>
          <w:szCs w:val="24"/>
        </w:rPr>
        <w:t>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824"/>
        <w:gridCol w:w="966"/>
        <w:gridCol w:w="2738"/>
        <w:gridCol w:w="1726"/>
        <w:gridCol w:w="1198"/>
      </w:tblGrid>
      <w:tr w:rsidR="00830687" w:rsidRPr="00E768D2" w:rsidTr="00306E90">
        <w:trPr>
          <w:trHeight w:val="390"/>
        </w:trPr>
        <w:tc>
          <w:tcPr>
            <w:tcW w:w="509" w:type="pct"/>
            <w:vAlign w:val="center"/>
          </w:tcPr>
          <w:p w:rsidR="00830687" w:rsidRPr="00E768D2" w:rsidRDefault="00830687" w:rsidP="00306E90">
            <w:pPr>
              <w:widowControl/>
              <w:spacing w:line="360" w:lineRule="atLeast"/>
              <w:jc w:val="center"/>
              <w:outlineLvl w:val="1"/>
              <w:rPr>
                <w:rFonts w:ascii="仿宋" w:eastAsia="仿宋" w:hAnsi="仿宋"/>
                <w:sz w:val="24"/>
              </w:rPr>
            </w:pPr>
            <w:r w:rsidRPr="00E768D2">
              <w:rPr>
                <w:rFonts w:ascii="仿宋" w:eastAsia="仿宋" w:hAnsi="仿宋" w:hint="eastAsia"/>
                <w:sz w:val="24"/>
              </w:rPr>
              <w:t>序号</w:t>
            </w:r>
          </w:p>
        </w:tc>
        <w:tc>
          <w:tcPr>
            <w:tcW w:w="497" w:type="pct"/>
            <w:vAlign w:val="center"/>
          </w:tcPr>
          <w:p w:rsidR="00830687" w:rsidRPr="00E768D2" w:rsidRDefault="00830687" w:rsidP="00306E90">
            <w:pPr>
              <w:widowControl/>
              <w:spacing w:line="360" w:lineRule="atLeast"/>
              <w:jc w:val="center"/>
              <w:outlineLvl w:val="1"/>
              <w:rPr>
                <w:rFonts w:ascii="仿宋" w:eastAsia="仿宋" w:hAnsi="仿宋"/>
                <w:sz w:val="24"/>
              </w:rPr>
            </w:pPr>
            <w:r w:rsidRPr="00E768D2">
              <w:rPr>
                <w:rFonts w:ascii="仿宋" w:eastAsia="仿宋" w:hAnsi="仿宋" w:hint="eastAsia"/>
                <w:sz w:val="24"/>
              </w:rPr>
              <w:t>包号</w:t>
            </w:r>
          </w:p>
        </w:tc>
        <w:tc>
          <w:tcPr>
            <w:tcW w:w="582" w:type="pct"/>
          </w:tcPr>
          <w:p w:rsidR="00830687" w:rsidRPr="00E768D2" w:rsidRDefault="00830687" w:rsidP="00306E90">
            <w:pPr>
              <w:widowControl/>
              <w:spacing w:line="360" w:lineRule="atLeast"/>
              <w:outlineLvl w:val="1"/>
              <w:rPr>
                <w:rFonts w:ascii="仿宋" w:eastAsia="仿宋" w:hAnsi="仿宋"/>
                <w:sz w:val="24"/>
              </w:rPr>
            </w:pPr>
            <w:r>
              <w:rPr>
                <w:rFonts w:ascii="仿宋" w:eastAsia="仿宋" w:hAnsi="仿宋" w:hint="eastAsia"/>
                <w:sz w:val="24"/>
              </w:rPr>
              <w:t>品目号</w:t>
            </w:r>
          </w:p>
        </w:tc>
        <w:tc>
          <w:tcPr>
            <w:tcW w:w="1650" w:type="pct"/>
            <w:vAlign w:val="center"/>
          </w:tcPr>
          <w:p w:rsidR="00830687" w:rsidRPr="00E768D2" w:rsidRDefault="00830687" w:rsidP="00306E90">
            <w:pPr>
              <w:widowControl/>
              <w:spacing w:line="360" w:lineRule="atLeast"/>
              <w:jc w:val="center"/>
              <w:outlineLvl w:val="1"/>
              <w:rPr>
                <w:rFonts w:ascii="仿宋" w:eastAsia="仿宋" w:hAnsi="仿宋"/>
                <w:sz w:val="24"/>
              </w:rPr>
            </w:pPr>
            <w:r>
              <w:rPr>
                <w:rFonts w:ascii="仿宋" w:eastAsia="仿宋" w:hAnsi="仿宋" w:hint="eastAsia"/>
                <w:sz w:val="24"/>
              </w:rPr>
              <w:t>标的</w:t>
            </w:r>
            <w:r w:rsidRPr="00E768D2">
              <w:rPr>
                <w:rFonts w:ascii="仿宋" w:eastAsia="仿宋" w:hAnsi="仿宋" w:hint="eastAsia"/>
                <w:sz w:val="24"/>
              </w:rPr>
              <w:t>名称</w:t>
            </w:r>
          </w:p>
        </w:tc>
        <w:tc>
          <w:tcPr>
            <w:tcW w:w="1040" w:type="pct"/>
          </w:tcPr>
          <w:p w:rsidR="00830687" w:rsidRPr="00E768D2" w:rsidRDefault="00830687" w:rsidP="00306E90">
            <w:pPr>
              <w:widowControl/>
              <w:spacing w:line="360" w:lineRule="atLeast"/>
              <w:jc w:val="center"/>
              <w:outlineLvl w:val="1"/>
              <w:rPr>
                <w:rFonts w:ascii="仿宋" w:eastAsia="仿宋" w:hAnsi="仿宋"/>
                <w:sz w:val="24"/>
              </w:rPr>
            </w:pPr>
            <w:r>
              <w:rPr>
                <w:rFonts w:ascii="仿宋" w:eastAsia="仿宋" w:hAnsi="仿宋" w:hint="eastAsia"/>
                <w:sz w:val="24"/>
              </w:rPr>
              <w:t>所属行业</w:t>
            </w:r>
          </w:p>
        </w:tc>
        <w:tc>
          <w:tcPr>
            <w:tcW w:w="722" w:type="pct"/>
            <w:vAlign w:val="center"/>
          </w:tcPr>
          <w:p w:rsidR="00830687" w:rsidRPr="00E768D2" w:rsidRDefault="00830687" w:rsidP="00306E90">
            <w:pPr>
              <w:widowControl/>
              <w:spacing w:line="360" w:lineRule="atLeast"/>
              <w:jc w:val="center"/>
              <w:outlineLvl w:val="1"/>
              <w:rPr>
                <w:rFonts w:ascii="仿宋" w:eastAsia="仿宋" w:hAnsi="仿宋"/>
                <w:sz w:val="24"/>
              </w:rPr>
            </w:pPr>
            <w:r w:rsidRPr="00E768D2">
              <w:rPr>
                <w:rFonts w:ascii="仿宋" w:eastAsia="仿宋" w:hAnsi="仿宋" w:hint="eastAsia"/>
                <w:sz w:val="24"/>
              </w:rPr>
              <w:t>数量</w:t>
            </w:r>
          </w:p>
        </w:tc>
      </w:tr>
      <w:tr w:rsidR="00830687" w:rsidRPr="00E768D2" w:rsidTr="00306E90">
        <w:trPr>
          <w:trHeight w:val="374"/>
        </w:trPr>
        <w:tc>
          <w:tcPr>
            <w:tcW w:w="509" w:type="pct"/>
          </w:tcPr>
          <w:p w:rsidR="00830687" w:rsidRPr="00E768D2" w:rsidRDefault="00830687" w:rsidP="00306E90">
            <w:pPr>
              <w:widowControl/>
              <w:spacing w:line="360" w:lineRule="atLeast"/>
              <w:jc w:val="center"/>
              <w:outlineLvl w:val="1"/>
              <w:rPr>
                <w:rFonts w:ascii="仿宋" w:eastAsia="仿宋" w:hAnsi="仿宋"/>
                <w:sz w:val="24"/>
              </w:rPr>
            </w:pPr>
            <w:r w:rsidRPr="00E768D2">
              <w:rPr>
                <w:rFonts w:ascii="仿宋" w:eastAsia="仿宋" w:hAnsi="仿宋" w:hint="eastAsia"/>
                <w:sz w:val="24"/>
              </w:rPr>
              <w:t>1</w:t>
            </w:r>
          </w:p>
        </w:tc>
        <w:tc>
          <w:tcPr>
            <w:tcW w:w="497" w:type="pct"/>
            <w:vMerge w:val="restart"/>
            <w:vAlign w:val="center"/>
          </w:tcPr>
          <w:p w:rsidR="00830687" w:rsidRPr="00E768D2" w:rsidRDefault="00830687" w:rsidP="00306E90">
            <w:pPr>
              <w:widowControl/>
              <w:spacing w:line="360" w:lineRule="atLeast"/>
              <w:jc w:val="center"/>
              <w:outlineLvl w:val="1"/>
              <w:rPr>
                <w:rFonts w:ascii="仿宋" w:eastAsia="仿宋" w:hAnsi="仿宋"/>
                <w:sz w:val="24"/>
              </w:rPr>
            </w:pPr>
            <w:r>
              <w:rPr>
                <w:rFonts w:ascii="仿宋" w:eastAsia="仿宋" w:hAnsi="仿宋" w:hint="eastAsia"/>
                <w:sz w:val="24"/>
              </w:rPr>
              <w:t>0</w:t>
            </w:r>
            <w:r>
              <w:rPr>
                <w:rFonts w:ascii="仿宋" w:eastAsia="仿宋" w:hAnsi="仿宋"/>
                <w:sz w:val="24"/>
              </w:rPr>
              <w:t>1</w:t>
            </w:r>
          </w:p>
        </w:tc>
        <w:tc>
          <w:tcPr>
            <w:tcW w:w="582" w:type="pct"/>
          </w:tcPr>
          <w:p w:rsidR="00830687" w:rsidRPr="00E768D2" w:rsidRDefault="00830687" w:rsidP="00306E90">
            <w:pPr>
              <w:widowControl/>
              <w:spacing w:line="360" w:lineRule="atLeast"/>
              <w:jc w:val="left"/>
              <w:outlineLvl w:val="1"/>
              <w:rPr>
                <w:rFonts w:ascii="仿宋" w:eastAsia="仿宋" w:hAnsi="仿宋"/>
                <w:sz w:val="24"/>
              </w:rPr>
            </w:pPr>
            <w:r>
              <w:rPr>
                <w:rFonts w:ascii="仿宋" w:eastAsia="仿宋" w:hAnsi="仿宋" w:hint="eastAsia"/>
                <w:sz w:val="24"/>
              </w:rPr>
              <w:t>0</w:t>
            </w:r>
            <w:r>
              <w:rPr>
                <w:rFonts w:ascii="仿宋" w:eastAsia="仿宋" w:hAnsi="仿宋"/>
                <w:sz w:val="24"/>
              </w:rPr>
              <w:t>1-01</w:t>
            </w:r>
          </w:p>
        </w:tc>
        <w:tc>
          <w:tcPr>
            <w:tcW w:w="1650" w:type="pct"/>
            <w:vMerge w:val="restart"/>
            <w:vAlign w:val="center"/>
          </w:tcPr>
          <w:p w:rsidR="00830687" w:rsidRPr="00E768D2" w:rsidRDefault="00830687" w:rsidP="00306E90">
            <w:pPr>
              <w:widowControl/>
              <w:spacing w:line="360" w:lineRule="atLeast"/>
              <w:jc w:val="left"/>
              <w:outlineLvl w:val="1"/>
              <w:rPr>
                <w:rFonts w:ascii="仿宋" w:eastAsia="仿宋" w:hAnsi="仿宋"/>
                <w:sz w:val="24"/>
              </w:rPr>
            </w:pPr>
            <w:r w:rsidRPr="001579BA">
              <w:rPr>
                <w:rFonts w:ascii="仿宋" w:eastAsia="仿宋" w:hAnsi="仿宋" w:hint="eastAsia"/>
                <w:sz w:val="24"/>
              </w:rPr>
              <w:t>青少年儿童近视防控服务</w:t>
            </w:r>
          </w:p>
        </w:tc>
        <w:tc>
          <w:tcPr>
            <w:tcW w:w="1040" w:type="pct"/>
            <w:vMerge w:val="restart"/>
            <w:vAlign w:val="center"/>
          </w:tcPr>
          <w:p w:rsidR="00830687" w:rsidRPr="00E768D2" w:rsidRDefault="00830687" w:rsidP="00306E90">
            <w:pPr>
              <w:widowControl/>
              <w:spacing w:line="360" w:lineRule="atLeast"/>
              <w:jc w:val="left"/>
              <w:outlineLvl w:val="1"/>
              <w:rPr>
                <w:rFonts w:ascii="仿宋" w:eastAsia="仿宋" w:hAnsi="仿宋"/>
                <w:sz w:val="24"/>
              </w:rPr>
            </w:pPr>
            <w:r>
              <w:rPr>
                <w:rFonts w:ascii="仿宋" w:eastAsia="仿宋" w:hAnsi="仿宋"/>
                <w:sz w:val="24"/>
              </w:rPr>
              <w:t>商务服务业</w:t>
            </w:r>
          </w:p>
        </w:tc>
        <w:tc>
          <w:tcPr>
            <w:tcW w:w="722" w:type="pct"/>
          </w:tcPr>
          <w:p w:rsidR="00830687" w:rsidRPr="00E768D2" w:rsidRDefault="00830687" w:rsidP="00306E90">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1</w:t>
            </w:r>
          </w:p>
        </w:tc>
      </w:tr>
      <w:tr w:rsidR="00830687" w:rsidRPr="00E768D2" w:rsidTr="00306E90">
        <w:trPr>
          <w:trHeight w:val="390"/>
        </w:trPr>
        <w:tc>
          <w:tcPr>
            <w:tcW w:w="509" w:type="pct"/>
          </w:tcPr>
          <w:p w:rsidR="00830687" w:rsidRPr="00E768D2" w:rsidRDefault="00830687" w:rsidP="00306E90">
            <w:pPr>
              <w:widowControl/>
              <w:spacing w:line="360" w:lineRule="atLeast"/>
              <w:jc w:val="center"/>
              <w:outlineLvl w:val="1"/>
              <w:rPr>
                <w:rFonts w:ascii="仿宋" w:eastAsia="仿宋" w:hAnsi="仿宋"/>
                <w:sz w:val="24"/>
              </w:rPr>
            </w:pPr>
            <w:r w:rsidRPr="00E768D2">
              <w:rPr>
                <w:rFonts w:ascii="仿宋" w:eastAsia="仿宋" w:hAnsi="仿宋" w:hint="eastAsia"/>
                <w:sz w:val="24"/>
              </w:rPr>
              <w:t>2</w:t>
            </w:r>
          </w:p>
        </w:tc>
        <w:tc>
          <w:tcPr>
            <w:tcW w:w="497" w:type="pct"/>
            <w:vMerge/>
          </w:tcPr>
          <w:p w:rsidR="00830687" w:rsidRPr="00E768D2" w:rsidRDefault="00830687" w:rsidP="00306E90">
            <w:pPr>
              <w:widowControl/>
              <w:spacing w:line="360" w:lineRule="atLeast"/>
              <w:ind w:firstLineChars="196" w:firstLine="470"/>
              <w:jc w:val="left"/>
              <w:outlineLvl w:val="1"/>
              <w:rPr>
                <w:rFonts w:ascii="仿宋" w:eastAsia="仿宋" w:hAnsi="仿宋"/>
                <w:sz w:val="24"/>
              </w:rPr>
            </w:pPr>
          </w:p>
        </w:tc>
        <w:tc>
          <w:tcPr>
            <w:tcW w:w="582" w:type="pct"/>
          </w:tcPr>
          <w:p w:rsidR="00830687" w:rsidRPr="00E768D2" w:rsidRDefault="00830687" w:rsidP="00306E90">
            <w:pPr>
              <w:widowControl/>
              <w:spacing w:line="360" w:lineRule="atLeast"/>
              <w:jc w:val="left"/>
              <w:outlineLvl w:val="1"/>
              <w:rPr>
                <w:rFonts w:ascii="仿宋" w:eastAsia="仿宋" w:hAnsi="仿宋"/>
                <w:sz w:val="24"/>
              </w:rPr>
            </w:pPr>
            <w:r>
              <w:rPr>
                <w:rFonts w:ascii="仿宋" w:eastAsia="仿宋" w:hAnsi="仿宋" w:hint="eastAsia"/>
                <w:sz w:val="24"/>
              </w:rPr>
              <w:t>0</w:t>
            </w:r>
            <w:r>
              <w:rPr>
                <w:rFonts w:ascii="仿宋" w:eastAsia="仿宋" w:hAnsi="仿宋"/>
                <w:sz w:val="24"/>
              </w:rPr>
              <w:t>1-02</w:t>
            </w:r>
          </w:p>
        </w:tc>
        <w:tc>
          <w:tcPr>
            <w:tcW w:w="1650" w:type="pct"/>
            <w:vMerge/>
            <w:vAlign w:val="center"/>
          </w:tcPr>
          <w:p w:rsidR="00830687" w:rsidRPr="00E768D2" w:rsidRDefault="00830687" w:rsidP="00306E90">
            <w:pPr>
              <w:widowControl/>
              <w:spacing w:line="360" w:lineRule="atLeast"/>
              <w:ind w:firstLineChars="196" w:firstLine="470"/>
              <w:jc w:val="left"/>
              <w:outlineLvl w:val="1"/>
              <w:rPr>
                <w:rFonts w:ascii="仿宋" w:eastAsia="仿宋" w:hAnsi="仿宋"/>
                <w:sz w:val="24"/>
              </w:rPr>
            </w:pPr>
          </w:p>
        </w:tc>
        <w:tc>
          <w:tcPr>
            <w:tcW w:w="1040" w:type="pct"/>
            <w:vMerge/>
            <w:vAlign w:val="center"/>
          </w:tcPr>
          <w:p w:rsidR="00830687" w:rsidRPr="00E768D2" w:rsidRDefault="00830687" w:rsidP="00306E90">
            <w:pPr>
              <w:widowControl/>
              <w:spacing w:line="360" w:lineRule="atLeast"/>
              <w:ind w:firstLineChars="196" w:firstLine="470"/>
              <w:jc w:val="left"/>
              <w:outlineLvl w:val="1"/>
              <w:rPr>
                <w:rFonts w:ascii="仿宋" w:eastAsia="仿宋" w:hAnsi="仿宋"/>
                <w:sz w:val="24"/>
              </w:rPr>
            </w:pPr>
          </w:p>
        </w:tc>
        <w:tc>
          <w:tcPr>
            <w:tcW w:w="722" w:type="pct"/>
          </w:tcPr>
          <w:p w:rsidR="00830687" w:rsidRPr="00E768D2" w:rsidRDefault="00830687" w:rsidP="00306E90">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1</w:t>
            </w:r>
          </w:p>
        </w:tc>
      </w:tr>
    </w:tbl>
    <w:p w:rsidR="00830687" w:rsidRPr="00FA6AFE" w:rsidRDefault="00830687" w:rsidP="00830687">
      <w:pPr>
        <w:rPr>
          <w:rFonts w:ascii="仿宋" w:eastAsia="仿宋" w:hAnsi="仿宋"/>
        </w:rPr>
      </w:pPr>
    </w:p>
    <w:p w:rsidR="00830687" w:rsidRPr="001579BA" w:rsidRDefault="00830687" w:rsidP="00830687">
      <w:pPr>
        <w:pStyle w:val="2"/>
        <w:spacing w:line="400" w:lineRule="exact"/>
        <w:ind w:firstLineChars="98" w:firstLine="236"/>
        <w:rPr>
          <w:rFonts w:ascii="仿宋" w:eastAsia="仿宋" w:hAnsi="仿宋"/>
          <w:b w:val="0"/>
          <w:sz w:val="24"/>
          <w:szCs w:val="24"/>
        </w:rPr>
      </w:pPr>
      <w:r>
        <w:rPr>
          <w:rFonts w:ascii="仿宋" w:eastAsia="仿宋" w:hAnsi="仿宋" w:hint="eastAsia"/>
          <w:sz w:val="24"/>
          <w:szCs w:val="24"/>
        </w:rPr>
        <w:t>三、</w:t>
      </w:r>
      <w:r w:rsidRPr="00FA6AFE">
        <w:rPr>
          <w:rFonts w:ascii="仿宋" w:eastAsia="仿宋" w:hAnsi="仿宋" w:hint="eastAsia"/>
          <w:b w:val="0"/>
          <w:sz w:val="24"/>
          <w:szCs w:val="24"/>
        </w:rPr>
        <w:t>项目要求</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*（一）检查项目：</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1、视力、屈光度、眼轴长度、屈光介质参数</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2、要求检查项目和检查标准严格按照国家标准执行；</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3、要求检查现场组织有序，流程完善，确保普查工作顺利开展；</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4、要求质控标准不得低于国家相关标准，现场具有完善的质控流程；</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5、要求具备现场突发状况应急处置预案，如学生安全等风险；</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（二）基于近视普查的数据分析、数据统计、数据预测服务</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1、建立郫都区儿童青少年近视数据分析平台和一体化眼健康管理平台服务</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（1）平台需满足记录和统计每位学生的检查项目数据结果；</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（2）能建立学生电子健康档案，电子档案包括学生的检查项目数据，问卷调查数据和跟踪治疗数据。一人一档，随学籍实时转移。</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（3）针对个人、班级、学校、区级各级数据总分析,并设置相应查看权限。</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（4）每位学生在不同阶段的数据对比和指导性建议。</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（5）平台需具备人工智能分析和预测功能，能预测近视率和高度近视率。</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（6）要求具有筛查学校数量、总人数统计、筛查覆盖率展示功能。</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（7）要求可将学生按照近视情况划分为高、中、低近视等级，可根据年度、普查名称、学校名称、普查状态等关键字进行普查活动检索。</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（8）系统可根据学生高、中、低近视等级、近视预测情况开展随访，随访形式包括但不限于问卷调查，电话随访等方式。</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（9）具有全区各学龄段（幼儿园、中小学）各年级的筛查结果统计功能。</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lastRenderedPageBreak/>
        <w:t>（10）支持近视预测分析，根据检查结果，对全区各学龄段（幼儿园、中小学）各年级进行近视发展智能预测分析。</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（11）可展示学校历年近视率变化情况，实时跟踪每日筛查工作情况，含学校总人数、近视率、视力不良率。</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（12）可展示全区、各校、各年级、各班近视发展趋势。</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（13）要求为普查的学校分配账号，开放相应的权限，方便学校管理学生信息。</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2、报告解读及相关服务</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（1）要求在检查完后 72 小时给家长进行眼健康报告解读，报告解读方式不限。同时要求对检查后的学生进行分层次防控管理，为学生制定个性化、规范化的防控建议和治疗建议。</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（2）对检查后的学生进行分层次管理，根据检查结果，制定合理的管理路径。</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3）举办近视防控公益讲座，全区范围内为全区师生及家长科学普及眼健康相关知识。根据实际要求，主办或者协助举办爱眼主题日活动，宣传爱眼知识，提升爱眼意识，服务期间举办讲座或举办活动共计不少于5场次。</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3、建立近视高危人群预警管理服务</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（1）为高危人群提供所需的进一步复查服务，同时复查数据更新至电子健康档案。</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（2）为高危人群提供及时的追踪和管理服务，要求在5 个工作日内通知高危人群家长，所在学校和负责老师，追踪其复查和就医情况，近视数据同步更新至电子健康档案。</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（3）对于高危人群要实现延迟近视时间和控制度数快速增长的目标，通过个性化的管理、追踪服务和积极干预显现近视发生和发展的情况。</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4、提供全区近视防控数据白皮书</w:t>
      </w:r>
    </w:p>
    <w:p w:rsidR="00830687" w:rsidRDefault="00830687" w:rsidP="00830687">
      <w:pPr>
        <w:pStyle w:val="a5"/>
        <w:spacing w:line="400" w:lineRule="exact"/>
        <w:ind w:firstLine="480"/>
        <w:rPr>
          <w:rFonts w:ascii="仿宋" w:eastAsia="仿宋" w:hAnsi="仿宋"/>
          <w:sz w:val="24"/>
        </w:rPr>
      </w:pPr>
      <w:r>
        <w:rPr>
          <w:rFonts w:ascii="仿宋" w:eastAsia="仿宋" w:hAnsi="仿宋" w:hint="eastAsia"/>
          <w:sz w:val="24"/>
        </w:rPr>
        <w:t>白皮书要分析郫都区与本地及全国范围内的近视对比情况。分析郫都区不同学段、年龄、性别等学生近视情况的对比。探寻不同条件下近视的主要危险因素，针对性的为近视防控策略的制定提供参考。针对各学段近视最大的影响因素，分别制定改进建议。</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（三）其他要求</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sz w:val="24"/>
        </w:rPr>
        <w:t>（</w:t>
      </w:r>
      <w:r>
        <w:rPr>
          <w:rFonts w:ascii="仿宋" w:eastAsia="仿宋" w:hAnsi="仿宋" w:hint="eastAsia"/>
          <w:sz w:val="24"/>
        </w:rPr>
        <w:t>1</w:t>
      </w:r>
      <w:r>
        <w:rPr>
          <w:rFonts w:ascii="仿宋" w:eastAsia="仿宋" w:hAnsi="仿宋"/>
          <w:sz w:val="24"/>
        </w:rPr>
        <w:t>）供应商应针对本项目组建不少于</w:t>
      </w:r>
      <w:r>
        <w:rPr>
          <w:rFonts w:ascii="仿宋" w:eastAsia="仿宋" w:hAnsi="仿宋" w:hint="eastAsia"/>
          <w:sz w:val="24"/>
        </w:rPr>
        <w:t>1</w:t>
      </w:r>
      <w:r>
        <w:rPr>
          <w:rFonts w:ascii="仿宋" w:eastAsia="仿宋" w:hAnsi="仿宋"/>
          <w:sz w:val="24"/>
        </w:rPr>
        <w:t>0人的团队。</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sz w:val="24"/>
        </w:rPr>
        <w:t>（</w:t>
      </w:r>
      <w:r>
        <w:rPr>
          <w:rFonts w:ascii="仿宋" w:eastAsia="仿宋" w:hAnsi="仿宋" w:hint="eastAsia"/>
          <w:sz w:val="24"/>
        </w:rPr>
        <w:t>2</w:t>
      </w:r>
      <w:r>
        <w:rPr>
          <w:rFonts w:ascii="仿宋" w:eastAsia="仿宋" w:hAnsi="仿宋"/>
          <w:sz w:val="24"/>
        </w:rPr>
        <w:t>）</w:t>
      </w:r>
      <w:r w:rsidRPr="006E156B">
        <w:rPr>
          <w:rFonts w:ascii="仿宋" w:eastAsia="仿宋" w:hAnsi="仿宋" w:hint="eastAsia"/>
          <w:sz w:val="24"/>
        </w:rPr>
        <w:t>供应商</w:t>
      </w:r>
      <w:r>
        <w:rPr>
          <w:rFonts w:ascii="仿宋" w:eastAsia="仿宋" w:hAnsi="仿宋" w:hint="eastAsia"/>
          <w:sz w:val="24"/>
        </w:rPr>
        <w:t>应</w:t>
      </w:r>
      <w:r w:rsidRPr="006E156B">
        <w:rPr>
          <w:rFonts w:ascii="仿宋" w:eastAsia="仿宋" w:hAnsi="仿宋" w:hint="eastAsia"/>
          <w:sz w:val="24"/>
        </w:rPr>
        <w:t>投入项目实施所需的设施设备每种类型（视力、屈光度、眼轴长度、屈光介质）各</w:t>
      </w:r>
      <w:r>
        <w:rPr>
          <w:rFonts w:ascii="仿宋" w:eastAsia="仿宋" w:hAnsi="仿宋"/>
          <w:sz w:val="24"/>
        </w:rPr>
        <w:t>1</w:t>
      </w:r>
      <w:r w:rsidRPr="006E156B">
        <w:rPr>
          <w:rFonts w:ascii="仿宋" w:eastAsia="仿宋" w:hAnsi="仿宋" w:hint="eastAsia"/>
          <w:sz w:val="24"/>
        </w:rPr>
        <w:t>台</w:t>
      </w:r>
      <w:r>
        <w:rPr>
          <w:rFonts w:ascii="仿宋" w:eastAsia="仿宋" w:hAnsi="仿宋" w:hint="eastAsia"/>
          <w:sz w:val="24"/>
        </w:rPr>
        <w:t>。</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*四、商务</w:t>
      </w:r>
      <w:r w:rsidRPr="005A5791">
        <w:rPr>
          <w:rFonts w:ascii="仿宋" w:eastAsia="仿宋" w:hAnsi="仿宋" w:hint="eastAsia"/>
          <w:sz w:val="24"/>
        </w:rPr>
        <w:t>要求</w:t>
      </w:r>
      <w:r>
        <w:rPr>
          <w:rFonts w:ascii="仿宋" w:eastAsia="仿宋" w:hAnsi="仿宋" w:hint="eastAsia"/>
          <w:sz w:val="24"/>
        </w:rPr>
        <w:br/>
        <w:t>（一）合同价是供应商响应本项目要求的全部工作内容的价格体现，包含完成本项目所涉及人员薪资、差旅、交通、设备投入、眼健康检查、电子档案建设，数</w:t>
      </w:r>
      <w:r>
        <w:rPr>
          <w:rFonts w:ascii="仿宋" w:eastAsia="仿宋" w:hAnsi="仿宋" w:hint="eastAsia"/>
          <w:sz w:val="24"/>
        </w:rPr>
        <w:lastRenderedPageBreak/>
        <w:t>据分析、成果报告、保险、风险、税金、利润以及磋商文件规定的一切费用。</w:t>
      </w:r>
      <w:r>
        <w:rPr>
          <w:rFonts w:ascii="仿宋" w:eastAsia="仿宋" w:hAnsi="仿宋" w:hint="eastAsia"/>
          <w:sz w:val="24"/>
        </w:rPr>
        <w:br/>
        <w:t>（二）付款方式：</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1.第一次付款:采购人在政府采购合同签订生效后10个工作日内向供应商支付30%合同款项；</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2.第二次付款:本项目完成第一次对我区儿童青少年近视防控服务，并将数据录入平台，平台达到要求功能后，采购人在10个工作日内向供应商支付40%合同款项;</w:t>
      </w:r>
    </w:p>
    <w:p w:rsidR="00830687" w:rsidRDefault="00830687" w:rsidP="00830687">
      <w:pPr>
        <w:pStyle w:val="a5"/>
        <w:spacing w:line="400" w:lineRule="exact"/>
        <w:ind w:firstLineChars="0" w:firstLine="0"/>
        <w:rPr>
          <w:rFonts w:ascii="仿宋" w:eastAsia="仿宋" w:hAnsi="仿宋"/>
          <w:sz w:val="24"/>
        </w:rPr>
      </w:pPr>
      <w:r>
        <w:rPr>
          <w:rFonts w:ascii="仿宋" w:eastAsia="仿宋" w:hAnsi="仿宋" w:hint="eastAsia"/>
          <w:sz w:val="24"/>
        </w:rPr>
        <w:t>3.第三次付款:供应商完成全部约定服务内容，并验收合格后采购人在10个工作日内向供应商支付剩余30%合同款项。</w:t>
      </w:r>
      <w:r>
        <w:rPr>
          <w:rFonts w:ascii="仿宋" w:eastAsia="仿宋" w:hAnsi="仿宋" w:hint="eastAsia"/>
          <w:sz w:val="24"/>
        </w:rPr>
        <w:br/>
        <w:t>4.供应商应按照采购人财务管理相关要求，向采购人出具合法有效完整的完税发票及凭证资料作为支付结算依据，否则采购人有权拒绝付款。</w:t>
      </w:r>
      <w:r>
        <w:rPr>
          <w:rFonts w:ascii="仿宋" w:eastAsia="仿宋" w:hAnsi="仿宋"/>
          <w:sz w:val="24"/>
        </w:rPr>
        <w:br/>
      </w:r>
      <w:r>
        <w:rPr>
          <w:rFonts w:ascii="仿宋" w:eastAsia="仿宋" w:hAnsi="仿宋" w:hint="eastAsia"/>
          <w:sz w:val="24"/>
        </w:rPr>
        <w:t>（三）项目完成时间：</w:t>
      </w:r>
    </w:p>
    <w:p w:rsidR="00830687" w:rsidRDefault="00830687" w:rsidP="00830687">
      <w:pPr>
        <w:pStyle w:val="a5"/>
        <w:spacing w:line="400" w:lineRule="exact"/>
        <w:ind w:firstLineChars="0" w:firstLine="0"/>
        <w:rPr>
          <w:rFonts w:ascii="仿宋" w:eastAsia="仿宋" w:hAnsi="仿宋"/>
          <w:sz w:val="24"/>
        </w:rPr>
      </w:pPr>
      <w:r w:rsidRPr="001579BA">
        <w:rPr>
          <w:rFonts w:ascii="仿宋" w:eastAsia="仿宋" w:hAnsi="仿宋" w:hint="eastAsia"/>
          <w:bCs/>
          <w:sz w:val="24"/>
        </w:rPr>
        <w:t>第一次服务时间约为2021年9-10月，第二次服务时间约为2021年12月-202</w:t>
      </w:r>
      <w:r w:rsidR="00C25590">
        <w:rPr>
          <w:rFonts w:ascii="仿宋" w:eastAsia="仿宋" w:hAnsi="仿宋"/>
          <w:bCs/>
          <w:sz w:val="24"/>
        </w:rPr>
        <w:t>2</w:t>
      </w:r>
      <w:bookmarkStart w:id="0" w:name="_GoBack"/>
      <w:bookmarkEnd w:id="0"/>
      <w:r w:rsidRPr="001579BA">
        <w:rPr>
          <w:rFonts w:ascii="仿宋" w:eastAsia="仿宋" w:hAnsi="仿宋" w:hint="eastAsia"/>
          <w:bCs/>
          <w:sz w:val="24"/>
        </w:rPr>
        <w:t>年1月。</w:t>
      </w:r>
      <w:r>
        <w:rPr>
          <w:rFonts w:ascii="仿宋" w:eastAsia="仿宋" w:hAnsi="仿宋" w:hint="eastAsia"/>
          <w:sz w:val="24"/>
        </w:rPr>
        <w:br/>
      </w:r>
      <w:r>
        <w:rPr>
          <w:rFonts w:ascii="仿宋" w:eastAsia="仿宋" w:hAnsi="仿宋"/>
          <w:sz w:val="24"/>
        </w:rPr>
        <w:t>（四）项目完成地点：采购人指定地点。</w:t>
      </w:r>
    </w:p>
    <w:p w:rsidR="003115BF" w:rsidRDefault="00830687" w:rsidP="00830687">
      <w:r>
        <w:rPr>
          <w:rFonts w:ascii="仿宋" w:eastAsia="仿宋" w:hAnsi="仿宋"/>
          <w:sz w:val="24"/>
        </w:rPr>
        <w:t>（五）</w:t>
      </w:r>
      <w:r w:rsidRPr="005A5791">
        <w:rPr>
          <w:rFonts w:ascii="仿宋" w:eastAsia="仿宋" w:hAnsi="仿宋" w:hint="eastAsia"/>
          <w:sz w:val="24"/>
        </w:rPr>
        <w:t>履约要求：按照财政部《关于进一步加强政府采购需求和履约验收管理的指导意见》（财库〔2016〕205号）相关要求和采购合同进行验收。</w:t>
      </w:r>
    </w:p>
    <w:sectPr w:rsidR="003115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7F5" w:rsidRDefault="005C17F5" w:rsidP="00830687">
      <w:r>
        <w:separator/>
      </w:r>
    </w:p>
  </w:endnote>
  <w:endnote w:type="continuationSeparator" w:id="0">
    <w:p w:rsidR="005C17F5" w:rsidRDefault="005C17F5" w:rsidP="0083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7F5" w:rsidRDefault="005C17F5" w:rsidP="00830687">
      <w:r>
        <w:separator/>
      </w:r>
    </w:p>
  </w:footnote>
  <w:footnote w:type="continuationSeparator" w:id="0">
    <w:p w:rsidR="005C17F5" w:rsidRDefault="005C17F5" w:rsidP="0083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10"/>
    <w:rsid w:val="003115BF"/>
    <w:rsid w:val="00417E6B"/>
    <w:rsid w:val="005C17F5"/>
    <w:rsid w:val="00830687"/>
    <w:rsid w:val="00C25590"/>
    <w:rsid w:val="00D1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267A7D-D9B5-454F-8BE1-208A394A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87"/>
    <w:pPr>
      <w:widowControl w:val="0"/>
      <w:jc w:val="both"/>
    </w:pPr>
    <w:rPr>
      <w:rFonts w:ascii="Times New Roman" w:eastAsia="宋体" w:hAnsi="Times New Roman" w:cs="Times New Roman"/>
      <w:szCs w:val="24"/>
    </w:rPr>
  </w:style>
  <w:style w:type="paragraph" w:styleId="2">
    <w:name w:val="heading 2"/>
    <w:basedOn w:val="a"/>
    <w:next w:val="a"/>
    <w:link w:val="2Char"/>
    <w:qFormat/>
    <w:rsid w:val="0083068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6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0687"/>
    <w:rPr>
      <w:sz w:val="18"/>
      <w:szCs w:val="18"/>
    </w:rPr>
  </w:style>
  <w:style w:type="paragraph" w:styleId="a4">
    <w:name w:val="footer"/>
    <w:basedOn w:val="a"/>
    <w:link w:val="Char0"/>
    <w:uiPriority w:val="99"/>
    <w:unhideWhenUsed/>
    <w:rsid w:val="008306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0687"/>
    <w:rPr>
      <w:sz w:val="18"/>
      <w:szCs w:val="18"/>
    </w:rPr>
  </w:style>
  <w:style w:type="character" w:customStyle="1" w:styleId="2Char">
    <w:name w:val="标题 2 Char"/>
    <w:basedOn w:val="a0"/>
    <w:link w:val="2"/>
    <w:qFormat/>
    <w:rsid w:val="00830687"/>
    <w:rPr>
      <w:rFonts w:ascii="Arial" w:eastAsia="黑体" w:hAnsi="Arial" w:cs="Times New Roman"/>
      <w:b/>
      <w:bCs/>
      <w:sz w:val="32"/>
      <w:szCs w:val="32"/>
    </w:rPr>
  </w:style>
  <w:style w:type="paragraph" w:styleId="a5">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830687"/>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正文双线 Char,水上软件 Char,正文（首行缩进两字） Char Char1,正文不缩进 Char"/>
    <w:link w:val="a5"/>
    <w:qFormat/>
    <w:rsid w:val="0083068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1785</Characters>
  <Application>Microsoft Office Word</Application>
  <DocSecurity>0</DocSecurity>
  <Lines>14</Lines>
  <Paragraphs>4</Paragraphs>
  <ScaleCrop>false</ScaleCrop>
  <Company>Microsoft</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于睿娴</dc:creator>
  <cp:keywords/>
  <dc:description/>
  <cp:lastModifiedBy>于睿娴</cp:lastModifiedBy>
  <cp:revision>3</cp:revision>
  <dcterms:created xsi:type="dcterms:W3CDTF">2021-09-15T07:50:00Z</dcterms:created>
  <dcterms:modified xsi:type="dcterms:W3CDTF">2021-09-15T08:25:00Z</dcterms:modified>
</cp:coreProperties>
</file>