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20" w:rsidRPr="00E24120" w:rsidRDefault="00E24120" w:rsidP="00E24120">
      <w:pPr>
        <w:keepNext/>
        <w:keepLines/>
        <w:spacing w:before="260" w:after="260" w:line="400" w:lineRule="exact"/>
        <w:ind w:firstLineChars="98" w:firstLine="236"/>
        <w:outlineLvl w:val="1"/>
        <w:rPr>
          <w:rFonts w:ascii="仿宋" w:eastAsia="仿宋" w:hAnsi="仿宋" w:cs="Times New Roman"/>
          <w:bCs/>
          <w:sz w:val="24"/>
          <w:szCs w:val="24"/>
        </w:rPr>
      </w:pPr>
      <w:proofErr w:type="gramStart"/>
      <w:r w:rsidRPr="00E24120">
        <w:rPr>
          <w:rFonts w:ascii="仿宋" w:eastAsia="仿宋" w:hAnsi="仿宋" w:cs="Times New Roman" w:hint="eastAsia"/>
          <w:b/>
          <w:bCs/>
          <w:sz w:val="24"/>
          <w:szCs w:val="24"/>
        </w:rPr>
        <w:t>一</w:t>
      </w:r>
      <w:proofErr w:type="gramEnd"/>
      <w:r w:rsidRPr="00E24120">
        <w:rPr>
          <w:rFonts w:ascii="仿宋" w:eastAsia="仿宋" w:hAnsi="仿宋" w:cs="Times New Roman" w:hint="eastAsia"/>
          <w:b/>
          <w:bCs/>
          <w:sz w:val="24"/>
          <w:szCs w:val="24"/>
        </w:rPr>
        <w:t xml:space="preserve">. </w:t>
      </w:r>
      <w:r w:rsidRPr="00E24120">
        <w:rPr>
          <w:rFonts w:ascii="仿宋" w:eastAsia="仿宋" w:hAnsi="仿宋" w:cs="Times New Roman" w:hint="eastAsia"/>
          <w:bCs/>
          <w:sz w:val="24"/>
          <w:szCs w:val="24"/>
        </w:rPr>
        <w:t>项目概述和背景</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1</w:t>
      </w:r>
      <w:r w:rsidRPr="00E24120">
        <w:rPr>
          <w:rFonts w:ascii="仿宋" w:eastAsia="仿宋" w:hAnsi="仿宋" w:cs="Times New Roman"/>
          <w:bCs/>
          <w:sz w:val="24"/>
          <w:szCs w:val="24"/>
        </w:rPr>
        <w:t>.</w:t>
      </w:r>
      <w:r w:rsidRPr="00E24120">
        <w:rPr>
          <w:rFonts w:ascii="仿宋" w:eastAsia="仿宋" w:hAnsi="仿宋" w:cs="Times New Roman" w:hint="eastAsia"/>
          <w:bCs/>
          <w:sz w:val="24"/>
          <w:szCs w:val="24"/>
        </w:rPr>
        <w:t>本</w:t>
      </w:r>
      <w:r w:rsidRPr="00E24120">
        <w:rPr>
          <w:rFonts w:ascii="仿宋" w:eastAsia="仿宋" w:hAnsi="仿宋" w:cs="Times New Roman"/>
          <w:bCs/>
          <w:sz w:val="24"/>
          <w:szCs w:val="24"/>
        </w:rPr>
        <w:t>项目一个包</w:t>
      </w:r>
      <w:r w:rsidRPr="00E24120">
        <w:rPr>
          <w:rFonts w:ascii="仿宋" w:eastAsia="仿宋" w:hAnsi="仿宋" w:cs="Times New Roman" w:hint="eastAsia"/>
          <w:bCs/>
          <w:sz w:val="24"/>
          <w:szCs w:val="24"/>
        </w:rPr>
        <w:t>，</w:t>
      </w:r>
      <w:r w:rsidRPr="00E24120">
        <w:rPr>
          <w:rFonts w:ascii="仿宋" w:eastAsia="仿宋" w:hAnsi="仿宋" w:cs="Times New Roman"/>
          <w:bCs/>
          <w:sz w:val="24"/>
          <w:szCs w:val="24"/>
        </w:rPr>
        <w:t>采购</w:t>
      </w:r>
      <w:r w:rsidRPr="00E24120">
        <w:rPr>
          <w:rFonts w:ascii="仿宋" w:eastAsia="仿宋" w:hAnsi="仿宋" w:cs="Times New Roman" w:hint="eastAsia"/>
          <w:bCs/>
          <w:sz w:val="24"/>
          <w:szCs w:val="24"/>
        </w:rPr>
        <w:t>2021年度成都高新区营商环境优化提升综合咨询服务商一名。</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2</w:t>
      </w:r>
      <w:r w:rsidRPr="00E24120">
        <w:rPr>
          <w:rFonts w:ascii="仿宋" w:eastAsia="仿宋" w:hAnsi="仿宋" w:cs="Times New Roman"/>
          <w:bCs/>
          <w:sz w:val="24"/>
          <w:szCs w:val="24"/>
        </w:rPr>
        <w:t>.</w:t>
      </w:r>
      <w:r w:rsidRPr="00E24120">
        <w:rPr>
          <w:rFonts w:ascii="仿宋" w:eastAsia="仿宋" w:hAnsi="仿宋" w:cs="Times New Roman" w:hint="eastAsia"/>
          <w:bCs/>
          <w:sz w:val="24"/>
          <w:szCs w:val="24"/>
        </w:rPr>
        <w:t xml:space="preserve"> 为深入推进简政放权、放管结合、优化服务，改善营商环境，激发各类市场主体活力，在国际化营商环境中形成与先发地区无差异的运行机制和市场环境，成都高新区拟开展营商环境优化提升综合咨询项目，进一步</w:t>
      </w:r>
      <w:hyperlink r:id="rId7" w:tgtFrame="https://www.baidu.com/_blank" w:history="1">
        <w:r w:rsidRPr="00E24120">
          <w:rPr>
            <w:rFonts w:ascii="仿宋" w:eastAsia="仿宋" w:hAnsi="仿宋" w:cs="Times New Roman" w:hint="eastAsia"/>
            <w:bCs/>
            <w:sz w:val="24"/>
            <w:szCs w:val="24"/>
          </w:rPr>
          <w:t>增强营商环境优化改革的系统性整体性协同性</w:t>
        </w:r>
      </w:hyperlink>
      <w:r w:rsidRPr="00E24120">
        <w:rPr>
          <w:rFonts w:ascii="仿宋" w:eastAsia="仿宋" w:hAnsi="仿宋" w:cs="Times New Roman" w:hint="eastAsia"/>
          <w:bCs/>
          <w:sz w:val="24"/>
          <w:szCs w:val="24"/>
        </w:rPr>
        <w:t>，加快推进一流高科技园区治理体系治理能力现代化，加快打造与世界一流</w:t>
      </w:r>
      <w:proofErr w:type="gramStart"/>
      <w:r w:rsidRPr="00E24120">
        <w:rPr>
          <w:rFonts w:ascii="仿宋" w:eastAsia="仿宋" w:hAnsi="仿宋" w:cs="Times New Roman" w:hint="eastAsia"/>
          <w:bCs/>
          <w:sz w:val="24"/>
          <w:szCs w:val="24"/>
        </w:rPr>
        <w:t>高科技园相匹配</w:t>
      </w:r>
      <w:proofErr w:type="gramEnd"/>
      <w:r w:rsidRPr="00E24120">
        <w:rPr>
          <w:rFonts w:ascii="仿宋" w:eastAsia="仿宋" w:hAnsi="仿宋" w:cs="Times New Roman" w:hint="eastAsia"/>
          <w:bCs/>
          <w:sz w:val="24"/>
          <w:szCs w:val="24"/>
        </w:rPr>
        <w:t>的国际化营商环境。</w:t>
      </w:r>
    </w:p>
    <w:p w:rsidR="00E24120" w:rsidRPr="00E24120" w:rsidRDefault="00E24120" w:rsidP="00E24120">
      <w:pPr>
        <w:spacing w:line="400" w:lineRule="exact"/>
        <w:ind w:firstLineChars="200" w:firstLine="480"/>
        <w:rPr>
          <w:rFonts w:ascii="仿宋" w:eastAsia="仿宋" w:hAnsi="仿宋" w:cs="Times New Roman"/>
          <w:bCs/>
          <w:sz w:val="24"/>
          <w:szCs w:val="24"/>
        </w:rPr>
      </w:pPr>
    </w:p>
    <w:p w:rsidR="00E24120" w:rsidRPr="00E24120" w:rsidRDefault="00E24120" w:rsidP="00E24120">
      <w:pPr>
        <w:keepNext/>
        <w:keepLines/>
        <w:spacing w:before="260" w:after="260" w:line="400" w:lineRule="exact"/>
        <w:ind w:firstLineChars="98" w:firstLine="236"/>
        <w:outlineLvl w:val="1"/>
        <w:rPr>
          <w:rFonts w:ascii="仿宋" w:eastAsia="仿宋" w:hAnsi="仿宋" w:cs="Times New Roman"/>
          <w:bCs/>
          <w:sz w:val="24"/>
          <w:szCs w:val="24"/>
        </w:rPr>
      </w:pPr>
      <w:r w:rsidRPr="00E24120">
        <w:rPr>
          <w:rFonts w:ascii="仿宋" w:eastAsia="仿宋" w:hAnsi="仿宋" w:cs="Times New Roman" w:hint="eastAsia"/>
          <w:b/>
          <w:bCs/>
          <w:sz w:val="24"/>
          <w:szCs w:val="24"/>
        </w:rPr>
        <w:t>二.</w:t>
      </w:r>
      <w:r w:rsidRPr="00E24120">
        <w:rPr>
          <w:rFonts w:ascii="仿宋" w:eastAsia="仿宋" w:hAnsi="仿宋" w:cs="Times New Roman" w:hint="eastAsia"/>
          <w:bCs/>
          <w:sz w:val="24"/>
          <w:szCs w:val="24"/>
        </w:rPr>
        <w:t>项目清单</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6"/>
        <w:gridCol w:w="2693"/>
      </w:tblGrid>
      <w:tr w:rsidR="00E24120" w:rsidRPr="00E24120" w:rsidTr="00981A16">
        <w:trPr>
          <w:trHeight w:val="390"/>
          <w:jc w:val="center"/>
        </w:trPr>
        <w:tc>
          <w:tcPr>
            <w:tcW w:w="709" w:type="dxa"/>
            <w:vAlign w:val="center"/>
          </w:tcPr>
          <w:p w:rsidR="00E24120" w:rsidRPr="00E24120" w:rsidRDefault="00E24120" w:rsidP="00E24120">
            <w:pPr>
              <w:widowControl/>
              <w:spacing w:line="360" w:lineRule="atLeast"/>
              <w:jc w:val="center"/>
              <w:outlineLvl w:val="1"/>
              <w:rPr>
                <w:rFonts w:ascii="仿宋" w:eastAsia="仿宋" w:hAnsi="仿宋" w:cs="Times New Roman"/>
                <w:sz w:val="24"/>
                <w:szCs w:val="24"/>
              </w:rPr>
            </w:pPr>
            <w:proofErr w:type="gramStart"/>
            <w:r w:rsidRPr="00E24120">
              <w:rPr>
                <w:rFonts w:ascii="仿宋" w:eastAsia="仿宋" w:hAnsi="仿宋" w:cs="Times New Roman" w:hint="eastAsia"/>
                <w:sz w:val="24"/>
                <w:szCs w:val="24"/>
              </w:rPr>
              <w:t>包号</w:t>
            </w:r>
            <w:proofErr w:type="gramEnd"/>
          </w:p>
        </w:tc>
        <w:tc>
          <w:tcPr>
            <w:tcW w:w="3686" w:type="dxa"/>
            <w:vAlign w:val="center"/>
          </w:tcPr>
          <w:p w:rsidR="00E24120" w:rsidRPr="00E24120" w:rsidRDefault="00E24120" w:rsidP="00E24120">
            <w:pPr>
              <w:widowControl/>
              <w:spacing w:line="360" w:lineRule="atLeast"/>
              <w:jc w:val="center"/>
              <w:outlineLvl w:val="1"/>
              <w:rPr>
                <w:rFonts w:ascii="仿宋" w:eastAsia="仿宋" w:hAnsi="仿宋" w:cs="Times New Roman"/>
                <w:sz w:val="24"/>
                <w:szCs w:val="24"/>
              </w:rPr>
            </w:pPr>
            <w:r w:rsidRPr="00E24120">
              <w:rPr>
                <w:rFonts w:ascii="仿宋" w:eastAsia="仿宋" w:hAnsi="仿宋" w:cs="Times New Roman" w:hint="eastAsia"/>
                <w:sz w:val="24"/>
                <w:szCs w:val="24"/>
              </w:rPr>
              <w:t>标的名称</w:t>
            </w:r>
          </w:p>
        </w:tc>
        <w:tc>
          <w:tcPr>
            <w:tcW w:w="2693" w:type="dxa"/>
          </w:tcPr>
          <w:p w:rsidR="00E24120" w:rsidRPr="00E24120" w:rsidRDefault="00E24120" w:rsidP="00E24120">
            <w:pPr>
              <w:widowControl/>
              <w:spacing w:line="360" w:lineRule="atLeast"/>
              <w:jc w:val="center"/>
              <w:outlineLvl w:val="1"/>
              <w:rPr>
                <w:rFonts w:ascii="仿宋" w:eastAsia="仿宋" w:hAnsi="仿宋" w:cs="Times New Roman"/>
                <w:sz w:val="24"/>
                <w:szCs w:val="24"/>
              </w:rPr>
            </w:pPr>
            <w:r w:rsidRPr="00E24120">
              <w:rPr>
                <w:rFonts w:ascii="仿宋" w:eastAsia="仿宋" w:hAnsi="仿宋" w:cs="Times New Roman" w:hint="eastAsia"/>
                <w:sz w:val="24"/>
                <w:szCs w:val="24"/>
              </w:rPr>
              <w:t>所属行业</w:t>
            </w:r>
          </w:p>
        </w:tc>
      </w:tr>
      <w:tr w:rsidR="00E24120" w:rsidRPr="00E24120" w:rsidTr="00981A16">
        <w:trPr>
          <w:trHeight w:val="374"/>
          <w:jc w:val="center"/>
        </w:trPr>
        <w:tc>
          <w:tcPr>
            <w:tcW w:w="709" w:type="dxa"/>
          </w:tcPr>
          <w:p w:rsidR="00E24120" w:rsidRPr="00E24120" w:rsidRDefault="00E24120" w:rsidP="00E24120">
            <w:pPr>
              <w:widowControl/>
              <w:spacing w:line="360" w:lineRule="atLeast"/>
              <w:jc w:val="left"/>
              <w:outlineLvl w:val="1"/>
              <w:rPr>
                <w:rFonts w:ascii="仿宋" w:eastAsia="仿宋" w:hAnsi="仿宋" w:cs="Times New Roman"/>
                <w:sz w:val="24"/>
                <w:szCs w:val="24"/>
              </w:rPr>
            </w:pPr>
            <w:r w:rsidRPr="00E24120">
              <w:rPr>
                <w:rFonts w:ascii="仿宋" w:eastAsia="仿宋" w:hAnsi="仿宋" w:cs="Times New Roman" w:hint="eastAsia"/>
                <w:sz w:val="24"/>
                <w:szCs w:val="24"/>
              </w:rPr>
              <w:t>1</w:t>
            </w:r>
          </w:p>
        </w:tc>
        <w:tc>
          <w:tcPr>
            <w:tcW w:w="3686" w:type="dxa"/>
          </w:tcPr>
          <w:p w:rsidR="00E24120" w:rsidRPr="00E24120" w:rsidRDefault="00E24120" w:rsidP="00E24120">
            <w:pPr>
              <w:widowControl/>
              <w:spacing w:line="360" w:lineRule="atLeast"/>
              <w:jc w:val="left"/>
              <w:outlineLvl w:val="1"/>
              <w:rPr>
                <w:rFonts w:ascii="仿宋" w:eastAsia="仿宋" w:hAnsi="仿宋" w:cs="Times New Roman"/>
                <w:sz w:val="24"/>
                <w:szCs w:val="24"/>
              </w:rPr>
            </w:pPr>
            <w:r w:rsidRPr="00E24120">
              <w:rPr>
                <w:rFonts w:ascii="仿宋" w:eastAsia="仿宋" w:hAnsi="仿宋" w:cs="Times New Roman" w:hint="eastAsia"/>
                <w:bCs/>
                <w:sz w:val="24"/>
                <w:szCs w:val="24"/>
              </w:rPr>
              <w:t>营商环境优化提升综合咨询服务</w:t>
            </w:r>
          </w:p>
        </w:tc>
        <w:tc>
          <w:tcPr>
            <w:tcW w:w="2693" w:type="dxa"/>
          </w:tcPr>
          <w:p w:rsidR="00E24120" w:rsidRPr="00E24120" w:rsidRDefault="00E24120" w:rsidP="00E24120">
            <w:pPr>
              <w:widowControl/>
              <w:spacing w:line="360" w:lineRule="atLeast"/>
              <w:jc w:val="left"/>
              <w:outlineLvl w:val="1"/>
              <w:rPr>
                <w:rFonts w:ascii="仿宋" w:eastAsia="仿宋" w:hAnsi="仿宋" w:cs="Times New Roman"/>
                <w:sz w:val="24"/>
                <w:szCs w:val="24"/>
              </w:rPr>
            </w:pPr>
            <w:r w:rsidRPr="00E24120">
              <w:rPr>
                <w:rFonts w:ascii="仿宋" w:eastAsia="仿宋" w:hAnsi="仿宋" w:cs="Times New Roman" w:hint="eastAsia"/>
                <w:sz w:val="24"/>
                <w:szCs w:val="24"/>
              </w:rPr>
              <w:t>其他未列明行业</w:t>
            </w:r>
          </w:p>
        </w:tc>
      </w:tr>
    </w:tbl>
    <w:p w:rsidR="00E24120" w:rsidRPr="00E24120" w:rsidRDefault="00E24120" w:rsidP="00E24120">
      <w:pPr>
        <w:rPr>
          <w:rFonts w:ascii="仿宋" w:eastAsia="仿宋" w:hAnsi="仿宋" w:cs="Times New Roman"/>
          <w:szCs w:val="24"/>
        </w:rPr>
      </w:pPr>
    </w:p>
    <w:p w:rsidR="00E24120" w:rsidRPr="00E24120" w:rsidRDefault="00E24120" w:rsidP="00E24120">
      <w:pPr>
        <w:keepNext/>
        <w:keepLines/>
        <w:spacing w:before="260" w:after="260" w:line="400" w:lineRule="exact"/>
        <w:ind w:firstLineChars="98" w:firstLine="236"/>
        <w:outlineLvl w:val="1"/>
        <w:rPr>
          <w:rFonts w:ascii="仿宋" w:eastAsia="仿宋" w:hAnsi="仿宋" w:cs="Times New Roman"/>
          <w:bCs/>
          <w:sz w:val="24"/>
          <w:szCs w:val="24"/>
        </w:rPr>
      </w:pPr>
      <w:r w:rsidRPr="00E24120">
        <w:rPr>
          <w:rFonts w:ascii="仿宋" w:eastAsia="仿宋" w:hAnsi="仿宋" w:cs="Times New Roman" w:hint="eastAsia"/>
          <w:b/>
          <w:bCs/>
          <w:sz w:val="24"/>
          <w:szCs w:val="24"/>
        </w:rPr>
        <w:t>三.</w:t>
      </w:r>
      <w:r w:rsidRPr="00E24120">
        <w:rPr>
          <w:rFonts w:ascii="仿宋" w:eastAsia="仿宋" w:hAnsi="仿宋" w:cs="Times New Roman" w:hint="eastAsia"/>
          <w:bCs/>
          <w:sz w:val="24"/>
          <w:szCs w:val="24"/>
        </w:rPr>
        <w:t>项目内容和要求</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（一）政策落实评估</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1.开展</w:t>
      </w:r>
      <w:r w:rsidRPr="00E24120">
        <w:rPr>
          <w:rFonts w:ascii="仿宋" w:eastAsia="仿宋" w:hAnsi="仿宋" w:cs="Times New Roman"/>
          <w:bCs/>
          <w:sz w:val="24"/>
          <w:szCs w:val="24"/>
        </w:rPr>
        <w:t>营商环境政策</w:t>
      </w:r>
      <w:r w:rsidRPr="00E24120">
        <w:rPr>
          <w:rFonts w:ascii="仿宋" w:eastAsia="仿宋" w:hAnsi="仿宋" w:cs="Times New Roman" w:hint="eastAsia"/>
          <w:bCs/>
          <w:sz w:val="24"/>
          <w:szCs w:val="24"/>
        </w:rPr>
        <w:t>体系分析。对照国务院复制推广借鉴的相关改革举措、成都市营商环境政策体系、高新区营商环境政策体系，对成都高新区贯彻落实营商环境政策进行系统梳理与分析。</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2.开展部门</w:t>
      </w:r>
      <w:r w:rsidRPr="00E24120">
        <w:rPr>
          <w:rFonts w:ascii="仿宋" w:eastAsia="仿宋" w:hAnsi="仿宋" w:cs="Times New Roman"/>
          <w:bCs/>
          <w:sz w:val="24"/>
          <w:szCs w:val="24"/>
        </w:rPr>
        <w:t>政策</w:t>
      </w:r>
      <w:r w:rsidRPr="00E24120">
        <w:rPr>
          <w:rFonts w:ascii="仿宋" w:eastAsia="仿宋" w:hAnsi="仿宋" w:cs="Times New Roman" w:hint="eastAsia"/>
          <w:bCs/>
          <w:sz w:val="24"/>
          <w:szCs w:val="24"/>
        </w:rPr>
        <w:t>落实情况评估。通过部门调研、数据核验、材料分析等情况，开展营商环境政策落实情况评估，包括完成进度分析、存在问题及原因分析等内容，反映政策落实情况最新现实表现。</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3.开展改革政策企业获得感评估。选择成都高新区代表性企业，通过问卷调研、企业走访、企业座谈等形式，开展改革政策企业获得感评估。</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4.形成成都高新区营商环境改革政策落实情况评估报告。在系统分析党中央、国务院、四川省、成都市关于深化“放管服”改革及优化营商环境决策部署的基础上，开展成都高新区营商环境政策落实进度分析、存在问题及原因分析，结合成都高新区营商环境政策落实情况及实际，围绕改革方向、特色创新等内容，为下一阶段成都高新区营商环境政策制定提供参考。</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（二）政策解读咨询</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1.开展营商环境综合咨询。面向成都高新区营商环境相关工作的牵头及责任部门开展不低于10场的营商环境政策体系现场咨询，分析中央、国务院、四川</w:t>
      </w:r>
      <w:r w:rsidRPr="00E24120">
        <w:rPr>
          <w:rFonts w:ascii="仿宋" w:eastAsia="仿宋" w:hAnsi="仿宋" w:cs="Times New Roman" w:hint="eastAsia"/>
          <w:bCs/>
          <w:sz w:val="24"/>
          <w:szCs w:val="24"/>
        </w:rPr>
        <w:lastRenderedPageBreak/>
        <w:t>省、成都市营商环境政策体系各领域年度工作重点和关注点，对接国家、省、市相关政策规划要求，提升成都高新区营商环境牵头及责任部门对营商环境理论及政策体系认知水平，深化对优化营商环境必要性、可行性认识。</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2.开展专题提升辅导咨询。面向营商环境重点领域牵头及责任部门，开展重点梳理及专题提升，加强各部门对营商环境发展趋势、改革方向等重要内容的认识理解，厘清营商环境的工作目标、主要内容及相关要求等。深入查找实际工作中存在的问题，梳理内部工作流程，提出优化建议，推动相关部门优化营商环境改革工作。</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（三）团队要求</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1.研究团队负责人应具备营商环境领域课题研究能力和专业咨询服务能力，确保研究成果前瞻性强、路径可实施和对策可操作。</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 xml:space="preserve">2.研究团队成员应不低于10人，参与现场咨询服务人员由满足上述要求的资深专业人士参与，具有从事营商环境相关政策咨询研究经验。 </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*3.供应商应承诺：成交后，组建的研究团队须为采购人提供本地化服务。（提供承诺函，格式自拟）</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（四）调研要求</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1.调研服务开展方式包括但不限于：问卷调查、部门座谈、现场调研等方式。</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2.调研内容包括成都高新区有关部门营商环境建设工作的现状、贯彻落实营商环境政策体系情况及存在问题，企业满意度、企业反馈问题等。</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（五）过程管理要求</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1.研究团队需针对本研究项目建立有效的项目质量控制和成果管理机制。</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2.项目过程中需开展不低于1次项目过程质量评审，及不低于1次项目成果质量评审。</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（六）质量要求</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编制应当思路清晰、突出针对性，加强与成都高新区工作的衔接协调。突出创新性，注意吸收相关领域已有研究成果，避免低水平重复研究。突出针对性，对策建议要具体，便于操作。应收集详实充足的数据和相关资料，进行科学严谨的分析论证。</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（七）成果内容</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1</w:t>
      </w:r>
      <w:r w:rsidRPr="00E24120">
        <w:rPr>
          <w:rFonts w:ascii="仿宋" w:eastAsia="仿宋" w:hAnsi="仿宋" w:cs="Times New Roman"/>
          <w:bCs/>
          <w:sz w:val="24"/>
          <w:szCs w:val="24"/>
        </w:rPr>
        <w:t>.</w:t>
      </w:r>
      <w:r w:rsidRPr="00E24120">
        <w:rPr>
          <w:rFonts w:ascii="仿宋" w:eastAsia="仿宋" w:hAnsi="仿宋" w:cs="Times New Roman" w:hint="eastAsia"/>
          <w:bCs/>
          <w:sz w:val="24"/>
          <w:szCs w:val="24"/>
        </w:rPr>
        <w:t>最终成果（成果名称以最终稿件为准）</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成都高新区营商环境改革政策落实情况评估报告1份；2021年成都高新区营商环境政策解读辅导材料1套。</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bCs/>
          <w:sz w:val="24"/>
          <w:szCs w:val="24"/>
        </w:rPr>
        <w:t>2.</w:t>
      </w:r>
      <w:r w:rsidRPr="00E24120">
        <w:rPr>
          <w:rFonts w:ascii="仿宋" w:eastAsia="仿宋" w:hAnsi="仿宋" w:cs="Times New Roman" w:hint="eastAsia"/>
          <w:bCs/>
          <w:sz w:val="24"/>
          <w:szCs w:val="24"/>
        </w:rPr>
        <w:t>过程成果</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成都高新区营商环境改革政策落实情况部门调研提纲1份；成都高新区营商</w:t>
      </w:r>
      <w:r w:rsidRPr="00E24120">
        <w:rPr>
          <w:rFonts w:ascii="仿宋" w:eastAsia="仿宋" w:hAnsi="仿宋" w:cs="Times New Roman" w:hint="eastAsia"/>
          <w:bCs/>
          <w:sz w:val="24"/>
          <w:szCs w:val="24"/>
        </w:rPr>
        <w:lastRenderedPageBreak/>
        <w:t>环境改革政策落实情况部门调研记录1份；成都高新区营商环境改革政策落实情况企业访谈提纲1份；成都高新区营商环境改革政策落实情况企业访谈记录1份；成都高新区营商环境改革政策落实情况问题清单1份；成都高新区营商环境改革政策落实情况建议清单1份。</w:t>
      </w:r>
    </w:p>
    <w:p w:rsidR="00E24120" w:rsidRPr="00E24120" w:rsidRDefault="00E24120" w:rsidP="00E24120">
      <w:pPr>
        <w:keepNext/>
        <w:keepLines/>
        <w:spacing w:before="260" w:after="260" w:line="400" w:lineRule="exact"/>
        <w:ind w:firstLineChars="98" w:firstLine="236"/>
        <w:outlineLvl w:val="1"/>
        <w:rPr>
          <w:rFonts w:ascii="仿宋" w:eastAsia="仿宋" w:hAnsi="仿宋" w:cs="Times New Roman"/>
          <w:bCs/>
          <w:sz w:val="24"/>
          <w:szCs w:val="24"/>
        </w:rPr>
      </w:pPr>
      <w:r w:rsidRPr="00E24120">
        <w:rPr>
          <w:rFonts w:ascii="仿宋" w:eastAsia="仿宋" w:hAnsi="仿宋" w:cs="Times New Roman" w:hint="eastAsia"/>
          <w:b/>
          <w:bCs/>
          <w:sz w:val="24"/>
          <w:szCs w:val="24"/>
        </w:rPr>
        <w:t>*四.</w:t>
      </w:r>
      <w:r w:rsidRPr="00E24120">
        <w:rPr>
          <w:rFonts w:ascii="仿宋" w:eastAsia="仿宋" w:hAnsi="仿宋" w:cs="Times New Roman" w:hint="eastAsia"/>
          <w:bCs/>
          <w:sz w:val="24"/>
          <w:szCs w:val="24"/>
        </w:rPr>
        <w:t>商务要求</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（一</w:t>
      </w:r>
      <w:r w:rsidRPr="00E24120">
        <w:rPr>
          <w:rFonts w:ascii="仿宋" w:eastAsia="仿宋" w:hAnsi="仿宋" w:cs="Times New Roman"/>
          <w:bCs/>
          <w:sz w:val="24"/>
          <w:szCs w:val="24"/>
        </w:rPr>
        <w:t>）项目服务期限</w:t>
      </w:r>
      <w:r w:rsidRPr="00E24120">
        <w:rPr>
          <w:rFonts w:ascii="仿宋" w:eastAsia="仿宋" w:hAnsi="仿宋" w:cs="Times New Roman" w:hint="eastAsia"/>
          <w:bCs/>
          <w:sz w:val="24"/>
          <w:szCs w:val="24"/>
        </w:rPr>
        <w:t>：自合同签订之日起至2021年12月1</w:t>
      </w:r>
      <w:r w:rsidRPr="00E24120">
        <w:rPr>
          <w:rFonts w:ascii="仿宋" w:eastAsia="仿宋" w:hAnsi="仿宋" w:cs="Times New Roman"/>
          <w:bCs/>
          <w:sz w:val="24"/>
          <w:szCs w:val="24"/>
        </w:rPr>
        <w:t>0日</w:t>
      </w:r>
      <w:r w:rsidRPr="00E24120">
        <w:rPr>
          <w:rFonts w:ascii="仿宋" w:eastAsia="仿宋" w:hAnsi="仿宋" w:cs="Times New Roman" w:hint="eastAsia"/>
          <w:bCs/>
          <w:sz w:val="24"/>
          <w:szCs w:val="24"/>
        </w:rPr>
        <w:t>。</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（二）</w:t>
      </w:r>
      <w:r w:rsidRPr="00E24120">
        <w:rPr>
          <w:rFonts w:ascii="仿宋" w:eastAsia="仿宋" w:hAnsi="仿宋" w:cs="Times New Roman"/>
          <w:bCs/>
          <w:sz w:val="24"/>
          <w:szCs w:val="24"/>
        </w:rPr>
        <w:t>付款方式</w:t>
      </w:r>
      <w:r w:rsidRPr="00E24120">
        <w:rPr>
          <w:rFonts w:ascii="仿宋" w:eastAsia="仿宋" w:hAnsi="仿宋" w:cs="Times New Roman" w:hint="eastAsia"/>
          <w:bCs/>
          <w:sz w:val="24"/>
          <w:szCs w:val="24"/>
        </w:rPr>
        <w:t>：分三次支付，在签订合同后，甲方支付30%合同款；按照执行进度推进并提交中期报告后，甲方支付40%合同款；在乙方提交项目成果并经甲方验收通过后，甲方支付剩余30%合同款。</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（三）验收方案</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1</w:t>
      </w:r>
      <w:r w:rsidRPr="00E24120">
        <w:rPr>
          <w:rFonts w:ascii="仿宋" w:eastAsia="仿宋" w:hAnsi="仿宋" w:cs="Times New Roman"/>
          <w:bCs/>
          <w:sz w:val="24"/>
          <w:szCs w:val="24"/>
        </w:rPr>
        <w:t>.</w:t>
      </w:r>
      <w:r w:rsidRPr="00E24120">
        <w:rPr>
          <w:rFonts w:ascii="仿宋" w:eastAsia="仿宋" w:hAnsi="仿宋" w:cs="Times New Roman" w:hint="eastAsia"/>
          <w:bCs/>
          <w:sz w:val="24"/>
          <w:szCs w:val="24"/>
        </w:rPr>
        <w:t>验收主体：成都高新区政务服务和网络理政办公室</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2</w:t>
      </w:r>
      <w:r w:rsidRPr="00E24120">
        <w:rPr>
          <w:rFonts w:ascii="仿宋" w:eastAsia="仿宋" w:hAnsi="仿宋" w:cs="Times New Roman"/>
          <w:bCs/>
          <w:sz w:val="24"/>
          <w:szCs w:val="24"/>
        </w:rPr>
        <w:t>.</w:t>
      </w:r>
      <w:r w:rsidRPr="00E24120">
        <w:rPr>
          <w:rFonts w:ascii="仿宋" w:eastAsia="仿宋" w:hAnsi="仿宋" w:cs="Times New Roman" w:hint="eastAsia"/>
          <w:bCs/>
          <w:sz w:val="24"/>
          <w:szCs w:val="24"/>
        </w:rPr>
        <w:t>验收时间：提交完整的项目成果后（供应商在2021年12月10日前提交完整的项目成果）</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3</w:t>
      </w:r>
      <w:r w:rsidRPr="00E24120">
        <w:rPr>
          <w:rFonts w:ascii="仿宋" w:eastAsia="仿宋" w:hAnsi="仿宋" w:cs="Times New Roman"/>
          <w:bCs/>
          <w:sz w:val="24"/>
          <w:szCs w:val="24"/>
        </w:rPr>
        <w:t>.</w:t>
      </w:r>
      <w:r w:rsidRPr="00E24120">
        <w:rPr>
          <w:rFonts w:ascii="仿宋" w:eastAsia="仿宋" w:hAnsi="仿宋" w:cs="Times New Roman" w:hint="eastAsia"/>
          <w:bCs/>
          <w:sz w:val="24"/>
          <w:szCs w:val="24"/>
        </w:rPr>
        <w:t>验收方式：由</w:t>
      </w:r>
      <w:r w:rsidRPr="00E24120">
        <w:rPr>
          <w:rFonts w:ascii="仿宋" w:eastAsia="仿宋" w:hAnsi="仿宋" w:cs="Times New Roman"/>
          <w:bCs/>
          <w:sz w:val="24"/>
          <w:szCs w:val="24"/>
        </w:rPr>
        <w:t>采购人组织成立由相关专家、处室参加的3人及其以上单数人员组成的验收评审组，</w:t>
      </w:r>
      <w:r w:rsidRPr="00E24120">
        <w:rPr>
          <w:rFonts w:ascii="仿宋" w:eastAsia="仿宋" w:hAnsi="仿宋" w:cs="Times New Roman" w:hint="eastAsia"/>
          <w:bCs/>
          <w:sz w:val="24"/>
          <w:szCs w:val="24"/>
        </w:rPr>
        <w:t>召开</w:t>
      </w:r>
      <w:r w:rsidRPr="00E24120">
        <w:rPr>
          <w:rFonts w:ascii="仿宋" w:eastAsia="仿宋" w:hAnsi="仿宋" w:cs="Times New Roman"/>
          <w:bCs/>
          <w:sz w:val="24"/>
          <w:szCs w:val="24"/>
        </w:rPr>
        <w:t>政府采购项目验收评审</w:t>
      </w:r>
      <w:r w:rsidRPr="00E24120">
        <w:rPr>
          <w:rFonts w:ascii="仿宋" w:eastAsia="仿宋" w:hAnsi="仿宋" w:cs="Times New Roman" w:hint="eastAsia"/>
          <w:bCs/>
          <w:sz w:val="24"/>
          <w:szCs w:val="24"/>
        </w:rPr>
        <w:t>会进行项目验收。</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4</w:t>
      </w:r>
      <w:r w:rsidRPr="00E24120">
        <w:rPr>
          <w:rFonts w:ascii="仿宋" w:eastAsia="仿宋" w:hAnsi="仿宋" w:cs="Times New Roman"/>
          <w:bCs/>
          <w:sz w:val="24"/>
          <w:szCs w:val="24"/>
        </w:rPr>
        <w:t>.</w:t>
      </w:r>
      <w:r w:rsidRPr="00E24120">
        <w:rPr>
          <w:rFonts w:ascii="仿宋" w:eastAsia="仿宋" w:hAnsi="仿宋" w:cs="Times New Roman" w:hint="eastAsia"/>
          <w:bCs/>
          <w:sz w:val="24"/>
          <w:szCs w:val="24"/>
        </w:rPr>
        <w:t>验收程序：验收评审组采取听汇报、查验资料等方法开展项目评审。</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4</w:t>
      </w:r>
      <w:r w:rsidRPr="00E24120">
        <w:rPr>
          <w:rFonts w:ascii="仿宋" w:eastAsia="仿宋" w:hAnsi="仿宋" w:cs="Times New Roman"/>
          <w:bCs/>
          <w:sz w:val="24"/>
          <w:szCs w:val="24"/>
        </w:rPr>
        <w:t>.1</w:t>
      </w:r>
      <w:r w:rsidRPr="00E24120">
        <w:rPr>
          <w:rFonts w:ascii="仿宋" w:eastAsia="仿宋" w:hAnsi="仿宋" w:cs="Times New Roman" w:hint="eastAsia"/>
          <w:bCs/>
          <w:sz w:val="24"/>
          <w:szCs w:val="24"/>
        </w:rPr>
        <w:t>听取项目汇报。听取项目服务商简要阐述研究开展情况、项目成果情况。</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bCs/>
          <w:sz w:val="24"/>
          <w:szCs w:val="24"/>
        </w:rPr>
        <w:t>4.2</w:t>
      </w:r>
      <w:r w:rsidRPr="00E24120">
        <w:rPr>
          <w:rFonts w:ascii="仿宋" w:eastAsia="仿宋" w:hAnsi="仿宋" w:cs="Times New Roman" w:hint="eastAsia"/>
          <w:bCs/>
          <w:sz w:val="24"/>
          <w:szCs w:val="24"/>
        </w:rPr>
        <w:t>查阅项目资料。验收评审组查阅资料，结合验收标准，对项目成果的充分、科学、详实、严谨性进行评价。</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4</w:t>
      </w:r>
      <w:r w:rsidRPr="00E24120">
        <w:rPr>
          <w:rFonts w:ascii="仿宋" w:eastAsia="仿宋" w:hAnsi="仿宋" w:cs="Times New Roman"/>
          <w:bCs/>
          <w:sz w:val="24"/>
          <w:szCs w:val="24"/>
        </w:rPr>
        <w:t>.3</w:t>
      </w:r>
      <w:r w:rsidRPr="00E24120">
        <w:rPr>
          <w:rFonts w:ascii="仿宋" w:eastAsia="仿宋" w:hAnsi="仿宋" w:cs="Times New Roman" w:hint="eastAsia"/>
          <w:bCs/>
          <w:sz w:val="24"/>
          <w:szCs w:val="24"/>
        </w:rPr>
        <w:t>汇总评审意见。验收评审组确定项目是否达到验收标准。</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5</w:t>
      </w:r>
      <w:r w:rsidRPr="00E24120">
        <w:rPr>
          <w:rFonts w:ascii="仿宋" w:eastAsia="仿宋" w:hAnsi="仿宋" w:cs="Times New Roman"/>
          <w:bCs/>
          <w:sz w:val="24"/>
          <w:szCs w:val="24"/>
        </w:rPr>
        <w:t>.</w:t>
      </w:r>
      <w:r w:rsidRPr="00E24120">
        <w:rPr>
          <w:rFonts w:ascii="仿宋" w:eastAsia="仿宋" w:hAnsi="仿宋" w:cs="Times New Roman" w:hint="eastAsia"/>
          <w:bCs/>
          <w:sz w:val="24"/>
          <w:szCs w:val="24"/>
        </w:rPr>
        <w:t>验收内容：按照本采购项目竞争性磋商文件、供应商响应文件及磋商过程中相关承诺、采购合同约定对供应商履约情况进行验收。</w:t>
      </w:r>
    </w:p>
    <w:p w:rsidR="00E24120" w:rsidRPr="00E24120" w:rsidRDefault="00E24120" w:rsidP="00E24120">
      <w:pPr>
        <w:spacing w:line="400" w:lineRule="exact"/>
        <w:ind w:firstLineChars="200" w:firstLine="480"/>
        <w:rPr>
          <w:rFonts w:ascii="仿宋" w:eastAsia="仿宋" w:hAnsi="仿宋" w:cs="Times New Roman"/>
          <w:bCs/>
          <w:sz w:val="24"/>
          <w:szCs w:val="24"/>
        </w:rPr>
      </w:pPr>
      <w:r w:rsidRPr="00E24120">
        <w:rPr>
          <w:rFonts w:ascii="仿宋" w:eastAsia="仿宋" w:hAnsi="仿宋" w:cs="Times New Roman" w:hint="eastAsia"/>
          <w:bCs/>
          <w:sz w:val="24"/>
          <w:szCs w:val="24"/>
        </w:rPr>
        <w:t>6、验收标准</w:t>
      </w:r>
    </w:p>
    <w:tbl>
      <w:tblPr>
        <w:tblStyle w:val="a5"/>
        <w:tblW w:w="9019" w:type="dxa"/>
        <w:tblLayout w:type="fixed"/>
        <w:tblCellMar>
          <w:top w:w="120" w:type="dxa"/>
          <w:left w:w="60" w:type="dxa"/>
          <w:bottom w:w="120" w:type="dxa"/>
          <w:right w:w="60" w:type="dxa"/>
        </w:tblCellMar>
        <w:tblLook w:val="04A0" w:firstRow="1" w:lastRow="0" w:firstColumn="1" w:lastColumn="0" w:noHBand="0" w:noVBand="1"/>
      </w:tblPr>
      <w:tblGrid>
        <w:gridCol w:w="1124"/>
        <w:gridCol w:w="6586"/>
        <w:gridCol w:w="723"/>
        <w:gridCol w:w="586"/>
      </w:tblGrid>
      <w:tr w:rsidR="00E24120" w:rsidRPr="00E24120" w:rsidTr="00981A16">
        <w:trPr>
          <w:trHeight w:val="261"/>
        </w:trPr>
        <w:tc>
          <w:tcPr>
            <w:tcW w:w="1124"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r w:rsidRPr="00E24120">
              <w:rPr>
                <w:rFonts w:ascii="仿宋" w:eastAsia="仿宋" w:hAnsi="仿宋" w:cs="黑体" w:hint="eastAsia"/>
                <w:color w:val="000000"/>
                <w:sz w:val="22"/>
              </w:rPr>
              <w:t>验收细则</w:t>
            </w:r>
          </w:p>
        </w:tc>
        <w:tc>
          <w:tcPr>
            <w:tcW w:w="6586"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r w:rsidRPr="00E24120">
              <w:rPr>
                <w:rFonts w:ascii="仿宋" w:eastAsia="仿宋" w:hAnsi="仿宋" w:cs="黑体" w:hint="eastAsia"/>
                <w:color w:val="000000"/>
                <w:sz w:val="22"/>
              </w:rPr>
              <w:t>验收标准</w:t>
            </w:r>
          </w:p>
        </w:tc>
        <w:tc>
          <w:tcPr>
            <w:tcW w:w="723"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r w:rsidRPr="00E24120">
              <w:rPr>
                <w:rFonts w:ascii="仿宋" w:eastAsia="仿宋" w:hAnsi="仿宋" w:cs="黑体" w:hint="eastAsia"/>
                <w:color w:val="000000"/>
                <w:sz w:val="22"/>
              </w:rPr>
              <w:t>分值</w:t>
            </w:r>
          </w:p>
        </w:tc>
        <w:tc>
          <w:tcPr>
            <w:tcW w:w="586"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r w:rsidRPr="00E24120">
              <w:rPr>
                <w:rFonts w:ascii="仿宋" w:eastAsia="仿宋" w:hAnsi="仿宋" w:cs="黑体" w:hint="eastAsia"/>
                <w:color w:val="000000"/>
                <w:sz w:val="22"/>
              </w:rPr>
              <w:t>得分</w:t>
            </w:r>
          </w:p>
        </w:tc>
      </w:tr>
      <w:tr w:rsidR="00E24120" w:rsidRPr="00E24120" w:rsidTr="00981A16">
        <w:trPr>
          <w:trHeight w:val="640"/>
        </w:trPr>
        <w:tc>
          <w:tcPr>
            <w:tcW w:w="1124"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r w:rsidRPr="00E24120">
              <w:rPr>
                <w:rFonts w:ascii="仿宋" w:eastAsia="仿宋" w:hAnsi="仿宋" w:cs="黑体" w:hint="eastAsia"/>
                <w:color w:val="000000"/>
                <w:sz w:val="22"/>
              </w:rPr>
              <w:t>调研方法</w:t>
            </w:r>
          </w:p>
        </w:tc>
        <w:tc>
          <w:tcPr>
            <w:tcW w:w="6586"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napToGrid w:val="0"/>
              <w:spacing w:line="240" w:lineRule="exact"/>
              <w:jc w:val="left"/>
              <w:rPr>
                <w:rFonts w:ascii="仿宋" w:eastAsia="仿宋" w:hAnsi="仿宋"/>
                <w:color w:val="000000"/>
              </w:rPr>
            </w:pPr>
            <w:r w:rsidRPr="00E24120">
              <w:rPr>
                <w:rFonts w:ascii="仿宋" w:eastAsia="仿宋" w:hAnsi="仿宋" w:hint="eastAsia"/>
                <w:color w:val="000000"/>
              </w:rPr>
              <w:t>理论研究与实地调研方法，包含问卷调查、部门座谈、现场调研等形式</w:t>
            </w:r>
            <w:r w:rsidRPr="00E24120">
              <w:rPr>
                <w:rFonts w:ascii="仿宋" w:eastAsia="仿宋" w:hAnsi="仿宋"/>
                <w:color w:val="000000"/>
              </w:rPr>
              <w:t>。缺一项扣</w:t>
            </w:r>
            <w:r w:rsidRPr="00E24120">
              <w:rPr>
                <w:rFonts w:ascii="仿宋" w:eastAsia="仿宋" w:hAnsi="仿宋" w:hint="eastAsia"/>
                <w:color w:val="000000"/>
              </w:rPr>
              <w:t>2</w:t>
            </w:r>
            <w:r w:rsidRPr="00E24120">
              <w:rPr>
                <w:rFonts w:ascii="仿宋" w:eastAsia="仿宋" w:hAnsi="仿宋"/>
                <w:color w:val="000000"/>
              </w:rPr>
              <w:t>分</w:t>
            </w:r>
            <w:r w:rsidRPr="00E24120">
              <w:rPr>
                <w:rFonts w:ascii="仿宋" w:eastAsia="仿宋" w:hAnsi="仿宋" w:hint="eastAsia"/>
                <w:color w:val="000000"/>
              </w:rPr>
              <w:t>，以此类推，单项扣完为止</w:t>
            </w:r>
            <w:r w:rsidRPr="00E24120">
              <w:rPr>
                <w:rFonts w:ascii="仿宋" w:eastAsia="仿宋" w:hAnsi="仿宋"/>
                <w:color w:val="000000"/>
              </w:rPr>
              <w:t>。</w:t>
            </w:r>
          </w:p>
        </w:tc>
        <w:tc>
          <w:tcPr>
            <w:tcW w:w="723"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olor w:val="000000"/>
              </w:rPr>
            </w:pPr>
            <w:r w:rsidRPr="00E24120">
              <w:rPr>
                <w:rFonts w:ascii="仿宋" w:eastAsia="仿宋" w:hAnsi="仿宋" w:hint="eastAsia"/>
                <w:color w:val="000000"/>
              </w:rPr>
              <w:t>6</w:t>
            </w:r>
          </w:p>
        </w:tc>
        <w:tc>
          <w:tcPr>
            <w:tcW w:w="586" w:type="dxa"/>
            <w:tcBorders>
              <w:top w:val="single" w:sz="8" w:space="0" w:color="000000"/>
              <w:left w:val="single" w:sz="8" w:space="0" w:color="000000"/>
              <w:bottom w:val="single" w:sz="8" w:space="0" w:color="000000"/>
              <w:right w:val="single" w:sz="8" w:space="0" w:color="000000"/>
            </w:tcBorders>
          </w:tcPr>
          <w:p w:rsidR="00E24120" w:rsidRPr="00E24120" w:rsidRDefault="00E24120" w:rsidP="00E24120">
            <w:pPr>
              <w:spacing w:line="300" w:lineRule="exact"/>
              <w:rPr>
                <w:rFonts w:ascii="仿宋" w:eastAsia="仿宋" w:hAnsi="仿宋" w:cs="方正仿宋简体"/>
                <w:color w:val="000000"/>
                <w:szCs w:val="21"/>
              </w:rPr>
            </w:pPr>
          </w:p>
        </w:tc>
      </w:tr>
      <w:tr w:rsidR="00E24120" w:rsidRPr="00E24120" w:rsidTr="00981A16">
        <w:trPr>
          <w:trHeight w:val="919"/>
        </w:trPr>
        <w:tc>
          <w:tcPr>
            <w:tcW w:w="1124"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r w:rsidRPr="00E24120">
              <w:rPr>
                <w:rFonts w:ascii="仿宋" w:eastAsia="仿宋" w:hAnsi="仿宋" w:cs="黑体" w:hint="eastAsia"/>
                <w:color w:val="000000"/>
                <w:sz w:val="22"/>
              </w:rPr>
              <w:t>基本素材</w:t>
            </w:r>
          </w:p>
        </w:tc>
        <w:tc>
          <w:tcPr>
            <w:tcW w:w="6586"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napToGrid w:val="0"/>
              <w:spacing w:line="240" w:lineRule="exact"/>
              <w:jc w:val="left"/>
              <w:rPr>
                <w:rFonts w:ascii="仿宋" w:eastAsia="仿宋" w:hAnsi="仿宋"/>
                <w:color w:val="000000"/>
              </w:rPr>
            </w:pPr>
            <w:r w:rsidRPr="00E24120">
              <w:rPr>
                <w:rFonts w:ascii="仿宋" w:eastAsia="仿宋" w:hAnsi="仿宋" w:hint="eastAsia"/>
                <w:color w:val="000000"/>
              </w:rPr>
              <w:t>素材</w:t>
            </w:r>
            <w:r w:rsidRPr="00E24120">
              <w:rPr>
                <w:rFonts w:ascii="仿宋" w:eastAsia="仿宋" w:hAnsi="仿宋"/>
                <w:color w:val="000000"/>
              </w:rPr>
              <w:t>真实、准确、翔实,情况全面具体</w:t>
            </w:r>
            <w:r w:rsidRPr="00E24120">
              <w:rPr>
                <w:rFonts w:ascii="仿宋" w:eastAsia="仿宋" w:hAnsi="仿宋" w:hint="eastAsia"/>
                <w:color w:val="000000"/>
              </w:rPr>
              <w:t>。提供部门调研提纲1份、部门调研记录1份、企业访谈提纲1份、企业访谈记录1份、问题清单1份、建议清单1份，</w:t>
            </w:r>
            <w:r w:rsidRPr="00E24120">
              <w:rPr>
                <w:rFonts w:ascii="仿宋" w:eastAsia="仿宋" w:hAnsi="仿宋"/>
                <w:color w:val="000000"/>
              </w:rPr>
              <w:t>缺一项扣</w:t>
            </w:r>
            <w:r w:rsidRPr="00E24120">
              <w:rPr>
                <w:rFonts w:ascii="仿宋" w:eastAsia="仿宋" w:hAnsi="仿宋" w:hint="eastAsia"/>
                <w:color w:val="000000"/>
              </w:rPr>
              <w:t>2</w:t>
            </w:r>
            <w:r w:rsidRPr="00E24120">
              <w:rPr>
                <w:rFonts w:ascii="仿宋" w:eastAsia="仿宋" w:hAnsi="仿宋"/>
                <w:color w:val="000000"/>
              </w:rPr>
              <w:t>分</w:t>
            </w:r>
            <w:r w:rsidRPr="00E24120">
              <w:rPr>
                <w:rFonts w:ascii="仿宋" w:eastAsia="仿宋" w:hAnsi="仿宋" w:hint="eastAsia"/>
                <w:color w:val="000000"/>
              </w:rPr>
              <w:t>，以此类推，单项扣完为止</w:t>
            </w:r>
            <w:r w:rsidRPr="00E24120">
              <w:rPr>
                <w:rFonts w:ascii="仿宋" w:eastAsia="仿宋" w:hAnsi="仿宋"/>
                <w:color w:val="000000"/>
              </w:rPr>
              <w:t>。</w:t>
            </w:r>
          </w:p>
        </w:tc>
        <w:tc>
          <w:tcPr>
            <w:tcW w:w="723"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olor w:val="000000"/>
              </w:rPr>
            </w:pPr>
            <w:r w:rsidRPr="00E24120">
              <w:rPr>
                <w:rFonts w:ascii="仿宋" w:eastAsia="仿宋" w:hAnsi="仿宋" w:hint="eastAsia"/>
                <w:color w:val="000000"/>
              </w:rPr>
              <w:t>12</w:t>
            </w:r>
          </w:p>
        </w:tc>
        <w:tc>
          <w:tcPr>
            <w:tcW w:w="586" w:type="dxa"/>
            <w:tcBorders>
              <w:top w:val="single" w:sz="8" w:space="0" w:color="000000"/>
              <w:left w:val="single" w:sz="8" w:space="0" w:color="000000"/>
              <w:bottom w:val="single" w:sz="8" w:space="0" w:color="000000"/>
              <w:right w:val="single" w:sz="8" w:space="0" w:color="000000"/>
            </w:tcBorders>
          </w:tcPr>
          <w:p w:rsidR="00E24120" w:rsidRPr="00E24120" w:rsidRDefault="00E24120" w:rsidP="00E24120">
            <w:pPr>
              <w:spacing w:line="300" w:lineRule="exact"/>
              <w:rPr>
                <w:rFonts w:ascii="仿宋" w:eastAsia="仿宋" w:hAnsi="仿宋" w:cs="方正仿宋简体"/>
                <w:color w:val="000000"/>
                <w:szCs w:val="21"/>
              </w:rPr>
            </w:pPr>
          </w:p>
        </w:tc>
      </w:tr>
      <w:tr w:rsidR="00E24120" w:rsidRPr="00E24120" w:rsidTr="00981A16">
        <w:trPr>
          <w:trHeight w:val="571"/>
        </w:trPr>
        <w:tc>
          <w:tcPr>
            <w:tcW w:w="1124" w:type="dxa"/>
            <w:vMerge w:val="restart"/>
            <w:tcBorders>
              <w:top w:val="single" w:sz="8" w:space="0" w:color="000000"/>
              <w:left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r w:rsidRPr="00E24120">
              <w:rPr>
                <w:rFonts w:ascii="仿宋" w:eastAsia="仿宋" w:hAnsi="仿宋" w:cs="黑体" w:hint="eastAsia"/>
                <w:color w:val="000000"/>
                <w:sz w:val="22"/>
              </w:rPr>
              <w:t>评估咨询</w:t>
            </w:r>
          </w:p>
        </w:tc>
        <w:tc>
          <w:tcPr>
            <w:tcW w:w="6586"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napToGrid w:val="0"/>
              <w:spacing w:line="240" w:lineRule="exact"/>
              <w:jc w:val="left"/>
              <w:rPr>
                <w:rFonts w:ascii="仿宋" w:eastAsia="仿宋" w:hAnsi="仿宋"/>
                <w:color w:val="000000"/>
              </w:rPr>
            </w:pPr>
            <w:r w:rsidRPr="00E24120">
              <w:rPr>
                <w:rFonts w:ascii="仿宋" w:eastAsia="仿宋" w:hAnsi="仿宋" w:hint="eastAsia"/>
                <w:color w:val="000000"/>
              </w:rPr>
              <w:t>政策落实</w:t>
            </w:r>
            <w:r w:rsidRPr="00E24120">
              <w:rPr>
                <w:rFonts w:ascii="仿宋" w:eastAsia="仿宋" w:hAnsi="仿宋"/>
                <w:color w:val="000000"/>
              </w:rPr>
              <w:t>情况、</w:t>
            </w:r>
            <w:r w:rsidRPr="00E24120">
              <w:rPr>
                <w:rFonts w:ascii="仿宋" w:eastAsia="仿宋" w:hAnsi="仿宋" w:hint="eastAsia"/>
                <w:color w:val="000000"/>
              </w:rPr>
              <w:t>问题</w:t>
            </w:r>
            <w:r w:rsidRPr="00E24120">
              <w:rPr>
                <w:rFonts w:ascii="仿宋" w:eastAsia="仿宋" w:hAnsi="仿宋"/>
                <w:color w:val="000000"/>
              </w:rPr>
              <w:t>原因及影响分析准确、深刻。分析透彻得</w:t>
            </w:r>
            <w:r w:rsidRPr="00E24120">
              <w:rPr>
                <w:rFonts w:ascii="仿宋" w:eastAsia="仿宋" w:hAnsi="仿宋" w:hint="eastAsia"/>
                <w:color w:val="000000"/>
              </w:rPr>
              <w:t>7</w:t>
            </w:r>
            <w:r w:rsidRPr="00E24120">
              <w:rPr>
                <w:rFonts w:ascii="仿宋" w:eastAsia="仿宋" w:hAnsi="仿宋"/>
                <w:color w:val="000000"/>
              </w:rPr>
              <w:t>—</w:t>
            </w:r>
            <w:r w:rsidRPr="00E24120">
              <w:rPr>
                <w:rFonts w:ascii="仿宋" w:eastAsia="仿宋" w:hAnsi="仿宋" w:hint="eastAsia"/>
                <w:color w:val="000000"/>
              </w:rPr>
              <w:t>10</w:t>
            </w:r>
            <w:r w:rsidRPr="00E24120">
              <w:rPr>
                <w:rFonts w:ascii="仿宋" w:eastAsia="仿宋" w:hAnsi="仿宋"/>
                <w:color w:val="000000"/>
              </w:rPr>
              <w:t>分，比较透彻得</w:t>
            </w:r>
            <w:r w:rsidRPr="00E24120">
              <w:rPr>
                <w:rFonts w:ascii="仿宋" w:eastAsia="仿宋" w:hAnsi="仿宋" w:hint="eastAsia"/>
                <w:color w:val="000000"/>
              </w:rPr>
              <w:t>3</w:t>
            </w:r>
            <w:r w:rsidRPr="00E24120">
              <w:rPr>
                <w:rFonts w:ascii="仿宋" w:eastAsia="仿宋" w:hAnsi="仿宋"/>
                <w:color w:val="000000"/>
              </w:rPr>
              <w:t>—</w:t>
            </w:r>
            <w:r w:rsidRPr="00E24120">
              <w:rPr>
                <w:rFonts w:ascii="仿宋" w:eastAsia="仿宋" w:hAnsi="仿宋" w:hint="eastAsia"/>
                <w:color w:val="000000"/>
              </w:rPr>
              <w:t>6</w:t>
            </w:r>
            <w:r w:rsidRPr="00E24120">
              <w:rPr>
                <w:rFonts w:ascii="仿宋" w:eastAsia="仿宋" w:hAnsi="仿宋"/>
                <w:color w:val="000000"/>
              </w:rPr>
              <w:t>分，不透彻得0分。</w:t>
            </w:r>
          </w:p>
        </w:tc>
        <w:tc>
          <w:tcPr>
            <w:tcW w:w="723"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olor w:val="000000"/>
              </w:rPr>
            </w:pPr>
            <w:r w:rsidRPr="00E24120">
              <w:rPr>
                <w:rFonts w:ascii="仿宋" w:eastAsia="仿宋" w:hAnsi="仿宋" w:hint="eastAsia"/>
                <w:color w:val="000000"/>
              </w:rPr>
              <w:t>10</w:t>
            </w:r>
          </w:p>
        </w:tc>
        <w:tc>
          <w:tcPr>
            <w:tcW w:w="586" w:type="dxa"/>
            <w:tcBorders>
              <w:top w:val="single" w:sz="8" w:space="0" w:color="000000"/>
              <w:left w:val="single" w:sz="8" w:space="0" w:color="000000"/>
              <w:bottom w:val="single" w:sz="8" w:space="0" w:color="000000"/>
              <w:right w:val="single" w:sz="8" w:space="0" w:color="000000"/>
            </w:tcBorders>
          </w:tcPr>
          <w:p w:rsidR="00E24120" w:rsidRPr="00E24120" w:rsidRDefault="00E24120" w:rsidP="00E24120">
            <w:pPr>
              <w:spacing w:line="300" w:lineRule="exact"/>
              <w:rPr>
                <w:rFonts w:ascii="仿宋" w:eastAsia="仿宋" w:hAnsi="仿宋" w:cs="方正仿宋简体"/>
                <w:color w:val="000000"/>
                <w:szCs w:val="21"/>
              </w:rPr>
            </w:pPr>
          </w:p>
        </w:tc>
      </w:tr>
      <w:tr w:rsidR="00E24120" w:rsidRPr="00E24120" w:rsidTr="00981A16">
        <w:trPr>
          <w:trHeight w:val="1224"/>
        </w:trPr>
        <w:tc>
          <w:tcPr>
            <w:tcW w:w="1124" w:type="dxa"/>
            <w:vMerge/>
            <w:tcBorders>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p>
        </w:tc>
        <w:tc>
          <w:tcPr>
            <w:tcW w:w="6586"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napToGrid w:val="0"/>
              <w:spacing w:line="240" w:lineRule="exact"/>
              <w:jc w:val="left"/>
              <w:rPr>
                <w:rFonts w:ascii="仿宋" w:eastAsia="仿宋" w:hAnsi="仿宋"/>
                <w:color w:val="000000"/>
              </w:rPr>
            </w:pPr>
            <w:r w:rsidRPr="00E24120">
              <w:rPr>
                <w:rFonts w:ascii="仿宋" w:eastAsia="仿宋" w:hAnsi="仿宋"/>
                <w:color w:val="000000"/>
              </w:rPr>
              <w:t>提出对策建议</w:t>
            </w:r>
            <w:r w:rsidRPr="00E24120">
              <w:rPr>
                <w:rFonts w:ascii="仿宋" w:eastAsia="仿宋" w:hAnsi="仿宋" w:hint="eastAsia"/>
                <w:color w:val="000000"/>
              </w:rPr>
              <w:t>能够</w:t>
            </w:r>
            <w:r w:rsidRPr="00E24120">
              <w:rPr>
                <w:rFonts w:ascii="仿宋" w:eastAsia="仿宋" w:hAnsi="仿宋"/>
                <w:color w:val="000000"/>
              </w:rPr>
              <w:t>与高新区工作</w:t>
            </w:r>
            <w:r w:rsidRPr="00E24120">
              <w:rPr>
                <w:rFonts w:ascii="仿宋" w:eastAsia="仿宋" w:hAnsi="仿宋" w:hint="eastAsia"/>
                <w:color w:val="000000"/>
              </w:rPr>
              <w:t>有较好</w:t>
            </w:r>
            <w:r w:rsidRPr="00E24120">
              <w:rPr>
                <w:rFonts w:ascii="仿宋" w:eastAsia="仿宋" w:hAnsi="仿宋"/>
                <w:color w:val="000000"/>
              </w:rPr>
              <w:t>衔接协调，方便转化为具体工作举措，易于操作，能够较好地指导工作实践。完全符合本项</w:t>
            </w:r>
            <w:r w:rsidRPr="00E24120">
              <w:rPr>
                <w:rFonts w:ascii="仿宋" w:eastAsia="仿宋" w:hAnsi="仿宋" w:hint="eastAsia"/>
                <w:color w:val="000000"/>
              </w:rPr>
              <w:t>目</w:t>
            </w:r>
            <w:r w:rsidRPr="00E24120">
              <w:rPr>
                <w:rFonts w:ascii="仿宋" w:eastAsia="仿宋" w:hAnsi="仿宋"/>
                <w:color w:val="000000"/>
              </w:rPr>
              <w:t>特点、可行性高的得</w:t>
            </w:r>
            <w:r w:rsidRPr="00E24120">
              <w:rPr>
                <w:rFonts w:ascii="仿宋" w:eastAsia="仿宋" w:hAnsi="仿宋" w:hint="eastAsia"/>
                <w:color w:val="000000"/>
              </w:rPr>
              <w:t>7</w:t>
            </w:r>
            <w:r w:rsidRPr="00E24120">
              <w:rPr>
                <w:rFonts w:ascii="仿宋" w:eastAsia="仿宋" w:hAnsi="仿宋"/>
                <w:color w:val="000000"/>
              </w:rPr>
              <w:t>—</w:t>
            </w:r>
            <w:r w:rsidRPr="00E24120">
              <w:rPr>
                <w:rFonts w:ascii="仿宋" w:eastAsia="仿宋" w:hAnsi="仿宋" w:hint="eastAsia"/>
                <w:color w:val="000000"/>
              </w:rPr>
              <w:t>10</w:t>
            </w:r>
            <w:r w:rsidRPr="00E24120">
              <w:rPr>
                <w:rFonts w:ascii="仿宋" w:eastAsia="仿宋" w:hAnsi="仿宋"/>
                <w:color w:val="000000"/>
              </w:rPr>
              <w:t>分﹔部分契合项</w:t>
            </w:r>
            <w:r w:rsidRPr="00E24120">
              <w:rPr>
                <w:rFonts w:ascii="仿宋" w:eastAsia="仿宋" w:hAnsi="仿宋" w:hint="eastAsia"/>
                <w:color w:val="000000"/>
              </w:rPr>
              <w:t>目</w:t>
            </w:r>
            <w:r w:rsidRPr="00E24120">
              <w:rPr>
                <w:rFonts w:ascii="仿宋" w:eastAsia="仿宋" w:hAnsi="仿宋"/>
                <w:color w:val="000000"/>
              </w:rPr>
              <w:t>特点、可行性一般的得</w:t>
            </w:r>
            <w:r w:rsidRPr="00E24120">
              <w:rPr>
                <w:rFonts w:ascii="仿宋" w:eastAsia="仿宋" w:hAnsi="仿宋" w:hint="eastAsia"/>
                <w:color w:val="000000"/>
              </w:rPr>
              <w:t>3</w:t>
            </w:r>
            <w:r w:rsidRPr="00E24120">
              <w:rPr>
                <w:rFonts w:ascii="仿宋" w:eastAsia="仿宋" w:hAnsi="仿宋"/>
                <w:color w:val="000000"/>
              </w:rPr>
              <w:t>—</w:t>
            </w:r>
            <w:r w:rsidRPr="00E24120">
              <w:rPr>
                <w:rFonts w:ascii="仿宋" w:eastAsia="仿宋" w:hAnsi="仿宋" w:hint="eastAsia"/>
                <w:color w:val="000000"/>
              </w:rPr>
              <w:t>6</w:t>
            </w:r>
            <w:r w:rsidRPr="00E24120">
              <w:rPr>
                <w:rFonts w:ascii="仿宋" w:eastAsia="仿宋" w:hAnsi="仿宋"/>
                <w:color w:val="000000"/>
              </w:rPr>
              <w:t>分;</w:t>
            </w:r>
            <w:proofErr w:type="gramStart"/>
            <w:r w:rsidRPr="00E24120">
              <w:rPr>
                <w:rFonts w:ascii="仿宋" w:eastAsia="仿宋" w:hAnsi="仿宋"/>
                <w:color w:val="000000"/>
              </w:rPr>
              <w:t>不</w:t>
            </w:r>
            <w:proofErr w:type="gramEnd"/>
            <w:r w:rsidRPr="00E24120">
              <w:rPr>
                <w:rFonts w:ascii="仿宋" w:eastAsia="仿宋" w:hAnsi="仿宋"/>
                <w:color w:val="000000"/>
              </w:rPr>
              <w:t>契合项</w:t>
            </w:r>
            <w:r w:rsidRPr="00E24120">
              <w:rPr>
                <w:rFonts w:ascii="仿宋" w:eastAsia="仿宋" w:hAnsi="仿宋" w:hint="eastAsia"/>
                <w:color w:val="000000"/>
              </w:rPr>
              <w:t>目</w:t>
            </w:r>
            <w:r w:rsidRPr="00E24120">
              <w:rPr>
                <w:rFonts w:ascii="仿宋" w:eastAsia="仿宋" w:hAnsi="仿宋"/>
                <w:color w:val="000000"/>
              </w:rPr>
              <w:t>特点、可行性较</w:t>
            </w:r>
            <w:r w:rsidRPr="00E24120">
              <w:rPr>
                <w:rFonts w:ascii="仿宋" w:eastAsia="仿宋" w:hAnsi="仿宋" w:hint="eastAsia"/>
                <w:color w:val="000000"/>
              </w:rPr>
              <w:t>差</w:t>
            </w:r>
            <w:r w:rsidRPr="00E24120">
              <w:rPr>
                <w:rFonts w:ascii="仿宋" w:eastAsia="仿宋" w:hAnsi="仿宋"/>
                <w:color w:val="000000"/>
              </w:rPr>
              <w:t>的得0分。</w:t>
            </w:r>
          </w:p>
        </w:tc>
        <w:tc>
          <w:tcPr>
            <w:tcW w:w="723"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olor w:val="000000"/>
              </w:rPr>
            </w:pPr>
            <w:r w:rsidRPr="00E24120">
              <w:rPr>
                <w:rFonts w:ascii="仿宋" w:eastAsia="仿宋" w:hAnsi="仿宋" w:hint="eastAsia"/>
                <w:color w:val="000000"/>
              </w:rPr>
              <w:t>10</w:t>
            </w:r>
          </w:p>
        </w:tc>
        <w:tc>
          <w:tcPr>
            <w:tcW w:w="586" w:type="dxa"/>
            <w:tcBorders>
              <w:top w:val="single" w:sz="8" w:space="0" w:color="000000"/>
              <w:left w:val="single" w:sz="8" w:space="0" w:color="000000"/>
              <w:bottom w:val="single" w:sz="8" w:space="0" w:color="000000"/>
              <w:right w:val="single" w:sz="8" w:space="0" w:color="000000"/>
            </w:tcBorders>
          </w:tcPr>
          <w:p w:rsidR="00E24120" w:rsidRPr="00E24120" w:rsidRDefault="00E24120" w:rsidP="00E24120">
            <w:pPr>
              <w:spacing w:line="300" w:lineRule="exact"/>
              <w:rPr>
                <w:rFonts w:ascii="仿宋" w:eastAsia="仿宋" w:hAnsi="仿宋" w:cs="方正仿宋简体"/>
                <w:color w:val="000000"/>
                <w:szCs w:val="21"/>
              </w:rPr>
            </w:pPr>
          </w:p>
        </w:tc>
      </w:tr>
      <w:tr w:rsidR="00E24120" w:rsidRPr="00E24120" w:rsidTr="00981A16">
        <w:trPr>
          <w:trHeight w:val="427"/>
        </w:trPr>
        <w:tc>
          <w:tcPr>
            <w:tcW w:w="1124"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r w:rsidRPr="00E24120">
              <w:rPr>
                <w:rFonts w:ascii="仿宋" w:eastAsia="仿宋" w:hAnsi="仿宋" w:cs="黑体" w:hint="eastAsia"/>
                <w:color w:val="000000"/>
                <w:sz w:val="22"/>
              </w:rPr>
              <w:t>解读咨询</w:t>
            </w:r>
          </w:p>
        </w:tc>
        <w:tc>
          <w:tcPr>
            <w:tcW w:w="6586"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napToGrid w:val="0"/>
              <w:spacing w:line="240" w:lineRule="exact"/>
              <w:jc w:val="left"/>
              <w:rPr>
                <w:rFonts w:ascii="仿宋" w:eastAsia="仿宋" w:hAnsi="仿宋"/>
                <w:color w:val="000000"/>
              </w:rPr>
            </w:pPr>
            <w:r w:rsidRPr="00E24120">
              <w:rPr>
                <w:rFonts w:ascii="仿宋" w:eastAsia="仿宋" w:hAnsi="仿宋" w:hint="eastAsia"/>
                <w:color w:val="000000"/>
              </w:rPr>
              <w:t>面向部门开展10场以上营商环境政策体系现场咨询，此项得满分，少1场扣5分，以此类推，单项扣完为止。</w:t>
            </w:r>
          </w:p>
        </w:tc>
        <w:tc>
          <w:tcPr>
            <w:tcW w:w="723"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olor w:val="000000"/>
              </w:rPr>
            </w:pPr>
            <w:r w:rsidRPr="00E24120">
              <w:rPr>
                <w:rFonts w:ascii="仿宋" w:eastAsia="仿宋" w:hAnsi="仿宋" w:hint="eastAsia"/>
                <w:color w:val="000000"/>
              </w:rPr>
              <w:t>15</w:t>
            </w:r>
          </w:p>
        </w:tc>
        <w:tc>
          <w:tcPr>
            <w:tcW w:w="586" w:type="dxa"/>
            <w:tcBorders>
              <w:top w:val="single" w:sz="8" w:space="0" w:color="000000"/>
              <w:left w:val="single" w:sz="8" w:space="0" w:color="000000"/>
              <w:bottom w:val="single" w:sz="8" w:space="0" w:color="000000"/>
              <w:right w:val="single" w:sz="8" w:space="0" w:color="000000"/>
            </w:tcBorders>
          </w:tcPr>
          <w:p w:rsidR="00E24120" w:rsidRPr="00E24120" w:rsidRDefault="00E24120" w:rsidP="00E24120">
            <w:pPr>
              <w:spacing w:line="300" w:lineRule="exact"/>
              <w:rPr>
                <w:rFonts w:ascii="仿宋" w:eastAsia="仿宋" w:hAnsi="仿宋" w:cs="方正仿宋简体"/>
                <w:color w:val="000000"/>
                <w:szCs w:val="21"/>
              </w:rPr>
            </w:pPr>
          </w:p>
        </w:tc>
      </w:tr>
      <w:tr w:rsidR="00E24120" w:rsidRPr="00E24120" w:rsidTr="00981A16">
        <w:trPr>
          <w:trHeight w:val="645"/>
        </w:trPr>
        <w:tc>
          <w:tcPr>
            <w:tcW w:w="1124"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r w:rsidRPr="00E24120">
              <w:rPr>
                <w:rFonts w:ascii="仿宋" w:eastAsia="仿宋" w:hAnsi="仿宋" w:cs="黑体" w:hint="eastAsia"/>
                <w:color w:val="000000"/>
                <w:sz w:val="22"/>
              </w:rPr>
              <w:t>过程管理</w:t>
            </w:r>
          </w:p>
        </w:tc>
        <w:tc>
          <w:tcPr>
            <w:tcW w:w="6586"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napToGrid w:val="0"/>
              <w:spacing w:line="240" w:lineRule="exact"/>
              <w:jc w:val="left"/>
              <w:rPr>
                <w:rFonts w:ascii="仿宋" w:eastAsia="仿宋" w:hAnsi="仿宋"/>
                <w:color w:val="000000"/>
              </w:rPr>
            </w:pPr>
            <w:r w:rsidRPr="00E24120">
              <w:rPr>
                <w:rFonts w:ascii="仿宋" w:eastAsia="仿宋" w:hAnsi="仿宋" w:hint="eastAsia"/>
                <w:color w:val="000000"/>
              </w:rPr>
              <w:t>服务</w:t>
            </w:r>
            <w:r w:rsidRPr="00E24120">
              <w:rPr>
                <w:rFonts w:ascii="仿宋" w:eastAsia="仿宋" w:hAnsi="仿宋"/>
                <w:color w:val="000000"/>
              </w:rPr>
              <w:t>团队针对本项目建立有效的项目质量控制和成果管理机制</w:t>
            </w:r>
            <w:r w:rsidRPr="00E24120">
              <w:rPr>
                <w:rFonts w:ascii="仿宋" w:eastAsia="仿宋" w:hAnsi="仿宋" w:hint="eastAsia"/>
                <w:color w:val="000000"/>
              </w:rPr>
              <w:t>，且</w:t>
            </w:r>
            <w:r w:rsidRPr="00E24120">
              <w:rPr>
                <w:rFonts w:ascii="仿宋" w:eastAsia="仿宋" w:hAnsi="仿宋"/>
                <w:color w:val="000000"/>
              </w:rPr>
              <w:t>项目过程中需开展不低于1次项目过程质量评审，及不低于1次项目成果质量评审</w:t>
            </w:r>
            <w:r w:rsidRPr="00E24120">
              <w:rPr>
                <w:rFonts w:ascii="仿宋" w:eastAsia="仿宋" w:hAnsi="仿宋" w:hint="eastAsia"/>
                <w:color w:val="000000"/>
              </w:rPr>
              <w:t>，此项得满分，未提供此项的不得分。</w:t>
            </w:r>
          </w:p>
        </w:tc>
        <w:tc>
          <w:tcPr>
            <w:tcW w:w="723"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olor w:val="000000"/>
              </w:rPr>
            </w:pPr>
            <w:r w:rsidRPr="00E24120">
              <w:rPr>
                <w:rFonts w:ascii="仿宋" w:eastAsia="仿宋" w:hAnsi="仿宋" w:hint="eastAsia"/>
                <w:color w:val="000000"/>
              </w:rPr>
              <w:t>10</w:t>
            </w:r>
          </w:p>
        </w:tc>
        <w:tc>
          <w:tcPr>
            <w:tcW w:w="586" w:type="dxa"/>
            <w:tcBorders>
              <w:top w:val="single" w:sz="8" w:space="0" w:color="000000"/>
              <w:left w:val="single" w:sz="8" w:space="0" w:color="000000"/>
              <w:bottom w:val="single" w:sz="8" w:space="0" w:color="000000"/>
              <w:right w:val="single" w:sz="8" w:space="0" w:color="000000"/>
            </w:tcBorders>
          </w:tcPr>
          <w:p w:rsidR="00E24120" w:rsidRPr="00E24120" w:rsidRDefault="00E24120" w:rsidP="00E24120">
            <w:pPr>
              <w:spacing w:line="300" w:lineRule="exact"/>
              <w:rPr>
                <w:rFonts w:ascii="仿宋" w:eastAsia="仿宋" w:hAnsi="仿宋" w:cs="方正仿宋简体"/>
                <w:color w:val="000000"/>
                <w:szCs w:val="21"/>
              </w:rPr>
            </w:pPr>
          </w:p>
        </w:tc>
      </w:tr>
      <w:tr w:rsidR="00E24120" w:rsidRPr="00E24120" w:rsidTr="00981A16">
        <w:trPr>
          <w:trHeight w:val="809"/>
        </w:trPr>
        <w:tc>
          <w:tcPr>
            <w:tcW w:w="1124"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r w:rsidRPr="00E24120">
              <w:rPr>
                <w:rFonts w:ascii="仿宋" w:eastAsia="仿宋" w:hAnsi="仿宋" w:cs="黑体" w:hint="eastAsia"/>
                <w:color w:val="000000"/>
                <w:sz w:val="22"/>
              </w:rPr>
              <w:t>项目成果</w:t>
            </w:r>
          </w:p>
        </w:tc>
        <w:tc>
          <w:tcPr>
            <w:tcW w:w="6586"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napToGrid w:val="0"/>
              <w:spacing w:line="240" w:lineRule="exact"/>
              <w:jc w:val="left"/>
              <w:rPr>
                <w:rFonts w:ascii="仿宋" w:eastAsia="仿宋" w:hAnsi="仿宋"/>
                <w:color w:val="000000"/>
              </w:rPr>
            </w:pPr>
            <w:r w:rsidRPr="00E24120">
              <w:rPr>
                <w:rFonts w:ascii="仿宋" w:eastAsia="仿宋" w:hAnsi="仿宋" w:hint="eastAsia"/>
                <w:color w:val="000000"/>
              </w:rPr>
              <w:t>提供竞争性磋商文件、供应商响应文件、采购合同约定的完整、齐备、高质量项目成果，</w:t>
            </w:r>
            <w:proofErr w:type="gramStart"/>
            <w:r w:rsidRPr="00E24120">
              <w:rPr>
                <w:rFonts w:ascii="仿宋" w:eastAsia="仿宋" w:hAnsi="仿宋" w:hint="eastAsia"/>
                <w:color w:val="000000"/>
              </w:rPr>
              <w:t>并成果</w:t>
            </w:r>
            <w:proofErr w:type="gramEnd"/>
            <w:r w:rsidRPr="00E24120">
              <w:rPr>
                <w:rFonts w:ascii="仿宋" w:eastAsia="仿宋" w:hAnsi="仿宋" w:hint="eastAsia"/>
                <w:color w:val="000000"/>
              </w:rPr>
              <w:t>作为会议材料印发或转化为政策应用等，此项得8</w:t>
            </w:r>
            <w:r w:rsidRPr="00E24120">
              <w:rPr>
                <w:rFonts w:ascii="仿宋" w:eastAsia="仿宋" w:hAnsi="仿宋"/>
                <w:color w:val="000000"/>
              </w:rPr>
              <w:t>—</w:t>
            </w:r>
            <w:r w:rsidRPr="00E24120">
              <w:rPr>
                <w:rFonts w:ascii="仿宋" w:eastAsia="仿宋" w:hAnsi="仿宋" w:hint="eastAsia"/>
                <w:color w:val="000000"/>
              </w:rPr>
              <w:t>15分；项目成果完整、齐备，质量及可行性一般，此项得0-7分。</w:t>
            </w:r>
          </w:p>
        </w:tc>
        <w:tc>
          <w:tcPr>
            <w:tcW w:w="723"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olor w:val="000000"/>
              </w:rPr>
            </w:pPr>
            <w:r w:rsidRPr="00E24120">
              <w:rPr>
                <w:rFonts w:ascii="仿宋" w:eastAsia="仿宋" w:hAnsi="仿宋" w:hint="eastAsia"/>
                <w:color w:val="000000"/>
              </w:rPr>
              <w:t>15</w:t>
            </w:r>
          </w:p>
        </w:tc>
        <w:tc>
          <w:tcPr>
            <w:tcW w:w="586" w:type="dxa"/>
            <w:tcBorders>
              <w:top w:val="single" w:sz="8" w:space="0" w:color="000000"/>
              <w:left w:val="single" w:sz="8" w:space="0" w:color="000000"/>
              <w:bottom w:val="single" w:sz="8" w:space="0" w:color="000000"/>
              <w:right w:val="single" w:sz="8" w:space="0" w:color="000000"/>
            </w:tcBorders>
          </w:tcPr>
          <w:p w:rsidR="00E24120" w:rsidRPr="00E24120" w:rsidRDefault="00E24120" w:rsidP="00E24120">
            <w:pPr>
              <w:spacing w:line="300" w:lineRule="exact"/>
              <w:rPr>
                <w:rFonts w:ascii="仿宋" w:eastAsia="仿宋" w:hAnsi="仿宋" w:cs="方正仿宋简体"/>
                <w:color w:val="000000"/>
                <w:szCs w:val="21"/>
              </w:rPr>
            </w:pPr>
          </w:p>
        </w:tc>
      </w:tr>
      <w:tr w:rsidR="00E24120" w:rsidRPr="00E24120" w:rsidTr="00981A16">
        <w:trPr>
          <w:trHeight w:val="244"/>
        </w:trPr>
        <w:tc>
          <w:tcPr>
            <w:tcW w:w="1124" w:type="dxa"/>
            <w:vMerge w:val="restart"/>
            <w:tcBorders>
              <w:top w:val="single" w:sz="8" w:space="0" w:color="000000"/>
              <w:left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r w:rsidRPr="00E24120">
              <w:rPr>
                <w:rFonts w:ascii="仿宋" w:eastAsia="仿宋" w:hAnsi="仿宋" w:cs="黑体" w:hint="eastAsia"/>
                <w:color w:val="000000"/>
                <w:sz w:val="22"/>
              </w:rPr>
              <w:t>服务能力</w:t>
            </w:r>
          </w:p>
        </w:tc>
        <w:tc>
          <w:tcPr>
            <w:tcW w:w="6586" w:type="dxa"/>
            <w:tcBorders>
              <w:top w:val="single" w:sz="8" w:space="0" w:color="000000"/>
              <w:left w:val="single" w:sz="8" w:space="0" w:color="000000"/>
              <w:bottom w:val="single" w:sz="4" w:space="0" w:color="auto"/>
              <w:right w:val="single" w:sz="8" w:space="0" w:color="000000"/>
            </w:tcBorders>
            <w:vAlign w:val="center"/>
          </w:tcPr>
          <w:p w:rsidR="00E24120" w:rsidRPr="00E24120" w:rsidRDefault="00E24120" w:rsidP="00E24120">
            <w:pPr>
              <w:snapToGrid w:val="0"/>
              <w:spacing w:line="240" w:lineRule="exact"/>
              <w:jc w:val="left"/>
              <w:rPr>
                <w:rFonts w:ascii="仿宋" w:eastAsia="仿宋" w:hAnsi="仿宋"/>
                <w:color w:val="000000"/>
              </w:rPr>
            </w:pPr>
            <w:r w:rsidRPr="00E24120">
              <w:rPr>
                <w:rFonts w:ascii="仿宋" w:eastAsia="仿宋" w:hAnsi="仿宋"/>
                <w:color w:val="000000"/>
              </w:rPr>
              <w:t>服务团队组建数量不足</w:t>
            </w:r>
            <w:r w:rsidRPr="00E24120">
              <w:rPr>
                <w:rFonts w:ascii="仿宋" w:eastAsia="仿宋" w:hAnsi="仿宋" w:hint="eastAsia"/>
                <w:color w:val="000000"/>
              </w:rPr>
              <w:t>，低于10人的</w:t>
            </w:r>
            <w:r w:rsidRPr="00E24120">
              <w:rPr>
                <w:rFonts w:ascii="仿宋" w:eastAsia="仿宋" w:hAnsi="仿宋"/>
                <w:color w:val="000000"/>
              </w:rPr>
              <w:t>，此项不得分</w:t>
            </w:r>
            <w:r w:rsidRPr="00E24120">
              <w:rPr>
                <w:rFonts w:ascii="仿宋" w:eastAsia="仿宋" w:hAnsi="仿宋" w:hint="eastAsia"/>
                <w:color w:val="000000"/>
              </w:rPr>
              <w:t>。</w:t>
            </w:r>
          </w:p>
        </w:tc>
        <w:tc>
          <w:tcPr>
            <w:tcW w:w="723" w:type="dxa"/>
            <w:tcBorders>
              <w:top w:val="single" w:sz="8" w:space="0" w:color="000000"/>
              <w:left w:val="single" w:sz="8" w:space="0" w:color="000000"/>
              <w:bottom w:val="single" w:sz="4" w:space="0" w:color="auto"/>
              <w:right w:val="single" w:sz="8" w:space="0" w:color="000000"/>
            </w:tcBorders>
            <w:vAlign w:val="center"/>
          </w:tcPr>
          <w:p w:rsidR="00E24120" w:rsidRPr="00E24120" w:rsidRDefault="00E24120" w:rsidP="00E24120">
            <w:pPr>
              <w:spacing w:line="300" w:lineRule="exact"/>
              <w:jc w:val="center"/>
              <w:rPr>
                <w:rFonts w:ascii="仿宋" w:eastAsia="仿宋" w:hAnsi="仿宋"/>
                <w:color w:val="000000"/>
              </w:rPr>
            </w:pPr>
            <w:r w:rsidRPr="00E24120">
              <w:rPr>
                <w:rFonts w:ascii="仿宋" w:eastAsia="仿宋" w:hAnsi="仿宋" w:hint="eastAsia"/>
                <w:color w:val="000000"/>
              </w:rPr>
              <w:t>6</w:t>
            </w:r>
          </w:p>
        </w:tc>
        <w:tc>
          <w:tcPr>
            <w:tcW w:w="586" w:type="dxa"/>
            <w:tcBorders>
              <w:top w:val="single" w:sz="8" w:space="0" w:color="000000"/>
              <w:left w:val="single" w:sz="8" w:space="0" w:color="000000"/>
              <w:right w:val="single" w:sz="8" w:space="0" w:color="000000"/>
            </w:tcBorders>
          </w:tcPr>
          <w:p w:rsidR="00E24120" w:rsidRPr="00E24120" w:rsidRDefault="00E24120" w:rsidP="00E24120">
            <w:pPr>
              <w:spacing w:line="300" w:lineRule="exact"/>
              <w:rPr>
                <w:rFonts w:ascii="仿宋" w:eastAsia="仿宋" w:hAnsi="仿宋" w:cs="方正仿宋简体"/>
                <w:color w:val="000000"/>
                <w:szCs w:val="21"/>
              </w:rPr>
            </w:pPr>
          </w:p>
        </w:tc>
      </w:tr>
      <w:tr w:rsidR="00E24120" w:rsidRPr="00E24120" w:rsidTr="00981A16">
        <w:trPr>
          <w:trHeight w:val="579"/>
        </w:trPr>
        <w:tc>
          <w:tcPr>
            <w:tcW w:w="1124" w:type="dxa"/>
            <w:vMerge/>
            <w:tcBorders>
              <w:left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s="黑体"/>
                <w:color w:val="000000"/>
                <w:sz w:val="22"/>
              </w:rPr>
            </w:pPr>
          </w:p>
        </w:tc>
        <w:tc>
          <w:tcPr>
            <w:tcW w:w="6586" w:type="dxa"/>
            <w:tcBorders>
              <w:top w:val="single" w:sz="4" w:space="0" w:color="auto"/>
              <w:left w:val="single" w:sz="8" w:space="0" w:color="000000"/>
              <w:bottom w:val="single" w:sz="8" w:space="0" w:color="000000"/>
              <w:right w:val="single" w:sz="8" w:space="0" w:color="000000"/>
            </w:tcBorders>
            <w:vAlign w:val="center"/>
          </w:tcPr>
          <w:p w:rsidR="00E24120" w:rsidRPr="00E24120" w:rsidRDefault="00E24120" w:rsidP="00E24120">
            <w:pPr>
              <w:snapToGrid w:val="0"/>
              <w:spacing w:line="240" w:lineRule="exact"/>
              <w:jc w:val="left"/>
              <w:rPr>
                <w:rFonts w:ascii="仿宋" w:eastAsia="仿宋" w:hAnsi="仿宋"/>
                <w:color w:val="000000"/>
              </w:rPr>
            </w:pPr>
            <w:r w:rsidRPr="00E24120">
              <w:rPr>
                <w:rFonts w:ascii="仿宋" w:eastAsia="仿宋" w:hAnsi="仿宋"/>
                <w:color w:val="000000"/>
              </w:rPr>
              <w:t>服务团队人员工作能力</w:t>
            </w:r>
            <w:r w:rsidRPr="00E24120">
              <w:rPr>
                <w:rFonts w:ascii="仿宋" w:eastAsia="仿宋" w:hAnsi="仿宋" w:hint="eastAsia"/>
                <w:color w:val="000000"/>
              </w:rPr>
              <w:t>不足，未</w:t>
            </w:r>
            <w:proofErr w:type="gramStart"/>
            <w:r w:rsidRPr="00E24120">
              <w:rPr>
                <w:rFonts w:ascii="仿宋" w:eastAsia="仿宋" w:hAnsi="仿宋" w:hint="eastAsia"/>
                <w:color w:val="000000"/>
              </w:rPr>
              <w:t>达到磋商</w:t>
            </w:r>
            <w:proofErr w:type="gramEnd"/>
            <w:r w:rsidRPr="00E24120">
              <w:rPr>
                <w:rFonts w:ascii="仿宋" w:eastAsia="仿宋" w:hAnsi="仿宋" w:hint="eastAsia"/>
                <w:color w:val="000000"/>
              </w:rPr>
              <w:t>文件要求</w:t>
            </w:r>
            <w:r w:rsidRPr="00E24120">
              <w:rPr>
                <w:rFonts w:ascii="仿宋" w:eastAsia="仿宋" w:hAnsi="仿宋"/>
                <w:color w:val="000000"/>
              </w:rPr>
              <w:t>，供应商未及时调整的，采购人主动沟通一次扣2分，依此类推，单项扣完为止</w:t>
            </w:r>
            <w:r w:rsidRPr="00E24120">
              <w:rPr>
                <w:rFonts w:ascii="仿宋" w:eastAsia="仿宋" w:hAnsi="仿宋" w:hint="eastAsia"/>
                <w:color w:val="000000"/>
              </w:rPr>
              <w:t>。</w:t>
            </w:r>
          </w:p>
        </w:tc>
        <w:tc>
          <w:tcPr>
            <w:tcW w:w="723" w:type="dxa"/>
            <w:tcBorders>
              <w:top w:val="single" w:sz="4" w:space="0" w:color="auto"/>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olor w:val="000000"/>
              </w:rPr>
            </w:pPr>
            <w:r w:rsidRPr="00E24120">
              <w:rPr>
                <w:rFonts w:ascii="仿宋" w:eastAsia="仿宋" w:hAnsi="仿宋" w:hint="eastAsia"/>
                <w:color w:val="000000"/>
              </w:rPr>
              <w:t>8</w:t>
            </w:r>
          </w:p>
        </w:tc>
        <w:tc>
          <w:tcPr>
            <w:tcW w:w="586" w:type="dxa"/>
            <w:tcBorders>
              <w:left w:val="single" w:sz="8" w:space="0" w:color="000000"/>
              <w:bottom w:val="single" w:sz="8" w:space="0" w:color="000000"/>
              <w:right w:val="single" w:sz="8" w:space="0" w:color="000000"/>
            </w:tcBorders>
          </w:tcPr>
          <w:p w:rsidR="00E24120" w:rsidRPr="00E24120" w:rsidRDefault="00E24120" w:rsidP="00E24120">
            <w:pPr>
              <w:spacing w:line="300" w:lineRule="exact"/>
              <w:rPr>
                <w:rFonts w:ascii="仿宋" w:eastAsia="仿宋" w:hAnsi="仿宋" w:cs="方正仿宋简体"/>
                <w:color w:val="000000"/>
                <w:szCs w:val="21"/>
              </w:rPr>
            </w:pPr>
          </w:p>
        </w:tc>
      </w:tr>
      <w:tr w:rsidR="00E24120" w:rsidRPr="00E24120" w:rsidTr="00981A16">
        <w:trPr>
          <w:trHeight w:val="315"/>
        </w:trPr>
        <w:tc>
          <w:tcPr>
            <w:tcW w:w="1124" w:type="dxa"/>
            <w:vMerge/>
            <w:tcBorders>
              <w:left w:val="single" w:sz="8" w:space="0" w:color="000000"/>
              <w:bottom w:val="single" w:sz="8" w:space="0" w:color="000000"/>
              <w:right w:val="single" w:sz="8" w:space="0" w:color="000000"/>
            </w:tcBorders>
            <w:vAlign w:val="center"/>
          </w:tcPr>
          <w:p w:rsidR="00E24120" w:rsidRPr="00E24120" w:rsidRDefault="00E24120" w:rsidP="00E24120">
            <w:pPr>
              <w:spacing w:line="320" w:lineRule="exact"/>
              <w:jc w:val="center"/>
              <w:rPr>
                <w:rFonts w:ascii="仿宋" w:eastAsia="仿宋" w:hAnsi="仿宋" w:cs="黑体"/>
                <w:color w:val="000000"/>
                <w:sz w:val="22"/>
              </w:rPr>
            </w:pPr>
          </w:p>
        </w:tc>
        <w:tc>
          <w:tcPr>
            <w:tcW w:w="6586"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240" w:lineRule="exact"/>
              <w:jc w:val="left"/>
              <w:rPr>
                <w:rFonts w:ascii="仿宋" w:eastAsia="仿宋" w:hAnsi="仿宋"/>
                <w:color w:val="000000"/>
              </w:rPr>
            </w:pPr>
            <w:r w:rsidRPr="00E24120">
              <w:rPr>
                <w:rFonts w:ascii="仿宋" w:eastAsia="仿宋" w:hAnsi="仿宋" w:hint="eastAsia"/>
                <w:color w:val="000000"/>
              </w:rPr>
              <w:t>提供本地化服务，此项得满分，未提供此项的不得分。</w:t>
            </w:r>
          </w:p>
        </w:tc>
        <w:tc>
          <w:tcPr>
            <w:tcW w:w="723"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olor w:val="000000"/>
              </w:rPr>
            </w:pPr>
            <w:r w:rsidRPr="00E24120">
              <w:rPr>
                <w:rFonts w:ascii="仿宋" w:eastAsia="仿宋" w:hAnsi="仿宋" w:hint="eastAsia"/>
                <w:color w:val="000000"/>
              </w:rPr>
              <w:t>8</w:t>
            </w:r>
          </w:p>
        </w:tc>
        <w:tc>
          <w:tcPr>
            <w:tcW w:w="586" w:type="dxa"/>
            <w:tcBorders>
              <w:top w:val="single" w:sz="8" w:space="0" w:color="000000"/>
              <w:left w:val="single" w:sz="8" w:space="0" w:color="000000"/>
              <w:bottom w:val="single" w:sz="8" w:space="0" w:color="000000"/>
              <w:right w:val="single" w:sz="8" w:space="0" w:color="000000"/>
            </w:tcBorders>
          </w:tcPr>
          <w:p w:rsidR="00E24120" w:rsidRPr="00E24120" w:rsidRDefault="00E24120" w:rsidP="00E24120">
            <w:pPr>
              <w:spacing w:line="300" w:lineRule="exact"/>
              <w:rPr>
                <w:rFonts w:ascii="仿宋" w:eastAsia="仿宋" w:hAnsi="仿宋" w:cs="方正仿宋简体"/>
                <w:color w:val="000000"/>
                <w:szCs w:val="21"/>
              </w:rPr>
            </w:pPr>
          </w:p>
        </w:tc>
      </w:tr>
      <w:tr w:rsidR="00E24120" w:rsidRPr="00E24120" w:rsidTr="00981A16">
        <w:trPr>
          <w:trHeight w:val="192"/>
        </w:trPr>
        <w:tc>
          <w:tcPr>
            <w:tcW w:w="7710" w:type="dxa"/>
            <w:gridSpan w:val="2"/>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20" w:lineRule="exact"/>
              <w:jc w:val="center"/>
              <w:rPr>
                <w:rFonts w:ascii="仿宋" w:eastAsia="仿宋" w:hAnsi="仿宋"/>
                <w:color w:val="000000"/>
              </w:rPr>
            </w:pPr>
            <w:r w:rsidRPr="00E24120">
              <w:rPr>
                <w:rFonts w:ascii="仿宋" w:eastAsia="仿宋" w:hAnsi="仿宋" w:cs="黑体" w:hint="eastAsia"/>
                <w:color w:val="000000"/>
                <w:sz w:val="22"/>
              </w:rPr>
              <w:t>总分</w:t>
            </w:r>
          </w:p>
        </w:tc>
        <w:tc>
          <w:tcPr>
            <w:tcW w:w="723" w:type="dxa"/>
            <w:tcBorders>
              <w:top w:val="single" w:sz="8" w:space="0" w:color="000000"/>
              <w:left w:val="single" w:sz="8" w:space="0" w:color="000000"/>
              <w:bottom w:val="single" w:sz="8" w:space="0" w:color="000000"/>
              <w:right w:val="single" w:sz="8" w:space="0" w:color="000000"/>
            </w:tcBorders>
            <w:vAlign w:val="center"/>
          </w:tcPr>
          <w:p w:rsidR="00E24120" w:rsidRPr="00E24120" w:rsidRDefault="00E24120" w:rsidP="00E24120">
            <w:pPr>
              <w:spacing w:line="300" w:lineRule="exact"/>
              <w:jc w:val="center"/>
              <w:rPr>
                <w:rFonts w:ascii="仿宋" w:eastAsia="仿宋" w:hAnsi="仿宋"/>
                <w:color w:val="000000"/>
              </w:rPr>
            </w:pPr>
            <w:r w:rsidRPr="00E24120">
              <w:rPr>
                <w:rFonts w:ascii="仿宋" w:eastAsia="仿宋" w:hAnsi="仿宋" w:hint="eastAsia"/>
                <w:color w:val="000000"/>
              </w:rPr>
              <w:t>100</w:t>
            </w:r>
          </w:p>
        </w:tc>
        <w:tc>
          <w:tcPr>
            <w:tcW w:w="586" w:type="dxa"/>
            <w:tcBorders>
              <w:top w:val="single" w:sz="8" w:space="0" w:color="000000"/>
              <w:left w:val="single" w:sz="8" w:space="0" w:color="000000"/>
              <w:bottom w:val="single" w:sz="8" w:space="0" w:color="000000"/>
              <w:right w:val="single" w:sz="8" w:space="0" w:color="000000"/>
            </w:tcBorders>
          </w:tcPr>
          <w:p w:rsidR="00E24120" w:rsidRPr="00E24120" w:rsidRDefault="00E24120" w:rsidP="00E24120">
            <w:pPr>
              <w:spacing w:line="300" w:lineRule="exact"/>
              <w:rPr>
                <w:rFonts w:ascii="仿宋" w:eastAsia="仿宋" w:hAnsi="仿宋" w:cs="方正仿宋简体"/>
                <w:color w:val="000000"/>
                <w:szCs w:val="21"/>
              </w:rPr>
            </w:pPr>
          </w:p>
        </w:tc>
      </w:tr>
    </w:tbl>
    <w:p w:rsidR="00E24120" w:rsidRPr="00E24120" w:rsidRDefault="00E24120" w:rsidP="00E24120">
      <w:pPr>
        <w:spacing w:line="400" w:lineRule="exact"/>
        <w:rPr>
          <w:rFonts w:ascii="仿宋" w:eastAsia="仿宋" w:hAnsi="仿宋" w:cs="Times New Roman"/>
          <w:bCs/>
          <w:sz w:val="24"/>
          <w:szCs w:val="24"/>
        </w:rPr>
      </w:pPr>
      <w:r w:rsidRPr="00E24120">
        <w:rPr>
          <w:rFonts w:ascii="仿宋" w:eastAsia="仿宋" w:hAnsi="仿宋" w:cs="Times New Roman"/>
          <w:bCs/>
          <w:sz w:val="24"/>
          <w:szCs w:val="24"/>
        </w:rPr>
        <w:t>评分说明</w:t>
      </w:r>
      <w:r w:rsidRPr="00E24120">
        <w:rPr>
          <w:rFonts w:ascii="仿宋" w:eastAsia="仿宋" w:hAnsi="仿宋" w:cs="Times New Roman" w:hint="eastAsia"/>
          <w:bCs/>
          <w:sz w:val="24"/>
          <w:szCs w:val="24"/>
        </w:rPr>
        <w:t>：</w:t>
      </w:r>
      <w:r w:rsidRPr="00E24120">
        <w:rPr>
          <w:rFonts w:ascii="仿宋" w:eastAsia="仿宋" w:hAnsi="仿宋" w:cs="Times New Roman"/>
          <w:bCs/>
          <w:sz w:val="24"/>
          <w:szCs w:val="24"/>
        </w:rPr>
        <w:t>60分以下为验收不合格，61—80分为</w:t>
      </w:r>
      <w:r w:rsidRPr="00E24120">
        <w:rPr>
          <w:rFonts w:ascii="仿宋" w:eastAsia="仿宋" w:hAnsi="仿宋" w:cs="Times New Roman" w:hint="eastAsia"/>
          <w:bCs/>
          <w:sz w:val="24"/>
          <w:szCs w:val="24"/>
        </w:rPr>
        <w:t>完善后通过</w:t>
      </w:r>
      <w:r w:rsidRPr="00E24120">
        <w:rPr>
          <w:rFonts w:ascii="仿宋" w:eastAsia="仿宋" w:hAnsi="仿宋" w:cs="Times New Roman"/>
          <w:bCs/>
          <w:sz w:val="24"/>
          <w:szCs w:val="24"/>
        </w:rPr>
        <w:t>，81</w:t>
      </w:r>
      <w:r w:rsidRPr="00E24120">
        <w:rPr>
          <w:rFonts w:ascii="仿宋" w:eastAsia="仿宋" w:hAnsi="仿宋" w:cs="Times New Roman" w:hint="eastAsia"/>
          <w:bCs/>
          <w:sz w:val="24"/>
          <w:szCs w:val="24"/>
        </w:rPr>
        <w:t>—100</w:t>
      </w:r>
      <w:r w:rsidRPr="00E24120">
        <w:rPr>
          <w:rFonts w:ascii="仿宋" w:eastAsia="仿宋" w:hAnsi="仿宋" w:cs="Times New Roman"/>
          <w:bCs/>
          <w:sz w:val="24"/>
          <w:szCs w:val="24"/>
        </w:rPr>
        <w:t>分为</w:t>
      </w:r>
      <w:r w:rsidRPr="00E24120">
        <w:rPr>
          <w:rFonts w:ascii="仿宋" w:eastAsia="仿宋" w:hAnsi="仿宋" w:cs="Times New Roman" w:hint="eastAsia"/>
          <w:bCs/>
          <w:sz w:val="24"/>
          <w:szCs w:val="24"/>
        </w:rPr>
        <w:t>通过验收</w:t>
      </w:r>
      <w:r w:rsidRPr="00E24120">
        <w:rPr>
          <w:rFonts w:ascii="仿宋" w:eastAsia="仿宋" w:hAnsi="仿宋" w:cs="Times New Roman"/>
          <w:bCs/>
          <w:sz w:val="24"/>
          <w:szCs w:val="24"/>
        </w:rPr>
        <w:t>。</w:t>
      </w:r>
    </w:p>
    <w:p w:rsidR="004348B7" w:rsidRPr="00E24120" w:rsidRDefault="00E24120" w:rsidP="00E24120">
      <w:bookmarkStart w:id="0" w:name="_GoBack"/>
      <w:bookmarkEnd w:id="0"/>
      <w:r w:rsidRPr="00E24120">
        <w:rPr>
          <w:rFonts w:ascii="仿宋" w:eastAsia="仿宋" w:hAnsi="仿宋" w:cs="Times New Roman"/>
          <w:sz w:val="24"/>
          <w:szCs w:val="24"/>
        </w:rPr>
        <w:br w:type="page"/>
      </w:r>
    </w:p>
    <w:sectPr w:rsidR="004348B7" w:rsidRPr="00E241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20" w:rsidRDefault="00E24120" w:rsidP="00E24120">
      <w:r>
        <w:separator/>
      </w:r>
    </w:p>
  </w:endnote>
  <w:endnote w:type="continuationSeparator" w:id="0">
    <w:p w:rsidR="00E24120" w:rsidRDefault="00E24120" w:rsidP="00E2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20" w:rsidRDefault="00E24120" w:rsidP="00E24120">
      <w:r>
        <w:separator/>
      </w:r>
    </w:p>
  </w:footnote>
  <w:footnote w:type="continuationSeparator" w:id="0">
    <w:p w:rsidR="00E24120" w:rsidRDefault="00E24120" w:rsidP="00E24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46"/>
    <w:rsid w:val="004348B7"/>
    <w:rsid w:val="004B4246"/>
    <w:rsid w:val="00E24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1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120"/>
    <w:rPr>
      <w:sz w:val="18"/>
      <w:szCs w:val="18"/>
    </w:rPr>
  </w:style>
  <w:style w:type="paragraph" w:styleId="a4">
    <w:name w:val="footer"/>
    <w:basedOn w:val="a"/>
    <w:link w:val="Char0"/>
    <w:uiPriority w:val="99"/>
    <w:unhideWhenUsed/>
    <w:rsid w:val="00E24120"/>
    <w:pPr>
      <w:tabs>
        <w:tab w:val="center" w:pos="4153"/>
        <w:tab w:val="right" w:pos="8306"/>
      </w:tabs>
      <w:snapToGrid w:val="0"/>
      <w:jc w:val="left"/>
    </w:pPr>
    <w:rPr>
      <w:sz w:val="18"/>
      <w:szCs w:val="18"/>
    </w:rPr>
  </w:style>
  <w:style w:type="character" w:customStyle="1" w:styleId="Char0">
    <w:name w:val="页脚 Char"/>
    <w:basedOn w:val="a0"/>
    <w:link w:val="a4"/>
    <w:uiPriority w:val="99"/>
    <w:rsid w:val="00E24120"/>
    <w:rPr>
      <w:sz w:val="18"/>
      <w:szCs w:val="18"/>
    </w:rPr>
  </w:style>
  <w:style w:type="table" w:styleId="a5">
    <w:name w:val="Table Grid"/>
    <w:basedOn w:val="a1"/>
    <w:uiPriority w:val="59"/>
    <w:qFormat/>
    <w:rsid w:val="00E2412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1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120"/>
    <w:rPr>
      <w:sz w:val="18"/>
      <w:szCs w:val="18"/>
    </w:rPr>
  </w:style>
  <w:style w:type="paragraph" w:styleId="a4">
    <w:name w:val="footer"/>
    <w:basedOn w:val="a"/>
    <w:link w:val="Char0"/>
    <w:uiPriority w:val="99"/>
    <w:unhideWhenUsed/>
    <w:rsid w:val="00E24120"/>
    <w:pPr>
      <w:tabs>
        <w:tab w:val="center" w:pos="4153"/>
        <w:tab w:val="right" w:pos="8306"/>
      </w:tabs>
      <w:snapToGrid w:val="0"/>
      <w:jc w:val="left"/>
    </w:pPr>
    <w:rPr>
      <w:sz w:val="18"/>
      <w:szCs w:val="18"/>
    </w:rPr>
  </w:style>
  <w:style w:type="character" w:customStyle="1" w:styleId="Char0">
    <w:name w:val="页脚 Char"/>
    <w:basedOn w:val="a0"/>
    <w:link w:val="a4"/>
    <w:uiPriority w:val="99"/>
    <w:rsid w:val="00E24120"/>
    <w:rPr>
      <w:sz w:val="18"/>
      <w:szCs w:val="18"/>
    </w:rPr>
  </w:style>
  <w:style w:type="table" w:styleId="a5">
    <w:name w:val="Table Grid"/>
    <w:basedOn w:val="a1"/>
    <w:uiPriority w:val="59"/>
    <w:qFormat/>
    <w:rsid w:val="00E2412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nUQNlKbwinrlvTmTnpujecO9S6DRzPH5vczFAWRDjwuc6O-W4jXm3cfJY8LZtE-dZor6pLTl_yiO7MPSS3SeV8LOk8yK8iTyFL4b46-GIl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480</Words>
  <Characters>2738</Characters>
  <Application>Microsoft Office Word</Application>
  <DocSecurity>0</DocSecurity>
  <Lines>22</Lines>
  <Paragraphs>6</Paragraphs>
  <ScaleCrop>false</ScaleCrop>
  <Company>china</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2021-07-20T07:32:00Z</dcterms:created>
  <dcterms:modified xsi:type="dcterms:W3CDTF">2021-07-20T07:33:00Z</dcterms:modified>
</cp:coreProperties>
</file>