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B77" w:rsidRPr="00C11B77" w:rsidRDefault="00C11B77" w:rsidP="00C11B77">
      <w:pPr>
        <w:pStyle w:val="1"/>
        <w:rPr>
          <w:rFonts w:ascii="仿宋" w:eastAsia="仿宋" w:hAnsi="仿宋"/>
          <w:color w:val="000000" w:themeColor="text1"/>
          <w:sz w:val="36"/>
          <w:szCs w:val="36"/>
        </w:rPr>
      </w:pPr>
      <w:bookmarkStart w:id="0" w:name="_Toc2122"/>
      <w:bookmarkStart w:id="1" w:name="_Toc217446093"/>
      <w:r w:rsidRPr="00C11B77">
        <w:rPr>
          <w:rFonts w:ascii="仿宋" w:eastAsia="仿宋" w:hAnsi="仿宋" w:hint="eastAsia"/>
          <w:color w:val="000000" w:themeColor="text1"/>
          <w:sz w:val="36"/>
          <w:szCs w:val="36"/>
        </w:rPr>
        <w:t>第六章</w:t>
      </w:r>
      <w:r w:rsidRPr="00C11B77">
        <w:rPr>
          <w:rFonts w:ascii="仿宋" w:eastAsia="仿宋" w:hAnsi="仿宋"/>
          <w:color w:val="000000" w:themeColor="text1"/>
          <w:sz w:val="36"/>
          <w:szCs w:val="36"/>
        </w:rPr>
        <w:t xml:space="preserve">  </w:t>
      </w:r>
      <w:r w:rsidRPr="00C11B77">
        <w:rPr>
          <w:rFonts w:ascii="仿宋" w:eastAsia="仿宋" w:hAnsi="仿宋" w:hint="eastAsia"/>
          <w:color w:val="000000" w:themeColor="text1"/>
          <w:sz w:val="36"/>
          <w:szCs w:val="36"/>
        </w:rPr>
        <w:t>招标项目技术、服务、政府采购合同内容条款及其他商务要求</w:t>
      </w:r>
      <w:bookmarkEnd w:id="0"/>
    </w:p>
    <w:p w:rsidR="00C11B77" w:rsidRPr="00C11B77" w:rsidRDefault="00C11B77" w:rsidP="00C11B77">
      <w:pPr>
        <w:rPr>
          <w:rFonts w:ascii="仿宋" w:eastAsia="仿宋" w:hAnsi="仿宋"/>
          <w:color w:val="000000" w:themeColor="text1"/>
          <w:sz w:val="24"/>
        </w:rPr>
      </w:pPr>
      <w:bookmarkStart w:id="2" w:name="_Toc217446094"/>
      <w:bookmarkEnd w:id="1"/>
      <w:r w:rsidRPr="00C11B77">
        <w:rPr>
          <w:rFonts w:ascii="仿宋" w:eastAsia="仿宋" w:hAnsi="仿宋" w:hint="eastAsia"/>
          <w:color w:val="000000" w:themeColor="text1"/>
          <w:sz w:val="24"/>
        </w:rPr>
        <w:t>前提：本章中标注“</w:t>
      </w:r>
      <w:r w:rsidRPr="00C11B77">
        <w:rPr>
          <w:rFonts w:ascii="仿宋" w:eastAsia="仿宋" w:hAnsi="仿宋"/>
          <w:color w:val="000000" w:themeColor="text1"/>
          <w:sz w:val="24"/>
        </w:rPr>
        <w:t>*”的条款为本项目的实质性条款，投标人不满足的，将按照无效投标处理。</w:t>
      </w:r>
    </w:p>
    <w:p w:rsidR="00C11B77" w:rsidRPr="00C11B77" w:rsidRDefault="00C11B77" w:rsidP="00C11B77">
      <w:pPr>
        <w:pStyle w:val="2"/>
        <w:rPr>
          <w:rFonts w:ascii="仿宋" w:eastAsia="仿宋" w:hAnsi="仿宋"/>
          <w:color w:val="000000" w:themeColor="text1"/>
          <w:sz w:val="24"/>
          <w:szCs w:val="24"/>
        </w:rPr>
      </w:pPr>
      <w:r w:rsidRPr="00C11B77">
        <w:rPr>
          <w:rFonts w:ascii="仿宋" w:eastAsia="仿宋" w:hAnsi="仿宋" w:hint="eastAsia"/>
          <w:color w:val="000000" w:themeColor="text1"/>
          <w:sz w:val="24"/>
          <w:szCs w:val="24"/>
        </w:rPr>
        <w:t>（一）</w:t>
      </w:r>
      <w:r w:rsidRPr="00C11B77">
        <w:rPr>
          <w:rFonts w:ascii="仿宋" w:eastAsia="仿宋" w:hAnsi="仿宋"/>
          <w:color w:val="000000" w:themeColor="text1"/>
          <w:sz w:val="24"/>
          <w:szCs w:val="24"/>
        </w:rPr>
        <w:t xml:space="preserve">. </w:t>
      </w:r>
      <w:r w:rsidRPr="00C11B77">
        <w:rPr>
          <w:rFonts w:ascii="仿宋" w:eastAsia="仿宋" w:hAnsi="仿宋" w:hint="eastAsia"/>
          <w:color w:val="000000" w:themeColor="text1"/>
          <w:sz w:val="24"/>
          <w:szCs w:val="24"/>
        </w:rPr>
        <w:t>项目概述</w:t>
      </w:r>
      <w:bookmarkEnd w:id="2"/>
    </w:p>
    <w:p w:rsidR="00C11B77" w:rsidRPr="00C11B77" w:rsidRDefault="00C11B77" w:rsidP="00C11B77">
      <w:pPr>
        <w:pStyle w:val="a5"/>
        <w:ind w:firstLine="480"/>
        <w:rPr>
          <w:rFonts w:ascii="仿宋" w:eastAsia="仿宋" w:hAnsi="仿宋"/>
          <w:bCs/>
          <w:color w:val="000000" w:themeColor="text1"/>
          <w:sz w:val="24"/>
        </w:rPr>
      </w:pPr>
      <w:bookmarkStart w:id="3" w:name="_Toc217446095"/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1.项目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概况</w:t>
      </w:r>
    </w:p>
    <w:p w:rsidR="00C11B77" w:rsidRPr="00C11B77" w:rsidRDefault="00C11B77" w:rsidP="00C11B77">
      <w:pPr>
        <w:pStyle w:val="a5"/>
        <w:ind w:firstLine="480"/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 xml:space="preserve">本项目两个包，采购7个轨道交通站点一体化城市设计服务： </w:t>
      </w:r>
    </w:p>
    <w:p w:rsidR="00C11B77" w:rsidRPr="00C11B77" w:rsidRDefault="00C11B77" w:rsidP="00C11B77">
      <w:pPr>
        <w:pStyle w:val="a5"/>
        <w:ind w:firstLine="480"/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01包：瓜皮子山站、刘家大塘站、海昌南路站、煎茶站4个轨道交通站点一体化城市设计服务；</w:t>
      </w:r>
    </w:p>
    <w:p w:rsidR="00C11B77" w:rsidRPr="00C11B77" w:rsidRDefault="00C11B77" w:rsidP="00C11B77">
      <w:pPr>
        <w:pStyle w:val="a5"/>
        <w:ind w:firstLine="480"/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02包：新万路站、尚法路站、潭家沟站3个轨道交通站点一体化城市设计服务。</w:t>
      </w:r>
    </w:p>
    <w:p w:rsidR="00C11B77" w:rsidRPr="00C11B77" w:rsidRDefault="00C11B77" w:rsidP="00C11B77">
      <w:pPr>
        <w:pStyle w:val="a5"/>
        <w:ind w:firstLine="480"/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2.标的名称及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所属行业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：</w:t>
      </w:r>
    </w:p>
    <w:tbl>
      <w:tblPr>
        <w:tblStyle w:val="a7"/>
        <w:tblW w:w="8296" w:type="dxa"/>
        <w:jc w:val="center"/>
        <w:tblLayout w:type="fixed"/>
        <w:tblLook w:val="04A0" w:firstRow="1" w:lastRow="0" w:firstColumn="1" w:lastColumn="0" w:noHBand="0" w:noVBand="1"/>
      </w:tblPr>
      <w:tblGrid>
        <w:gridCol w:w="2766"/>
        <w:gridCol w:w="2766"/>
        <w:gridCol w:w="2764"/>
      </w:tblGrid>
      <w:tr w:rsidR="00C11B77" w:rsidRPr="00C11B77" w:rsidTr="0015051F">
        <w:trPr>
          <w:jc w:val="center"/>
        </w:trPr>
        <w:tc>
          <w:tcPr>
            <w:tcW w:w="2766" w:type="dxa"/>
            <w:vMerge w:val="restart"/>
          </w:tcPr>
          <w:p w:rsidR="00C11B77" w:rsidRPr="00C11B77" w:rsidRDefault="00C11B77" w:rsidP="00C11B77">
            <w:pPr>
              <w:pStyle w:val="a5"/>
              <w:ind w:firstLine="480"/>
              <w:rPr>
                <w:rFonts w:ascii="仿宋" w:eastAsia="仿宋" w:hAnsi="仿宋"/>
                <w:bCs/>
                <w:color w:val="000000" w:themeColor="text1"/>
                <w:sz w:val="24"/>
              </w:rPr>
            </w:pPr>
          </w:p>
          <w:p w:rsidR="00C11B77" w:rsidRPr="00C11B77" w:rsidRDefault="00C11B77" w:rsidP="00C11B77">
            <w:pPr>
              <w:pStyle w:val="a5"/>
              <w:ind w:firstLine="480"/>
              <w:rPr>
                <w:rFonts w:ascii="仿宋" w:eastAsia="仿宋" w:hAnsi="仿宋"/>
                <w:bCs/>
                <w:color w:val="000000" w:themeColor="text1"/>
                <w:sz w:val="24"/>
              </w:rPr>
            </w:pPr>
            <w:r w:rsidRPr="00C11B77">
              <w:rPr>
                <w:rFonts w:ascii="仿宋" w:eastAsia="仿宋" w:hAnsi="仿宋" w:hint="eastAsia"/>
                <w:bCs/>
                <w:color w:val="000000" w:themeColor="text1"/>
                <w:sz w:val="24"/>
              </w:rPr>
              <w:t>包号：</w:t>
            </w:r>
            <w:r w:rsidRPr="00C11B77">
              <w:rPr>
                <w:rFonts w:ascii="仿宋" w:eastAsia="仿宋" w:hAnsi="仿宋"/>
                <w:bCs/>
                <w:color w:val="000000" w:themeColor="text1"/>
                <w:sz w:val="24"/>
              </w:rPr>
              <w:t>01</w:t>
            </w:r>
          </w:p>
        </w:tc>
        <w:tc>
          <w:tcPr>
            <w:tcW w:w="2766" w:type="dxa"/>
          </w:tcPr>
          <w:p w:rsidR="00C11B77" w:rsidRPr="00C11B77" w:rsidRDefault="00C11B77" w:rsidP="00C11B77">
            <w:pPr>
              <w:pStyle w:val="a5"/>
              <w:ind w:firstLine="480"/>
              <w:rPr>
                <w:rFonts w:ascii="仿宋" w:eastAsia="仿宋" w:hAnsi="仿宋"/>
                <w:bCs/>
                <w:color w:val="000000" w:themeColor="text1"/>
                <w:sz w:val="24"/>
              </w:rPr>
            </w:pPr>
            <w:r w:rsidRPr="00C11B77">
              <w:rPr>
                <w:rFonts w:ascii="仿宋" w:eastAsia="仿宋" w:hAnsi="仿宋" w:hint="eastAsia"/>
                <w:bCs/>
                <w:color w:val="000000" w:themeColor="text1"/>
                <w:sz w:val="24"/>
              </w:rPr>
              <w:t>标的</w:t>
            </w:r>
            <w:r w:rsidRPr="00C11B77">
              <w:rPr>
                <w:rFonts w:ascii="仿宋" w:eastAsia="仿宋" w:hAnsi="仿宋"/>
                <w:bCs/>
                <w:color w:val="000000" w:themeColor="text1"/>
                <w:sz w:val="24"/>
              </w:rPr>
              <w:t>名称</w:t>
            </w:r>
          </w:p>
        </w:tc>
        <w:tc>
          <w:tcPr>
            <w:tcW w:w="2764" w:type="dxa"/>
          </w:tcPr>
          <w:p w:rsidR="00C11B77" w:rsidRPr="00C11B77" w:rsidRDefault="00C11B77" w:rsidP="00C11B77">
            <w:pPr>
              <w:pStyle w:val="a5"/>
              <w:ind w:firstLine="480"/>
              <w:rPr>
                <w:rFonts w:ascii="仿宋" w:eastAsia="仿宋" w:hAnsi="仿宋"/>
                <w:bCs/>
                <w:color w:val="000000" w:themeColor="text1"/>
                <w:sz w:val="24"/>
              </w:rPr>
            </w:pPr>
            <w:r w:rsidRPr="00C11B77">
              <w:rPr>
                <w:rFonts w:ascii="仿宋" w:eastAsia="仿宋" w:hAnsi="仿宋" w:hint="eastAsia"/>
                <w:bCs/>
                <w:color w:val="000000" w:themeColor="text1"/>
                <w:sz w:val="24"/>
              </w:rPr>
              <w:t>所属行业</w:t>
            </w:r>
          </w:p>
        </w:tc>
      </w:tr>
      <w:tr w:rsidR="00C11B77" w:rsidRPr="00C11B77" w:rsidTr="0015051F">
        <w:trPr>
          <w:jc w:val="center"/>
        </w:trPr>
        <w:tc>
          <w:tcPr>
            <w:tcW w:w="2766" w:type="dxa"/>
            <w:vMerge/>
          </w:tcPr>
          <w:p w:rsidR="00C11B77" w:rsidRPr="00C11B77" w:rsidRDefault="00C11B77" w:rsidP="00C11B77">
            <w:pPr>
              <w:pStyle w:val="a5"/>
              <w:ind w:firstLine="480"/>
              <w:rPr>
                <w:rFonts w:ascii="仿宋" w:eastAsia="仿宋" w:hAnsi="仿宋"/>
                <w:bCs/>
                <w:color w:val="000000" w:themeColor="text1"/>
                <w:sz w:val="24"/>
              </w:rPr>
            </w:pPr>
          </w:p>
        </w:tc>
        <w:tc>
          <w:tcPr>
            <w:tcW w:w="2766" w:type="dxa"/>
          </w:tcPr>
          <w:p w:rsidR="00C11B77" w:rsidRPr="00C11B77" w:rsidRDefault="00C11B77" w:rsidP="00C11B77">
            <w:pPr>
              <w:pStyle w:val="a5"/>
              <w:ind w:firstLine="480"/>
              <w:rPr>
                <w:rFonts w:ascii="仿宋" w:eastAsia="仿宋" w:hAnsi="仿宋"/>
                <w:bCs/>
                <w:color w:val="000000" w:themeColor="text1"/>
                <w:sz w:val="24"/>
              </w:rPr>
            </w:pPr>
            <w:r w:rsidRPr="00C11B77">
              <w:rPr>
                <w:rFonts w:ascii="仿宋" w:eastAsia="仿宋" w:hAnsi="仿宋" w:hint="eastAsia"/>
                <w:bCs/>
                <w:color w:val="000000" w:themeColor="text1"/>
                <w:sz w:val="24"/>
              </w:rPr>
              <w:t>瓜皮子山站、刘家大塘站、海昌南路站、煎茶站4个轨道交通站点一体化城市设计服务</w:t>
            </w:r>
          </w:p>
        </w:tc>
        <w:tc>
          <w:tcPr>
            <w:tcW w:w="2764" w:type="dxa"/>
          </w:tcPr>
          <w:p w:rsidR="00C11B77" w:rsidRPr="00C11B77" w:rsidRDefault="00C11B77" w:rsidP="00C11B77">
            <w:pPr>
              <w:pStyle w:val="a5"/>
              <w:ind w:firstLine="480"/>
              <w:rPr>
                <w:rFonts w:ascii="仿宋" w:eastAsia="仿宋" w:hAnsi="仿宋"/>
                <w:bCs/>
                <w:color w:val="000000" w:themeColor="text1"/>
                <w:sz w:val="24"/>
              </w:rPr>
            </w:pPr>
            <w:r w:rsidRPr="00C11B77">
              <w:rPr>
                <w:rFonts w:ascii="仿宋" w:eastAsia="仿宋" w:hAnsi="仿宋" w:hint="eastAsia"/>
                <w:bCs/>
                <w:color w:val="000000" w:themeColor="text1"/>
                <w:sz w:val="24"/>
              </w:rPr>
              <w:t>其他未列明行业</w:t>
            </w:r>
          </w:p>
        </w:tc>
      </w:tr>
      <w:tr w:rsidR="00C11B77" w:rsidRPr="00C11B77" w:rsidTr="0015051F">
        <w:trPr>
          <w:jc w:val="center"/>
        </w:trPr>
        <w:tc>
          <w:tcPr>
            <w:tcW w:w="2766" w:type="dxa"/>
          </w:tcPr>
          <w:p w:rsidR="00C11B77" w:rsidRPr="00C11B77" w:rsidRDefault="00C11B77" w:rsidP="00C11B77">
            <w:pPr>
              <w:pStyle w:val="a5"/>
              <w:ind w:firstLine="480"/>
              <w:rPr>
                <w:rFonts w:ascii="仿宋" w:eastAsia="仿宋" w:hAnsi="仿宋"/>
                <w:bCs/>
                <w:color w:val="000000" w:themeColor="text1"/>
                <w:sz w:val="24"/>
              </w:rPr>
            </w:pPr>
            <w:r w:rsidRPr="00C11B77">
              <w:rPr>
                <w:rFonts w:ascii="仿宋" w:eastAsia="仿宋" w:hAnsi="仿宋" w:hint="eastAsia"/>
                <w:bCs/>
                <w:color w:val="000000" w:themeColor="text1"/>
                <w:sz w:val="24"/>
              </w:rPr>
              <w:t>包号：</w:t>
            </w:r>
            <w:r w:rsidRPr="00C11B77">
              <w:rPr>
                <w:rFonts w:ascii="仿宋" w:eastAsia="仿宋" w:hAnsi="仿宋"/>
                <w:bCs/>
                <w:color w:val="000000" w:themeColor="text1"/>
                <w:sz w:val="24"/>
              </w:rPr>
              <w:t>02</w:t>
            </w:r>
          </w:p>
        </w:tc>
        <w:tc>
          <w:tcPr>
            <w:tcW w:w="2766" w:type="dxa"/>
          </w:tcPr>
          <w:p w:rsidR="00C11B77" w:rsidRPr="00C11B77" w:rsidRDefault="00C11B77" w:rsidP="00C11B77">
            <w:pPr>
              <w:pStyle w:val="a5"/>
              <w:ind w:firstLine="480"/>
              <w:rPr>
                <w:rFonts w:ascii="仿宋" w:eastAsia="仿宋" w:hAnsi="仿宋"/>
                <w:bCs/>
                <w:color w:val="000000" w:themeColor="text1"/>
                <w:sz w:val="24"/>
              </w:rPr>
            </w:pPr>
            <w:r w:rsidRPr="00C11B77">
              <w:rPr>
                <w:rFonts w:ascii="仿宋" w:eastAsia="仿宋" w:hAnsi="仿宋" w:hint="eastAsia"/>
                <w:bCs/>
                <w:color w:val="000000" w:themeColor="text1"/>
                <w:sz w:val="24"/>
              </w:rPr>
              <w:t>新万路站、尚法路站、潭家沟站3个轨道交通站点一体化城市设计服务</w:t>
            </w:r>
          </w:p>
        </w:tc>
        <w:tc>
          <w:tcPr>
            <w:tcW w:w="2764" w:type="dxa"/>
          </w:tcPr>
          <w:p w:rsidR="00C11B77" w:rsidRPr="00C11B77" w:rsidRDefault="00C11B77" w:rsidP="00C11B77">
            <w:pPr>
              <w:pStyle w:val="a5"/>
              <w:ind w:firstLine="480"/>
              <w:rPr>
                <w:rFonts w:ascii="仿宋" w:eastAsia="仿宋" w:hAnsi="仿宋"/>
                <w:bCs/>
                <w:color w:val="000000" w:themeColor="text1"/>
                <w:sz w:val="24"/>
              </w:rPr>
            </w:pPr>
            <w:r w:rsidRPr="00C11B77">
              <w:rPr>
                <w:rFonts w:ascii="仿宋" w:eastAsia="仿宋" w:hAnsi="仿宋" w:hint="eastAsia"/>
                <w:bCs/>
                <w:color w:val="000000" w:themeColor="text1"/>
                <w:sz w:val="24"/>
              </w:rPr>
              <w:t>其他未列明行业</w:t>
            </w:r>
          </w:p>
        </w:tc>
      </w:tr>
    </w:tbl>
    <w:p w:rsidR="00C11B77" w:rsidRPr="00C11B77" w:rsidRDefault="00C11B77" w:rsidP="00C11B77">
      <w:pPr>
        <w:pStyle w:val="2"/>
        <w:rPr>
          <w:rFonts w:ascii="仿宋" w:eastAsia="仿宋" w:hAnsi="仿宋"/>
          <w:color w:val="000000" w:themeColor="text1"/>
          <w:sz w:val="24"/>
          <w:szCs w:val="24"/>
        </w:rPr>
      </w:pPr>
      <w:r w:rsidRPr="00C11B77">
        <w:rPr>
          <w:rFonts w:ascii="仿宋" w:eastAsia="仿宋" w:hAnsi="仿宋" w:hint="eastAsia"/>
          <w:color w:val="000000" w:themeColor="text1"/>
          <w:sz w:val="24"/>
          <w:szCs w:val="24"/>
        </w:rPr>
        <w:t>（二）</w:t>
      </w:r>
      <w:r w:rsidRPr="00C11B77">
        <w:rPr>
          <w:rFonts w:ascii="仿宋" w:eastAsia="仿宋" w:hAnsi="仿宋"/>
          <w:color w:val="000000" w:themeColor="text1"/>
          <w:sz w:val="24"/>
          <w:szCs w:val="24"/>
        </w:rPr>
        <w:t xml:space="preserve">. </w:t>
      </w:r>
      <w:r w:rsidRPr="00C11B77">
        <w:rPr>
          <w:rFonts w:ascii="仿宋" w:eastAsia="仿宋" w:hAnsi="仿宋" w:hint="eastAsia"/>
          <w:color w:val="000000" w:themeColor="text1"/>
          <w:sz w:val="24"/>
          <w:szCs w:val="24"/>
        </w:rPr>
        <w:t>商务要求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*1、服务时间：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/>
          <w:bCs/>
          <w:color w:val="000000" w:themeColor="text1"/>
          <w:sz w:val="24"/>
        </w:rPr>
        <w:t>01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包：本项目总工期为政府采购合同签订生效后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90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个工作日内完成（具体以合同为准，如果因上位规划或不可抗拒的因素影响工期，由双方进一步协商确定）。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0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2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包：本项目总工期为政府采购合同签订生效后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12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0个工作日内完成（具体以合同为准，如果因上位规划或不可抗拒的因素影响工期，由双方进一步协商确定）。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lastRenderedPageBreak/>
        <w:t>*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2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 xml:space="preserve">、付款方式：合同签订生效后，15个工作日内采购人支付中标人合同款项的 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4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0％；提交初步成果方案并经甲方审查通过后15个工作日内，采购人支付中标人合同款项的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4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0％；提交最终成果方案后15个工作日内，采购人支付中标人合同款项的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2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0％。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/>
          <w:bCs/>
          <w:color w:val="000000" w:themeColor="text1"/>
          <w:sz w:val="24"/>
        </w:rPr>
        <w:t>3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、作业团队等要求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3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.1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 xml:space="preserve">投标人为本项目配备项目负责人1人以及完成项目所需的人员若干人。  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*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3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.2项目保密要求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本项目所有资料、成果的所有权归采购人。供应商对本项目所有的成果资料具有保密的义务，不得以任何形式向第三方提供和泄露，不得利用本项目成果资料生产其它任何形式的产品，本项目终止时应将所有资料移交给采购人，不得作任何形式的保留。（须提供给承诺函）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*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3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.3售后服务：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1. 供应商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需要有完整的技术支持体系和售后服务体系，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供应商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须为本项目提供一年的维护（维护日期从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项目验收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之日起计算）；维护内容为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供应商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所提供的全部成果资料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（费用包含在总价中）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。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/>
          <w:bCs/>
          <w:color w:val="000000" w:themeColor="text1"/>
          <w:sz w:val="24"/>
        </w:rPr>
        <w:t>2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.在一年的维护期内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提供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每日12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小时服务和技术支持。对采购人的服务通知，在接报后1小时内响应。电话或远程无法解决的问题必须到达现场处理的，交通及其它费用由供应商负责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（费用包含在总价中）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。</w:t>
      </w:r>
    </w:p>
    <w:p w:rsidR="00C11B77" w:rsidRPr="00C11B77" w:rsidRDefault="00C11B77" w:rsidP="00C11B77">
      <w:pPr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*</w:t>
      </w:r>
      <w:r w:rsidRPr="00C11B77">
        <w:rPr>
          <w:rFonts w:ascii="仿宋" w:eastAsia="仿宋" w:hAnsi="仿宋"/>
          <w:bCs/>
          <w:color w:val="000000" w:themeColor="text1"/>
          <w:sz w:val="24"/>
        </w:rPr>
        <w:t>4</w:t>
      </w: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、验收标准</w:t>
      </w:r>
    </w:p>
    <w:p w:rsidR="00C11B77" w:rsidRPr="00C11B77" w:rsidRDefault="00C11B77" w:rsidP="00C11B77">
      <w:pPr>
        <w:pStyle w:val="a6"/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严格按照《财政部关于进一步加强政府采购需求和履约验收管理的指导意见》（财库〔2016〕205号）的要求进行验收。</w:t>
      </w:r>
    </w:p>
    <w:p w:rsidR="00C11B77" w:rsidRPr="00C11B77" w:rsidRDefault="00C11B77" w:rsidP="00C11B77">
      <w:pPr>
        <w:pStyle w:val="a6"/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*5、成交结果：</w:t>
      </w:r>
    </w:p>
    <w:p w:rsidR="00C11B77" w:rsidRPr="00C11B77" w:rsidRDefault="00C11B77" w:rsidP="00C11B77">
      <w:pPr>
        <w:pStyle w:val="a6"/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方案文本4套；</w:t>
      </w:r>
    </w:p>
    <w:p w:rsidR="00C11B77" w:rsidRPr="00C11B77" w:rsidRDefault="00C11B77" w:rsidP="00C11B77">
      <w:pPr>
        <w:pStyle w:val="a5"/>
        <w:ind w:firstLine="480"/>
        <w:rPr>
          <w:rFonts w:ascii="仿宋" w:eastAsia="仿宋" w:hAnsi="仿宋"/>
          <w:bCs/>
          <w:color w:val="000000" w:themeColor="text1"/>
          <w:sz w:val="24"/>
        </w:rPr>
      </w:pPr>
      <w:r w:rsidRPr="00C11B77">
        <w:rPr>
          <w:rFonts w:ascii="仿宋" w:eastAsia="仿宋" w:hAnsi="仿宋" w:hint="eastAsia"/>
          <w:bCs/>
          <w:color w:val="000000" w:themeColor="text1"/>
          <w:sz w:val="24"/>
        </w:rPr>
        <w:t>电子文件一份（含文本及汇报PPT）</w:t>
      </w:r>
    </w:p>
    <w:p w:rsidR="00C11B77" w:rsidRPr="00C11B77" w:rsidRDefault="00C11B77" w:rsidP="00C11B77">
      <w:pPr>
        <w:pStyle w:val="2"/>
        <w:rPr>
          <w:rFonts w:ascii="仿宋" w:eastAsia="仿宋" w:hAnsi="仿宋"/>
          <w:color w:val="000000" w:themeColor="text1"/>
          <w:sz w:val="24"/>
          <w:szCs w:val="24"/>
        </w:rPr>
      </w:pPr>
      <w:r w:rsidRPr="00C11B77">
        <w:rPr>
          <w:rFonts w:ascii="仿宋" w:eastAsia="仿宋" w:hAnsi="仿宋" w:hint="eastAsia"/>
          <w:color w:val="000000" w:themeColor="text1"/>
          <w:sz w:val="24"/>
          <w:szCs w:val="24"/>
        </w:rPr>
        <w:t>*（三）</w:t>
      </w:r>
      <w:r w:rsidRPr="00C11B77">
        <w:rPr>
          <w:rFonts w:ascii="仿宋" w:eastAsia="仿宋" w:hAnsi="仿宋"/>
          <w:color w:val="000000" w:themeColor="text1"/>
          <w:sz w:val="24"/>
          <w:szCs w:val="24"/>
        </w:rPr>
        <w:t>.</w:t>
      </w:r>
      <w:r w:rsidRPr="00C11B77">
        <w:rPr>
          <w:rFonts w:ascii="仿宋" w:eastAsia="仿宋" w:hAnsi="仿宋" w:hint="eastAsia"/>
          <w:color w:val="000000" w:themeColor="text1"/>
          <w:sz w:val="24"/>
          <w:szCs w:val="24"/>
        </w:rPr>
        <w:t>技术</w:t>
      </w:r>
      <w:r w:rsidRPr="00C11B77">
        <w:rPr>
          <w:rFonts w:ascii="仿宋" w:eastAsia="仿宋" w:hAnsi="仿宋"/>
          <w:color w:val="000000" w:themeColor="text1"/>
          <w:sz w:val="24"/>
          <w:szCs w:val="24"/>
        </w:rPr>
        <w:t>、服务要求</w:t>
      </w:r>
      <w:bookmarkEnd w:id="3"/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一、服务范围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 xml:space="preserve"> </w:t>
      </w:r>
      <w:r w:rsidRPr="00C11B77">
        <w:rPr>
          <w:rFonts w:ascii="宋体" w:hAnsi="宋体"/>
          <w:color w:val="000000" w:themeColor="text1"/>
          <w:sz w:val="24"/>
        </w:rPr>
        <w:t xml:space="preserve">   </w:t>
      </w:r>
      <w:r w:rsidRPr="00C11B77">
        <w:rPr>
          <w:rFonts w:ascii="宋体" w:hAnsi="宋体" w:hint="eastAsia"/>
          <w:color w:val="000000" w:themeColor="text1"/>
          <w:sz w:val="24"/>
        </w:rPr>
        <w:t>统筹在建的瓜皮子山站、新万路站、刘家</w:t>
      </w:r>
      <w:r w:rsidRPr="00C11B77">
        <w:rPr>
          <w:rFonts w:ascii="宋体" w:hAnsi="宋体"/>
          <w:color w:val="000000" w:themeColor="text1"/>
          <w:sz w:val="24"/>
        </w:rPr>
        <w:t>大塘</w:t>
      </w:r>
      <w:r w:rsidRPr="00C11B77">
        <w:rPr>
          <w:rFonts w:ascii="宋体" w:hAnsi="宋体" w:hint="eastAsia"/>
          <w:color w:val="000000" w:themeColor="text1"/>
          <w:sz w:val="24"/>
        </w:rPr>
        <w:t>站、海昌南路站、煎茶站、尚法路站和潭家沟站7个轨道站点周边的用地功能、交通等要素，按照《成都市轨道交通场站一体化城市设计导则》的要求进行一体化城市设计。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/>
          <w:color w:val="000000" w:themeColor="text1"/>
          <w:sz w:val="24"/>
        </w:rPr>
        <w:t>具体规划范围</w:t>
      </w:r>
      <w:r w:rsidRPr="00C11B77">
        <w:rPr>
          <w:rFonts w:ascii="宋体" w:hAnsi="宋体" w:hint="eastAsia"/>
          <w:color w:val="000000" w:themeColor="text1"/>
          <w:sz w:val="24"/>
        </w:rPr>
        <w:t>如下</w:t>
      </w:r>
      <w:r w:rsidRPr="00C11B77">
        <w:rPr>
          <w:rFonts w:ascii="宋体" w:hAnsi="宋体"/>
          <w:color w:val="000000" w:themeColor="text1"/>
          <w:sz w:val="24"/>
        </w:rPr>
        <w:t>：</w:t>
      </w:r>
    </w:p>
    <w:tbl>
      <w:tblPr>
        <w:tblW w:w="906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775"/>
        <w:gridCol w:w="1704"/>
        <w:gridCol w:w="1316"/>
        <w:gridCol w:w="2097"/>
        <w:gridCol w:w="2389"/>
      </w:tblGrid>
      <w:tr w:rsidR="00C11B77" w:rsidRPr="00C11B77" w:rsidTr="0015051F">
        <w:trPr>
          <w:trHeight w:val="280"/>
        </w:trPr>
        <w:tc>
          <w:tcPr>
            <w:tcW w:w="780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包号</w:t>
            </w:r>
          </w:p>
        </w:tc>
        <w:tc>
          <w:tcPr>
            <w:tcW w:w="775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编号</w:t>
            </w:r>
          </w:p>
        </w:tc>
        <w:tc>
          <w:tcPr>
            <w:tcW w:w="1704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名称</w:t>
            </w:r>
          </w:p>
        </w:tc>
        <w:tc>
          <w:tcPr>
            <w:tcW w:w="1316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级别</w:t>
            </w:r>
          </w:p>
        </w:tc>
        <w:tc>
          <w:tcPr>
            <w:tcW w:w="2097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一体化设计面积</w:t>
            </w:r>
            <w:r w:rsidRPr="00C11B77">
              <w:rPr>
                <w:rFonts w:ascii="宋体" w:hAnsi="宋体"/>
                <w:color w:val="000000" w:themeColor="text1"/>
                <w:sz w:val="24"/>
              </w:rPr>
              <w:lastRenderedPageBreak/>
              <w:t>(ha)</w:t>
            </w:r>
          </w:p>
        </w:tc>
        <w:tc>
          <w:tcPr>
            <w:tcW w:w="2389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lastRenderedPageBreak/>
              <w:t>研究范围面积(ha)</w:t>
            </w:r>
          </w:p>
        </w:tc>
      </w:tr>
      <w:tr w:rsidR="00C11B77" w:rsidRPr="00C11B77" w:rsidTr="0015051F">
        <w:trPr>
          <w:trHeight w:val="280"/>
        </w:trPr>
        <w:tc>
          <w:tcPr>
            <w:tcW w:w="780" w:type="dxa"/>
            <w:vMerge w:val="restart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 w:hint="eastAsia"/>
                <w:color w:val="000000" w:themeColor="text1"/>
                <w:sz w:val="24"/>
              </w:rPr>
              <w:lastRenderedPageBreak/>
              <w:t>0</w:t>
            </w:r>
            <w:r w:rsidRPr="00C11B77">
              <w:rPr>
                <w:rFonts w:ascii="宋体" w:hAnsi="宋体"/>
                <w:color w:val="000000" w:themeColor="text1"/>
                <w:sz w:val="24"/>
              </w:rPr>
              <w:t>1</w:t>
            </w:r>
          </w:p>
        </w:tc>
        <w:tc>
          <w:tcPr>
            <w:tcW w:w="775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1</w:t>
            </w:r>
          </w:p>
        </w:tc>
        <w:tc>
          <w:tcPr>
            <w:tcW w:w="1704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瓜皮子山站</w:t>
            </w:r>
          </w:p>
        </w:tc>
        <w:tc>
          <w:tcPr>
            <w:tcW w:w="1316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一般站点</w:t>
            </w:r>
          </w:p>
        </w:tc>
        <w:tc>
          <w:tcPr>
            <w:tcW w:w="2097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28.3</w:t>
            </w:r>
          </w:p>
        </w:tc>
        <w:tc>
          <w:tcPr>
            <w:tcW w:w="2389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122.48</w:t>
            </w:r>
          </w:p>
        </w:tc>
      </w:tr>
      <w:tr w:rsidR="00C11B77" w:rsidRPr="00C11B77" w:rsidTr="0015051F">
        <w:trPr>
          <w:trHeight w:val="280"/>
        </w:trPr>
        <w:tc>
          <w:tcPr>
            <w:tcW w:w="780" w:type="dxa"/>
            <w:vMerge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</w:p>
        </w:tc>
        <w:tc>
          <w:tcPr>
            <w:tcW w:w="775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2</w:t>
            </w:r>
          </w:p>
        </w:tc>
        <w:tc>
          <w:tcPr>
            <w:tcW w:w="1704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 w:hint="eastAsia"/>
                <w:color w:val="000000" w:themeColor="text1"/>
                <w:sz w:val="24"/>
              </w:rPr>
              <w:t>刘家</w:t>
            </w:r>
            <w:r w:rsidRPr="00C11B77">
              <w:rPr>
                <w:rFonts w:ascii="宋体" w:hAnsi="宋体"/>
                <w:color w:val="000000" w:themeColor="text1"/>
                <w:sz w:val="24"/>
              </w:rPr>
              <w:t>大塘</w:t>
            </w:r>
            <w:r w:rsidRPr="00C11B77">
              <w:rPr>
                <w:rFonts w:ascii="宋体" w:hAnsi="宋体" w:hint="eastAsia"/>
                <w:color w:val="000000" w:themeColor="text1"/>
                <w:sz w:val="24"/>
              </w:rPr>
              <w:t>站</w:t>
            </w:r>
          </w:p>
        </w:tc>
        <w:tc>
          <w:tcPr>
            <w:tcW w:w="1316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一般站点</w:t>
            </w:r>
          </w:p>
        </w:tc>
        <w:tc>
          <w:tcPr>
            <w:tcW w:w="2097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57.6</w:t>
            </w:r>
          </w:p>
        </w:tc>
        <w:tc>
          <w:tcPr>
            <w:tcW w:w="2389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106.64</w:t>
            </w:r>
          </w:p>
        </w:tc>
      </w:tr>
      <w:tr w:rsidR="00C11B77" w:rsidRPr="00C11B77" w:rsidTr="0015051F">
        <w:trPr>
          <w:trHeight w:val="280"/>
        </w:trPr>
        <w:tc>
          <w:tcPr>
            <w:tcW w:w="780" w:type="dxa"/>
            <w:vMerge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</w:p>
        </w:tc>
        <w:tc>
          <w:tcPr>
            <w:tcW w:w="775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3</w:t>
            </w:r>
          </w:p>
        </w:tc>
        <w:tc>
          <w:tcPr>
            <w:tcW w:w="1704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海昌南路站</w:t>
            </w:r>
          </w:p>
        </w:tc>
        <w:tc>
          <w:tcPr>
            <w:tcW w:w="1316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一般站点</w:t>
            </w:r>
          </w:p>
        </w:tc>
        <w:tc>
          <w:tcPr>
            <w:tcW w:w="2097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62.9</w:t>
            </w:r>
          </w:p>
        </w:tc>
        <w:tc>
          <w:tcPr>
            <w:tcW w:w="2389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352.23</w:t>
            </w:r>
          </w:p>
        </w:tc>
      </w:tr>
      <w:tr w:rsidR="00C11B77" w:rsidRPr="00C11B77" w:rsidTr="0015051F">
        <w:trPr>
          <w:trHeight w:val="280"/>
        </w:trPr>
        <w:tc>
          <w:tcPr>
            <w:tcW w:w="780" w:type="dxa"/>
            <w:vMerge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</w:p>
        </w:tc>
        <w:tc>
          <w:tcPr>
            <w:tcW w:w="775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4</w:t>
            </w:r>
          </w:p>
        </w:tc>
        <w:tc>
          <w:tcPr>
            <w:tcW w:w="1704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煎茶站</w:t>
            </w:r>
          </w:p>
        </w:tc>
        <w:tc>
          <w:tcPr>
            <w:tcW w:w="1316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一般站点</w:t>
            </w:r>
          </w:p>
        </w:tc>
        <w:tc>
          <w:tcPr>
            <w:tcW w:w="2097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36.3</w:t>
            </w:r>
          </w:p>
        </w:tc>
        <w:tc>
          <w:tcPr>
            <w:tcW w:w="2389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173.93</w:t>
            </w:r>
          </w:p>
        </w:tc>
      </w:tr>
      <w:tr w:rsidR="00C11B77" w:rsidRPr="00C11B77" w:rsidTr="0015051F">
        <w:trPr>
          <w:trHeight w:val="280"/>
        </w:trPr>
        <w:tc>
          <w:tcPr>
            <w:tcW w:w="780" w:type="dxa"/>
            <w:vMerge w:val="restart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 w:hint="eastAsia"/>
                <w:color w:val="000000" w:themeColor="text1"/>
                <w:sz w:val="24"/>
              </w:rPr>
              <w:t>0</w:t>
            </w:r>
            <w:r w:rsidRPr="00C11B77">
              <w:rPr>
                <w:rFonts w:ascii="宋体" w:hAnsi="宋体"/>
                <w:color w:val="000000" w:themeColor="text1"/>
                <w:sz w:val="24"/>
              </w:rPr>
              <w:t>2</w:t>
            </w:r>
          </w:p>
        </w:tc>
        <w:tc>
          <w:tcPr>
            <w:tcW w:w="775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1</w:t>
            </w:r>
          </w:p>
        </w:tc>
        <w:tc>
          <w:tcPr>
            <w:tcW w:w="1704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新万路站</w:t>
            </w:r>
          </w:p>
        </w:tc>
        <w:tc>
          <w:tcPr>
            <w:tcW w:w="1316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一般站点</w:t>
            </w:r>
          </w:p>
        </w:tc>
        <w:tc>
          <w:tcPr>
            <w:tcW w:w="2097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 w:hint="eastAsia"/>
                <w:color w:val="000000" w:themeColor="text1"/>
                <w:sz w:val="24"/>
              </w:rPr>
              <w:t>4</w:t>
            </w:r>
            <w:r w:rsidRPr="00C11B77">
              <w:rPr>
                <w:rFonts w:ascii="宋体" w:hAnsi="宋体"/>
                <w:color w:val="000000" w:themeColor="text1"/>
                <w:sz w:val="24"/>
              </w:rPr>
              <w:t>0.8</w:t>
            </w:r>
          </w:p>
        </w:tc>
        <w:tc>
          <w:tcPr>
            <w:tcW w:w="2389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  <w:highlight w:val="yellow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125.87</w:t>
            </w:r>
          </w:p>
        </w:tc>
      </w:tr>
      <w:tr w:rsidR="00C11B77" w:rsidRPr="00C11B77" w:rsidTr="0015051F">
        <w:trPr>
          <w:trHeight w:val="280"/>
        </w:trPr>
        <w:tc>
          <w:tcPr>
            <w:tcW w:w="780" w:type="dxa"/>
            <w:vMerge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</w:p>
        </w:tc>
        <w:tc>
          <w:tcPr>
            <w:tcW w:w="775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2</w:t>
            </w:r>
          </w:p>
        </w:tc>
        <w:tc>
          <w:tcPr>
            <w:tcW w:w="1704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尚法路站</w:t>
            </w:r>
          </w:p>
        </w:tc>
        <w:tc>
          <w:tcPr>
            <w:tcW w:w="1316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一般站点</w:t>
            </w:r>
          </w:p>
        </w:tc>
        <w:tc>
          <w:tcPr>
            <w:tcW w:w="2097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59.21</w:t>
            </w:r>
          </w:p>
        </w:tc>
        <w:tc>
          <w:tcPr>
            <w:tcW w:w="2389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169.8</w:t>
            </w:r>
          </w:p>
        </w:tc>
      </w:tr>
      <w:tr w:rsidR="00C11B77" w:rsidRPr="00C11B77" w:rsidTr="0015051F">
        <w:trPr>
          <w:trHeight w:val="280"/>
        </w:trPr>
        <w:tc>
          <w:tcPr>
            <w:tcW w:w="780" w:type="dxa"/>
            <w:vMerge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</w:p>
        </w:tc>
        <w:tc>
          <w:tcPr>
            <w:tcW w:w="775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3</w:t>
            </w:r>
          </w:p>
        </w:tc>
        <w:tc>
          <w:tcPr>
            <w:tcW w:w="1704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潭家沟站</w:t>
            </w:r>
          </w:p>
        </w:tc>
        <w:tc>
          <w:tcPr>
            <w:tcW w:w="1316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一般站点</w:t>
            </w:r>
          </w:p>
        </w:tc>
        <w:tc>
          <w:tcPr>
            <w:tcW w:w="2097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71.39</w:t>
            </w:r>
          </w:p>
        </w:tc>
        <w:tc>
          <w:tcPr>
            <w:tcW w:w="2389" w:type="dxa"/>
            <w:vAlign w:val="center"/>
          </w:tcPr>
          <w:p w:rsidR="00C11B77" w:rsidRPr="00C11B77" w:rsidRDefault="00C11B77" w:rsidP="00C11B77">
            <w:pPr>
              <w:rPr>
                <w:rFonts w:ascii="宋体" w:hAnsi="宋体"/>
                <w:color w:val="000000" w:themeColor="text1"/>
                <w:sz w:val="24"/>
              </w:rPr>
            </w:pPr>
            <w:r w:rsidRPr="00C11B77">
              <w:rPr>
                <w:rFonts w:ascii="宋体" w:hAnsi="宋体"/>
                <w:color w:val="000000" w:themeColor="text1"/>
                <w:sz w:val="24"/>
              </w:rPr>
              <w:t>163.94</w:t>
            </w:r>
          </w:p>
        </w:tc>
      </w:tr>
    </w:tbl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仿宋" w:eastAsia="仿宋" w:hAnsi="仿宋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EF54F68" wp14:editId="73F3F7FC">
            <wp:extent cx="5274310" cy="725678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二、服务内容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0</w:t>
      </w:r>
      <w:r w:rsidRPr="00C11B77">
        <w:rPr>
          <w:rFonts w:ascii="宋体" w:hAnsi="宋体"/>
          <w:color w:val="000000" w:themeColor="text1"/>
          <w:sz w:val="24"/>
        </w:rPr>
        <w:t>1</w:t>
      </w:r>
      <w:r w:rsidRPr="00C11B77">
        <w:rPr>
          <w:rFonts w:ascii="宋体" w:hAnsi="宋体" w:hint="eastAsia"/>
          <w:color w:val="000000" w:themeColor="text1"/>
          <w:sz w:val="24"/>
        </w:rPr>
        <w:t>包：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（一）研究范围整体规划方案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进一步解读项目总体要求和项目定位，结合轨道站点所在区域规划要点，对轨道站点覆盖区域的产业、文化、运营、公园城市进行专题研究，提出适应城市未来</w:t>
      </w:r>
      <w:bookmarkStart w:id="4" w:name="_GoBack"/>
      <w:bookmarkEnd w:id="4"/>
      <w:r w:rsidRPr="00C11B77">
        <w:rPr>
          <w:rFonts w:ascii="宋体" w:hAnsi="宋体" w:hint="eastAsia"/>
          <w:color w:val="000000" w:themeColor="text1"/>
          <w:sz w:val="24"/>
        </w:rPr>
        <w:lastRenderedPageBreak/>
        <w:t>发展的规划建设理念，为轨道站点总体城市设计和详细城市设计提供顶层设计引导，构建具有天府新区特点的TOD规划模式。以TOD开发模式为导向，充分体现“站城一体”、“公园城市”理念，对轨道站点周边区域（按照《成都市轨道交通场站一体化城市设计导则》的要求：一般站点周边半径500米、组团级站点周边半径800米、城市级/片区级站点周边半径800米范围内）的定位目标、功能布局、产业发展、用地布局、开发强度、轨道站位、地下空间、慢行系统、路网优化等方面开展统筹规划，制订控制性详细规划方案和一体化规划图则。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（二）详细城市设计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对紧邻轨道站点的区域（按照《成都市轨道交通场站一体化城市设计导则》站点分级确定的城市级、片区级站点500米，其他站点300米范围内）开展业态策划（产业用地）、城市形态、站点方案优化、地下空间、交通接驳、慢行系统等方面的详细设计，并明确相关管控要求纳入一体化规划图则。通过规划设计，创造出一个新型城市景观与风貌。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0</w:t>
      </w:r>
      <w:r w:rsidRPr="00C11B77">
        <w:rPr>
          <w:rFonts w:ascii="宋体" w:hAnsi="宋体"/>
          <w:color w:val="000000" w:themeColor="text1"/>
          <w:sz w:val="24"/>
        </w:rPr>
        <w:t>2</w:t>
      </w:r>
      <w:r w:rsidRPr="00C11B77">
        <w:rPr>
          <w:rFonts w:ascii="宋体" w:hAnsi="宋体" w:hint="eastAsia"/>
          <w:color w:val="000000" w:themeColor="text1"/>
          <w:sz w:val="24"/>
        </w:rPr>
        <w:t>包：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（一）研究范围整体规划方案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进一步解读项目总体要求和项目定位，结合轨道站点所在区域规划要点，对轨道站点覆盖区域的产业功能、文化特色、生态空间、空间形态等方面运营、公园城市进行专题研究，提出适应城市未来发展的规划建设理念，为轨道站点总体城市设计和概念性城市设计提供顶层设计引导，构建具有天府新区特点的TOD规划模式。以TOD开发模式为导向，充分体现“站城一体”、“集约利用”、“公园城市”理念，对轨道站点周边区域（按照《成都市轨道交通场站一体化城市设计导则》的要求：一般站点周边半径500米、组团级站点周边半径800米、城市级/片区级站点周边半径800米范围内）的定位目标、功能布局、产业发展、用地布局、开发强度、轨道站位、地下空间、慢行系统、路网优化等方面开展统筹规划，制订整体规划方案和一体化规划图则。</w:t>
      </w:r>
    </w:p>
    <w:p w:rsidR="00C11B77" w:rsidRPr="00C11B77" w:rsidRDefault="00C11B77" w:rsidP="00C11B77">
      <w:pPr>
        <w:rPr>
          <w:rFonts w:ascii="宋体" w:hAnsi="宋体"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（二）详细城市设计</w:t>
      </w:r>
    </w:p>
    <w:p w:rsidR="00C11B77" w:rsidRPr="00C11B77" w:rsidRDefault="00C11B77" w:rsidP="00C11B77">
      <w:pPr>
        <w:pStyle w:val="a5"/>
        <w:ind w:firstLine="480"/>
        <w:rPr>
          <w:rFonts w:ascii="仿宋" w:eastAsia="仿宋" w:hAnsi="仿宋"/>
          <w:b/>
          <w:bCs/>
          <w:color w:val="000000" w:themeColor="text1"/>
          <w:sz w:val="24"/>
        </w:rPr>
      </w:pPr>
      <w:r w:rsidRPr="00C11B77">
        <w:rPr>
          <w:rFonts w:ascii="宋体" w:hAnsi="宋体" w:hint="eastAsia"/>
          <w:color w:val="000000" w:themeColor="text1"/>
          <w:sz w:val="24"/>
        </w:rPr>
        <w:t>对紧邻轨道站点的区域（按照《成都市轨道交通场站一体化城市设计导则》站点分级确定的城市级、片区级站点500米，其他站点300米范围内）开展业态策划（产业用地）、城市形态、开发强度高度、站点方案优化、地下空间开发利用、公共交通、交通接驳、慢行系统等方面的详细设计，并明确核心区相关管控要求纳入一体化设计图则。通过规划设计，创造出一个新型城市景观与风貌。</w:t>
      </w:r>
    </w:p>
    <w:p w:rsidR="00C11B77" w:rsidRPr="00C11B77" w:rsidRDefault="00C11B77" w:rsidP="00C11B77">
      <w:pPr>
        <w:pStyle w:val="a5"/>
        <w:ind w:firstLine="482"/>
        <w:rPr>
          <w:rFonts w:ascii="仿宋" w:eastAsia="仿宋" w:hAnsi="仿宋"/>
          <w:b/>
          <w:bCs/>
          <w:color w:val="000000" w:themeColor="text1"/>
          <w:sz w:val="24"/>
        </w:rPr>
      </w:pPr>
    </w:p>
    <w:p w:rsidR="00C11B77" w:rsidRPr="00C11B77" w:rsidRDefault="00C11B77" w:rsidP="00C11B77">
      <w:pPr>
        <w:pStyle w:val="1"/>
        <w:rPr>
          <w:rFonts w:ascii="仿宋" w:eastAsia="仿宋" w:hAnsi="仿宋"/>
          <w:color w:val="000000" w:themeColor="text1"/>
          <w:sz w:val="36"/>
          <w:szCs w:val="36"/>
        </w:rPr>
        <w:sectPr w:rsidR="00C11B77" w:rsidRPr="00C11B77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A6448" w:rsidRPr="00C11B77" w:rsidRDefault="00C11B77">
      <w:pPr>
        <w:rPr>
          <w:color w:val="000000" w:themeColor="text1"/>
        </w:rPr>
      </w:pPr>
    </w:p>
    <w:sectPr w:rsidR="00AA6448" w:rsidRPr="00C11B77" w:rsidSect="002B7EBB">
      <w:pgSz w:w="11906" w:h="16838"/>
      <w:pgMar w:top="3232" w:right="1797" w:bottom="3232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B77" w:rsidRDefault="00C11B77" w:rsidP="00C11B77">
      <w:pPr>
        <w:spacing w:after="0" w:line="240" w:lineRule="auto"/>
      </w:pPr>
      <w:r>
        <w:separator/>
      </w:r>
    </w:p>
  </w:endnote>
  <w:endnote w:type="continuationSeparator" w:id="0">
    <w:p w:rsidR="00C11B77" w:rsidRDefault="00C11B77" w:rsidP="00C11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B77" w:rsidRDefault="00C11B77" w:rsidP="00C11B77">
      <w:pPr>
        <w:spacing w:after="0" w:line="240" w:lineRule="auto"/>
      </w:pPr>
      <w:r>
        <w:separator/>
      </w:r>
    </w:p>
  </w:footnote>
  <w:footnote w:type="continuationSeparator" w:id="0">
    <w:p w:rsidR="00C11B77" w:rsidRDefault="00C11B77" w:rsidP="00C11B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A84"/>
    <w:rsid w:val="002B7EBB"/>
    <w:rsid w:val="00350A04"/>
    <w:rsid w:val="003A3A84"/>
    <w:rsid w:val="00A71D91"/>
    <w:rsid w:val="00C1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7269EE9-9660-48AF-9ABF-C9D6144BD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B77"/>
    <w:pPr>
      <w:widowControl w:val="0"/>
      <w:spacing w:after="160" w:line="259" w:lineRule="auto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C11B7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C11B77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1B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1B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1B77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1B77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C11B7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C11B77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Normal Indent"/>
    <w:basedOn w:val="a"/>
    <w:qFormat/>
    <w:rsid w:val="00C11B77"/>
    <w:pPr>
      <w:ind w:firstLineChars="200" w:firstLine="200"/>
    </w:pPr>
  </w:style>
  <w:style w:type="paragraph" w:styleId="a6">
    <w:name w:val="Plain Text"/>
    <w:basedOn w:val="a"/>
    <w:link w:val="Char1"/>
    <w:qFormat/>
    <w:rsid w:val="00C11B77"/>
    <w:rPr>
      <w:rFonts w:ascii="宋体" w:hAnsi="Courier New"/>
    </w:rPr>
  </w:style>
  <w:style w:type="character" w:customStyle="1" w:styleId="Char1">
    <w:name w:val="纯文本 Char"/>
    <w:basedOn w:val="a0"/>
    <w:link w:val="a6"/>
    <w:qFormat/>
    <w:rsid w:val="00C11B77"/>
    <w:rPr>
      <w:rFonts w:ascii="宋体" w:eastAsia="宋体" w:hAnsi="Courier New" w:cs="Times New Roman"/>
      <w:szCs w:val="24"/>
    </w:rPr>
  </w:style>
  <w:style w:type="table" w:styleId="a7">
    <w:name w:val="Table Grid"/>
    <w:basedOn w:val="a1"/>
    <w:qFormat/>
    <w:rsid w:val="00C11B77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707D3-016C-4235-8247-90681BF44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373</Words>
  <Characters>2128</Characters>
  <Application>Microsoft Office Word</Application>
  <DocSecurity>0</DocSecurity>
  <Lines>17</Lines>
  <Paragraphs>4</Paragraphs>
  <ScaleCrop>false</ScaleCrop>
  <Company>微软中国</Company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匿名</dc:creator>
  <cp:keywords/>
  <dc:description/>
  <cp:lastModifiedBy>匿名</cp:lastModifiedBy>
  <cp:revision>2</cp:revision>
  <dcterms:created xsi:type="dcterms:W3CDTF">2021-07-29T06:48:00Z</dcterms:created>
  <dcterms:modified xsi:type="dcterms:W3CDTF">2021-07-29T06:49:00Z</dcterms:modified>
</cp:coreProperties>
</file>