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72" w:rsidRPr="00957AD4" w:rsidRDefault="00164B72" w:rsidP="00164B72">
      <w:pPr>
        <w:pStyle w:val="a6"/>
        <w:rPr>
          <w:rFonts w:ascii="仿宋" w:eastAsia="仿宋" w:hAnsi="仿宋"/>
        </w:rPr>
      </w:pPr>
      <w:r w:rsidRPr="00957AD4">
        <w:rPr>
          <w:rFonts w:ascii="仿宋" w:eastAsia="仿宋" w:hAnsi="仿宋" w:hint="eastAsia"/>
        </w:rPr>
        <w:t>采购项目技术、服务、政府采购合同内容条款及其他商务要求</w:t>
      </w:r>
    </w:p>
    <w:p w:rsidR="00164B72" w:rsidRPr="00957AD4" w:rsidRDefault="00164B72" w:rsidP="00164B72">
      <w:pPr>
        <w:pStyle w:val="2"/>
        <w:keepNext w:val="0"/>
        <w:keepLines w:val="0"/>
        <w:spacing w:before="0" w:after="0" w:line="400" w:lineRule="exact"/>
        <w:ind w:firstLineChars="49" w:firstLine="118"/>
        <w:jc w:val="left"/>
        <w:rPr>
          <w:rFonts w:ascii="仿宋" w:eastAsia="仿宋" w:hAnsi="仿宋"/>
          <w:sz w:val="24"/>
          <w:szCs w:val="24"/>
        </w:rPr>
      </w:pPr>
    </w:p>
    <w:p w:rsidR="00164B72" w:rsidRPr="00957AD4" w:rsidRDefault="00164B72" w:rsidP="00164B72">
      <w:pPr>
        <w:pStyle w:val="2"/>
        <w:spacing w:line="400" w:lineRule="exact"/>
        <w:ind w:firstLineChars="98" w:firstLine="236"/>
        <w:rPr>
          <w:rFonts w:ascii="仿宋" w:eastAsia="仿宋" w:hAnsi="仿宋"/>
          <w:b w:val="0"/>
          <w:sz w:val="24"/>
          <w:szCs w:val="24"/>
        </w:rPr>
      </w:pPr>
      <w:bookmarkStart w:id="0" w:name="PO_默认文件内容_27"/>
      <w:r w:rsidRPr="00957AD4">
        <w:rPr>
          <w:rFonts w:ascii="仿宋" w:eastAsia="仿宋" w:hAnsi="仿宋" w:hint="eastAsia"/>
          <w:sz w:val="24"/>
          <w:szCs w:val="24"/>
        </w:rPr>
        <w:t>一、</w:t>
      </w:r>
      <w:r w:rsidRPr="00957AD4">
        <w:rPr>
          <w:rFonts w:ascii="仿宋" w:eastAsia="仿宋" w:hAnsi="仿宋" w:hint="eastAsia"/>
          <w:b w:val="0"/>
          <w:sz w:val="24"/>
          <w:szCs w:val="24"/>
        </w:rPr>
        <w:t>项目概述</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本次服务内容为成都市公安局东部新区分局2021年民、辅警体检服务，体检人数共约457人，其中民警172人，男性157人，女性15人（均已婚）；辅警285人，男性252人，女性33人（未婚9人）；结算以实际体检人数为准。体检清单为采购人必检项。</w:t>
      </w:r>
    </w:p>
    <w:p w:rsidR="00164B72" w:rsidRPr="00957AD4" w:rsidRDefault="00164B72" w:rsidP="00164B72">
      <w:pPr>
        <w:pStyle w:val="2"/>
        <w:spacing w:line="400" w:lineRule="exact"/>
        <w:ind w:firstLineChars="98" w:firstLine="236"/>
        <w:rPr>
          <w:rFonts w:ascii="仿宋" w:eastAsia="仿宋" w:hAnsi="仿宋"/>
          <w:b w:val="0"/>
          <w:sz w:val="24"/>
          <w:szCs w:val="24"/>
        </w:rPr>
      </w:pPr>
      <w:r w:rsidRPr="00957AD4">
        <w:rPr>
          <w:rFonts w:ascii="仿宋" w:eastAsia="仿宋" w:hAnsi="仿宋" w:hint="eastAsia"/>
          <w:sz w:val="24"/>
          <w:szCs w:val="24"/>
        </w:rPr>
        <w:t>二、</w:t>
      </w:r>
      <w:r w:rsidRPr="00957AD4">
        <w:rPr>
          <w:rFonts w:ascii="仿宋" w:eastAsia="仿宋" w:hAnsi="仿宋" w:hint="eastAsia"/>
          <w:b w:val="0"/>
          <w:sz w:val="24"/>
          <w:szCs w:val="24"/>
        </w:rPr>
        <w:t>项目清单</w:t>
      </w:r>
    </w:p>
    <w:tbl>
      <w:tblPr>
        <w:tblW w:w="690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1086"/>
        <w:gridCol w:w="1239"/>
        <w:gridCol w:w="1817"/>
        <w:gridCol w:w="1953"/>
      </w:tblGrid>
      <w:tr w:rsidR="00164B72" w:rsidRPr="00957AD4" w:rsidTr="002A0F82">
        <w:trPr>
          <w:trHeight w:val="390"/>
        </w:trPr>
        <w:tc>
          <w:tcPr>
            <w:tcW w:w="808" w:type="dxa"/>
            <w:vAlign w:val="center"/>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序号</w:t>
            </w:r>
          </w:p>
        </w:tc>
        <w:tc>
          <w:tcPr>
            <w:tcW w:w="1086" w:type="dxa"/>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品目号</w:t>
            </w:r>
          </w:p>
        </w:tc>
        <w:tc>
          <w:tcPr>
            <w:tcW w:w="1239" w:type="dxa"/>
            <w:vAlign w:val="center"/>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标的名称</w:t>
            </w:r>
          </w:p>
        </w:tc>
        <w:tc>
          <w:tcPr>
            <w:tcW w:w="1817" w:type="dxa"/>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所属行业</w:t>
            </w:r>
          </w:p>
        </w:tc>
        <w:tc>
          <w:tcPr>
            <w:tcW w:w="1953" w:type="dxa"/>
            <w:vAlign w:val="center"/>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数量</w:t>
            </w:r>
          </w:p>
        </w:tc>
      </w:tr>
      <w:tr w:rsidR="00164B72" w:rsidRPr="00957AD4" w:rsidTr="002A0F82">
        <w:trPr>
          <w:trHeight w:val="374"/>
        </w:trPr>
        <w:tc>
          <w:tcPr>
            <w:tcW w:w="808" w:type="dxa"/>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1</w:t>
            </w:r>
          </w:p>
        </w:tc>
        <w:tc>
          <w:tcPr>
            <w:tcW w:w="1086" w:type="dxa"/>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C</w:t>
            </w:r>
            <w:r w:rsidRPr="00957AD4">
              <w:rPr>
                <w:rFonts w:ascii="仿宋" w:eastAsia="仿宋" w:hAnsi="仿宋"/>
                <w:sz w:val="24"/>
              </w:rPr>
              <w:t>99</w:t>
            </w:r>
          </w:p>
        </w:tc>
        <w:tc>
          <w:tcPr>
            <w:tcW w:w="1239" w:type="dxa"/>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体检服务</w:t>
            </w:r>
          </w:p>
        </w:tc>
        <w:tc>
          <w:tcPr>
            <w:tcW w:w="1817" w:type="dxa"/>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其他未列明行业</w:t>
            </w:r>
          </w:p>
        </w:tc>
        <w:tc>
          <w:tcPr>
            <w:tcW w:w="1953" w:type="dxa"/>
          </w:tcPr>
          <w:p w:rsidR="00164B72" w:rsidRPr="00957AD4" w:rsidRDefault="00164B72" w:rsidP="002A0F82">
            <w:pPr>
              <w:widowControl/>
              <w:spacing w:line="360" w:lineRule="atLeast"/>
              <w:jc w:val="center"/>
              <w:outlineLvl w:val="1"/>
              <w:rPr>
                <w:rFonts w:ascii="仿宋" w:eastAsia="仿宋" w:hAnsi="仿宋"/>
                <w:sz w:val="24"/>
              </w:rPr>
            </w:pPr>
            <w:r w:rsidRPr="00957AD4">
              <w:rPr>
                <w:rFonts w:ascii="仿宋" w:eastAsia="仿宋" w:hAnsi="仿宋" w:hint="eastAsia"/>
                <w:sz w:val="24"/>
              </w:rPr>
              <w:t>1</w:t>
            </w:r>
          </w:p>
        </w:tc>
      </w:tr>
    </w:tbl>
    <w:p w:rsidR="00164B72" w:rsidRPr="00957AD4" w:rsidRDefault="00164B72" w:rsidP="00164B72">
      <w:pPr>
        <w:rPr>
          <w:rFonts w:ascii="仿宋" w:eastAsia="仿宋" w:hAnsi="仿宋"/>
        </w:rPr>
      </w:pPr>
    </w:p>
    <w:p w:rsidR="00164B72" w:rsidRPr="00957AD4" w:rsidRDefault="00164B72" w:rsidP="00164B72">
      <w:pPr>
        <w:pStyle w:val="2"/>
        <w:spacing w:line="400" w:lineRule="exact"/>
        <w:ind w:firstLineChars="98" w:firstLine="236"/>
        <w:rPr>
          <w:rFonts w:ascii="仿宋" w:eastAsia="仿宋" w:hAnsi="仿宋"/>
          <w:sz w:val="24"/>
          <w:szCs w:val="24"/>
        </w:rPr>
      </w:pPr>
      <w:r w:rsidRPr="00957AD4">
        <w:rPr>
          <w:rFonts w:ascii="仿宋" w:eastAsia="仿宋" w:hAnsi="仿宋" w:hint="eastAsia"/>
          <w:sz w:val="24"/>
          <w:szCs w:val="24"/>
        </w:rPr>
        <w:t>三、服务要求</w:t>
      </w:r>
    </w:p>
    <w:p w:rsidR="00164B72" w:rsidRPr="00957AD4" w:rsidRDefault="00164B72" w:rsidP="00164B72">
      <w:pPr>
        <w:pStyle w:val="a5"/>
        <w:spacing w:line="400" w:lineRule="exact"/>
        <w:ind w:firstLineChars="0" w:firstLine="0"/>
        <w:rPr>
          <w:rFonts w:ascii="仿宋" w:eastAsia="仿宋" w:hAnsi="仿宋"/>
          <w:bCs/>
          <w:sz w:val="24"/>
        </w:rPr>
      </w:pPr>
      <w:r w:rsidRPr="00957AD4">
        <w:rPr>
          <w:rFonts w:ascii="仿宋" w:eastAsia="仿宋" w:hAnsi="仿宋" w:hint="eastAsia"/>
          <w:bCs/>
          <w:sz w:val="24"/>
        </w:rPr>
        <w:t>（一）服务内容</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（1）供应商有义务协助采购人选择体检项目。</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（2）供应商应该具有独立的体检场所、能做到检患分离，避免交叉感染。</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（3）对异常结果凡需进一步检查确诊的，由供应商向本人提出并给予安排，进一步检查的费用由需复检本人自行承担，费用不计入体检经费内。</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（4）供应商应落实保密制度，对有可疑肿瘤或其它危害身体健康较大的疾病，由体检医生直接通知员工本人，以便及时就诊或进一步检查。</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（5）供应商应提供所有参检人员的体检报告，体检报告中除进行常规的数据分析外，应提供相应的保健知识，以及个性化的健康促进计划。</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（6）为采购人提供检后咨询服务，供应商可提供MRI、胃肠镜等延伸检查。</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（7）在采购人参加体检人员的总检报告完成后为采购人提供团队检查的健康总结报告。</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（8）每批次体检工作结束后15个工作日内由供应商统一送体检报告给采购人，再由采购人转发给体检人员。</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（9）体检机构要提供清晰准确的检前注意事项。如饮食、作息等方面准确</w:t>
      </w:r>
      <w:r w:rsidRPr="00957AD4">
        <w:rPr>
          <w:rFonts w:ascii="仿宋" w:eastAsia="仿宋" w:hAnsi="仿宋" w:hint="eastAsia"/>
          <w:bCs/>
          <w:sz w:val="24"/>
        </w:rPr>
        <w:lastRenderedPageBreak/>
        <w:t>的建议。</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（10）设有餐厅并准备早餐，统一安排体检人员在检后用餐。</w:t>
      </w:r>
    </w:p>
    <w:p w:rsidR="00164B72" w:rsidRPr="00957AD4" w:rsidRDefault="00164B72" w:rsidP="00164B72">
      <w:pPr>
        <w:pStyle w:val="a5"/>
        <w:spacing w:line="400" w:lineRule="exact"/>
        <w:ind w:firstLineChars="0" w:firstLine="0"/>
        <w:rPr>
          <w:rFonts w:ascii="仿宋" w:eastAsia="仿宋" w:hAnsi="仿宋"/>
          <w:bCs/>
          <w:sz w:val="24"/>
        </w:rPr>
      </w:pPr>
    </w:p>
    <w:p w:rsidR="00164B72" w:rsidRPr="00957AD4" w:rsidRDefault="00164B72" w:rsidP="00164B72">
      <w:pPr>
        <w:pStyle w:val="a5"/>
        <w:spacing w:line="400" w:lineRule="exact"/>
        <w:ind w:firstLineChars="0" w:firstLine="0"/>
        <w:rPr>
          <w:rFonts w:ascii="仿宋" w:eastAsia="仿宋" w:hAnsi="仿宋"/>
          <w:bCs/>
          <w:sz w:val="24"/>
        </w:rPr>
      </w:pPr>
      <w:r w:rsidRPr="00957AD4">
        <w:rPr>
          <w:rFonts w:ascii="仿宋" w:eastAsia="仿宋" w:hAnsi="仿宋" w:hint="eastAsia"/>
          <w:bCs/>
          <w:sz w:val="24"/>
        </w:rPr>
        <w:t>▲（二）基础套餐</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bCs/>
          <w:sz w:val="24"/>
        </w:rPr>
        <w:t>民警套餐</w:t>
      </w:r>
    </w:p>
    <w:tbl>
      <w:tblPr>
        <w:tblW w:w="9900" w:type="dxa"/>
        <w:tblLook w:val="04A0" w:firstRow="1" w:lastRow="0" w:firstColumn="1" w:lastColumn="0" w:noHBand="0" w:noVBand="1"/>
      </w:tblPr>
      <w:tblGrid>
        <w:gridCol w:w="460"/>
        <w:gridCol w:w="2340"/>
        <w:gridCol w:w="7100"/>
      </w:tblGrid>
      <w:tr w:rsidR="00164B72" w:rsidRPr="00957AD4" w:rsidTr="002A0F82">
        <w:trPr>
          <w:trHeight w:val="312"/>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color w:val="000000"/>
                <w:kern w:val="0"/>
                <w:sz w:val="20"/>
                <w:szCs w:val="20"/>
              </w:rPr>
            </w:pPr>
            <w:r w:rsidRPr="00957AD4">
              <w:rPr>
                <w:rFonts w:ascii="仿宋" w:eastAsia="仿宋" w:hAnsi="仿宋" w:cs="宋体" w:hint="eastAsia"/>
                <w:b/>
                <w:bCs/>
                <w:color w:val="000000"/>
                <w:kern w:val="0"/>
                <w:sz w:val="20"/>
                <w:szCs w:val="20"/>
              </w:rPr>
              <w:t xml:space="preserve">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color w:val="000000"/>
                <w:kern w:val="0"/>
                <w:sz w:val="20"/>
                <w:szCs w:val="20"/>
              </w:rPr>
            </w:pPr>
            <w:r w:rsidRPr="00957AD4">
              <w:rPr>
                <w:rFonts w:ascii="仿宋" w:eastAsia="仿宋" w:hAnsi="仿宋" w:cs="宋体" w:hint="eastAsia"/>
                <w:b/>
                <w:bCs/>
                <w:color w:val="000000"/>
                <w:kern w:val="0"/>
                <w:sz w:val="20"/>
                <w:szCs w:val="20"/>
              </w:rPr>
              <w:t>体检项目</w:t>
            </w:r>
          </w:p>
        </w:tc>
        <w:tc>
          <w:tcPr>
            <w:tcW w:w="7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color w:val="000000"/>
                <w:kern w:val="0"/>
                <w:sz w:val="20"/>
                <w:szCs w:val="20"/>
              </w:rPr>
            </w:pPr>
            <w:r w:rsidRPr="00957AD4">
              <w:rPr>
                <w:rFonts w:ascii="仿宋" w:eastAsia="仿宋" w:hAnsi="仿宋" w:cs="宋体" w:hint="eastAsia"/>
                <w:b/>
                <w:bCs/>
                <w:color w:val="000000"/>
                <w:kern w:val="0"/>
                <w:sz w:val="20"/>
                <w:szCs w:val="20"/>
              </w:rPr>
              <w:t>检查意义</w:t>
            </w:r>
          </w:p>
        </w:tc>
      </w:tr>
      <w:tr w:rsidR="00164B72" w:rsidRPr="00957AD4" w:rsidTr="002A0F82">
        <w:trPr>
          <w:trHeight w:val="312"/>
        </w:trPr>
        <w:tc>
          <w:tcPr>
            <w:tcW w:w="460" w:type="dxa"/>
            <w:vMerge/>
            <w:tcBorders>
              <w:top w:val="single" w:sz="4" w:space="0" w:color="auto"/>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color w:val="000000"/>
                <w:kern w:val="0"/>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color w:val="000000"/>
                <w:kern w:val="0"/>
                <w:sz w:val="20"/>
                <w:szCs w:val="20"/>
              </w:rPr>
            </w:pPr>
          </w:p>
        </w:tc>
        <w:tc>
          <w:tcPr>
            <w:tcW w:w="7100" w:type="dxa"/>
            <w:vMerge/>
            <w:tcBorders>
              <w:top w:val="single" w:sz="4" w:space="0" w:color="auto"/>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color w:val="000000"/>
                <w:kern w:val="0"/>
                <w:sz w:val="20"/>
                <w:szCs w:val="20"/>
              </w:rPr>
            </w:pPr>
          </w:p>
        </w:tc>
      </w:tr>
      <w:tr w:rsidR="00164B72" w:rsidRPr="00957AD4" w:rsidTr="002A0F82">
        <w:trPr>
          <w:trHeight w:val="792"/>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kern w:val="0"/>
                <w:sz w:val="20"/>
                <w:szCs w:val="20"/>
              </w:rPr>
            </w:pPr>
            <w:r w:rsidRPr="00957AD4">
              <w:rPr>
                <w:rFonts w:ascii="仿宋" w:eastAsia="仿宋" w:hAnsi="仿宋" w:cs="宋体" w:hint="eastAsia"/>
                <w:b/>
                <w:bCs/>
                <w:kern w:val="0"/>
                <w:sz w:val="20"/>
                <w:szCs w:val="20"/>
              </w:rPr>
              <w:t>化验检查</w:t>
            </w: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血细胞分析</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主要包含白细胞计数及其分类、红细胞，血红蛋白、血小板等检测，筛查常见感染性疾病及血液系统疾病。</w:t>
            </w:r>
          </w:p>
        </w:tc>
      </w:tr>
      <w:tr w:rsidR="00164B72" w:rsidRPr="00957AD4" w:rsidTr="002A0F82">
        <w:trPr>
          <w:trHeight w:val="1043"/>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肝功能I</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主要包含谷丙转氨酶、谷草转氨酶、r-谷氨酰转肽酶、总蛋白、白蛋白、球蛋白、总胆红素、直接胆红素、间接胆红素等，评估肝脏功能，筛查肝炎、肝硬化、黄疸、低蛋白血症等疾病。</w:t>
            </w:r>
          </w:p>
        </w:tc>
      </w:tr>
      <w:tr w:rsidR="00164B72" w:rsidRPr="00957AD4" w:rsidTr="002A0F82">
        <w:trPr>
          <w:trHeight w:val="720"/>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肾功能I</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主要包含：尿素、肌酐、血尿酸、血钙、葡萄糖、胱抑素C，用于评估肾脏功能，筛查肾脏疾病及糖尿病。</w:t>
            </w:r>
          </w:p>
        </w:tc>
      </w:tr>
      <w:tr w:rsidR="00164B72" w:rsidRPr="00957AD4" w:rsidTr="002A0F82">
        <w:trPr>
          <w:trHeight w:val="803"/>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血脂I、II（四项）</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主要包含：总胆固醇；甘油三酯；高密度脂蛋白胆固醇；低密度脂蛋白胆固醇，筛查高脂血症，为心脑血管疾病危险因素的评估指标。</w:t>
            </w:r>
          </w:p>
        </w:tc>
      </w:tr>
      <w:tr w:rsidR="00164B72" w:rsidRPr="00957AD4" w:rsidTr="002A0F82">
        <w:trPr>
          <w:trHeight w:val="589"/>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color w:val="000000"/>
                <w:kern w:val="0"/>
                <w:sz w:val="20"/>
                <w:szCs w:val="20"/>
              </w:rPr>
            </w:pPr>
            <w:r w:rsidRPr="00957AD4">
              <w:rPr>
                <w:rFonts w:ascii="仿宋" w:eastAsia="仿宋" w:hAnsi="仿宋" w:cs="宋体" w:hint="eastAsia"/>
                <w:color w:val="000000"/>
                <w:kern w:val="0"/>
                <w:sz w:val="20"/>
                <w:szCs w:val="20"/>
              </w:rPr>
              <w:t>免疫球蛋白A、G、M、总免疫球蛋白E</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color w:val="000000"/>
                <w:kern w:val="0"/>
                <w:sz w:val="20"/>
                <w:szCs w:val="20"/>
              </w:rPr>
            </w:pPr>
            <w:r w:rsidRPr="00957AD4">
              <w:rPr>
                <w:rFonts w:ascii="仿宋" w:eastAsia="仿宋" w:hAnsi="仿宋" w:cs="宋体" w:hint="eastAsia"/>
                <w:color w:val="000000"/>
                <w:kern w:val="0"/>
                <w:sz w:val="20"/>
                <w:szCs w:val="20"/>
              </w:rPr>
              <w:t>评估慢性感染性疾病及自身免疫性疾病的有效指标</w:t>
            </w:r>
          </w:p>
        </w:tc>
      </w:tr>
      <w:tr w:rsidR="00164B72" w:rsidRPr="00957AD4" w:rsidTr="002A0F82">
        <w:trPr>
          <w:trHeight w:val="803"/>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FT3、FT4、TSH</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了解甲状腺激素水平，提示有无甲亢、甲减、自身免疫性甲状腺疾病等疾病</w:t>
            </w:r>
          </w:p>
        </w:tc>
      </w:tr>
      <w:tr w:rsidR="00164B72" w:rsidRPr="00957AD4" w:rsidTr="002A0F82">
        <w:trPr>
          <w:trHeight w:val="803"/>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color w:val="000000"/>
                <w:kern w:val="0"/>
                <w:sz w:val="20"/>
                <w:szCs w:val="20"/>
              </w:rPr>
            </w:pPr>
            <w:r w:rsidRPr="00957AD4">
              <w:rPr>
                <w:rFonts w:ascii="仿宋" w:eastAsia="仿宋" w:hAnsi="仿宋" w:cs="宋体" w:hint="eastAsia"/>
                <w:color w:val="000000"/>
                <w:kern w:val="0"/>
                <w:sz w:val="20"/>
                <w:szCs w:val="20"/>
              </w:rPr>
              <w:t>心肌损伤酶谱</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color w:val="000000"/>
                <w:kern w:val="0"/>
                <w:sz w:val="20"/>
                <w:szCs w:val="20"/>
              </w:rPr>
            </w:pPr>
            <w:r w:rsidRPr="00957AD4">
              <w:rPr>
                <w:rFonts w:ascii="仿宋" w:eastAsia="仿宋" w:hAnsi="仿宋" w:cs="宋体" w:hint="eastAsia"/>
                <w:color w:val="000000"/>
                <w:kern w:val="0"/>
                <w:sz w:val="20"/>
                <w:szCs w:val="20"/>
              </w:rPr>
              <w:t>是心肌、骨骼肌等受损伤的灵敏指标，有助于诊断心肌病、急性心肌梗塞、病毒性心肌炎、炎性肌病等疾病</w:t>
            </w:r>
          </w:p>
        </w:tc>
      </w:tr>
      <w:tr w:rsidR="00164B72" w:rsidRPr="00957AD4" w:rsidTr="002A0F82">
        <w:trPr>
          <w:trHeight w:val="645"/>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肿瘤标志物</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AFP、CEA、CA125（女）、PSA（男）（早期初筛肝癌、消化道肿瘤、女性卵巢肿瘤、男性前列腺肿瘤）</w:t>
            </w:r>
          </w:p>
        </w:tc>
      </w:tr>
      <w:tr w:rsidR="00164B72" w:rsidRPr="00957AD4" w:rsidTr="002A0F82">
        <w:trPr>
          <w:trHeight w:val="769"/>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尿常规</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主要包括尿液中尿蛋白、红细胞、白细胞、管型、细菌等项目的检测，有助于糖尿病、尿路感染、肾盂肾炎、肾小球肾炎、肾病等疾病诊断。</w:t>
            </w:r>
          </w:p>
        </w:tc>
      </w:tr>
      <w:tr w:rsidR="00164B72" w:rsidRPr="00957AD4" w:rsidTr="002A0F82">
        <w:trPr>
          <w:trHeight w:val="645"/>
        </w:trPr>
        <w:tc>
          <w:tcPr>
            <w:tcW w:w="4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常规检查</w:t>
            </w: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男性彩超（肝胆胰脾肾输尿管膀胱前列腺）</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筛查肝、胆、胰、脾、双肾、输尿管、膀胱、前列腺的结构、形态、大小，筛查各脏器有无良恶性病变。</w:t>
            </w:r>
          </w:p>
        </w:tc>
      </w:tr>
      <w:tr w:rsidR="00164B72" w:rsidRPr="00957AD4" w:rsidTr="002A0F82">
        <w:trPr>
          <w:trHeight w:val="645"/>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女性彩超（肝胆胰脾肾输尿管膀胱子宫附件）</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筛查肝、胆、胰、脾、双肾、输尿管、膀胱、子宫、附件的结构、形态、大小，筛查各脏器有无良恶性病变。</w:t>
            </w:r>
          </w:p>
        </w:tc>
      </w:tr>
      <w:tr w:rsidR="00164B72" w:rsidRPr="00957AD4" w:rsidTr="002A0F82">
        <w:trPr>
          <w:trHeight w:val="690"/>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乳腺及腋下淋巴结彩超</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筛查有无乳腺增生症、乳腺囊肿、乳腺肿瘤及淋巴结有无异常等。</w:t>
            </w:r>
          </w:p>
        </w:tc>
      </w:tr>
      <w:tr w:rsidR="00164B72" w:rsidRPr="00957AD4" w:rsidTr="002A0F82">
        <w:trPr>
          <w:trHeight w:val="690"/>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甲状腺及颈部淋巴结彩超</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了解甲状腺的结构及血流情况等，筛查有无甲状腺结节、囊肿、肿瘤等病变。</w:t>
            </w:r>
          </w:p>
        </w:tc>
      </w:tr>
      <w:tr w:rsidR="00164B72" w:rsidRPr="00957AD4" w:rsidTr="002A0F82">
        <w:trPr>
          <w:trHeight w:val="709"/>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胸部正侧位片</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筛查支气管、肺部和纵隔有无占位性病变及肺气肿、气胸、胸腔积液、炎症、结核等疾病。</w:t>
            </w:r>
          </w:p>
        </w:tc>
      </w:tr>
      <w:tr w:rsidR="00164B72" w:rsidRPr="00957AD4" w:rsidTr="002A0F82">
        <w:trPr>
          <w:trHeight w:val="660"/>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12导联心电图</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筛查有无心肌缺血、心肌梗塞、房室传导阻滞、心律失常等疾病。</w:t>
            </w:r>
          </w:p>
        </w:tc>
      </w:tr>
      <w:tr w:rsidR="00164B72" w:rsidRPr="00957AD4" w:rsidTr="002A0F82">
        <w:trPr>
          <w:trHeight w:val="690"/>
        </w:trPr>
        <w:tc>
          <w:tcPr>
            <w:tcW w:w="4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lastRenderedPageBreak/>
              <w:t>临床体格检查</w:t>
            </w: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一般检查</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检查身高、体重、血压、腰围、臀围，评估心脑血管疾病危险因素，辅助判断危险程度。健康评估证据和健康计划依据</w:t>
            </w:r>
          </w:p>
        </w:tc>
      </w:tr>
      <w:tr w:rsidR="00164B72" w:rsidRPr="00957AD4" w:rsidTr="002A0F82">
        <w:trPr>
          <w:trHeight w:val="615"/>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肛门指检</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通过指检筛查痔疮、肛裂及直肠下段病变</w:t>
            </w:r>
          </w:p>
        </w:tc>
      </w:tr>
      <w:tr w:rsidR="00164B72" w:rsidRPr="00957AD4" w:rsidTr="002A0F82">
        <w:trPr>
          <w:trHeight w:val="465"/>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眼科（不含色觉）</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检查视力、外眼、角膜、结膜、晶状体等</w:t>
            </w:r>
          </w:p>
        </w:tc>
      </w:tr>
      <w:tr w:rsidR="00164B72" w:rsidRPr="00957AD4" w:rsidTr="002A0F82">
        <w:trPr>
          <w:trHeight w:val="645"/>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耳鼻喉科</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筛查耳鼻及咽喉部的炎症、息肉及新生物等异常。</w:t>
            </w:r>
          </w:p>
        </w:tc>
      </w:tr>
      <w:tr w:rsidR="00164B72" w:rsidRPr="00957AD4" w:rsidTr="002A0F82">
        <w:trPr>
          <w:trHeight w:val="518"/>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妇科体格检查+宫颈液基刮片细胞学检查</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了解女性的外阴、阴道、宫颈、子宫及附件的基本状况</w:t>
            </w:r>
          </w:p>
        </w:tc>
      </w:tr>
      <w:tr w:rsidR="00164B72" w:rsidRPr="00957AD4" w:rsidTr="002A0F82">
        <w:trPr>
          <w:trHeight w:val="878"/>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234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了解女性的外阴、阴道、宫颈、子宫及附件的基本状况，宫颈液基细胞学检查用于初筛有无炎症及宫颈癌前病变、宫颈癌等（仅限有性生活史的女性检查）</w:t>
            </w:r>
          </w:p>
        </w:tc>
      </w:tr>
      <w:tr w:rsidR="00164B72" w:rsidRPr="00957AD4" w:rsidTr="002A0F82">
        <w:trPr>
          <w:trHeight w:val="938"/>
        </w:trPr>
        <w:tc>
          <w:tcPr>
            <w:tcW w:w="990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营养早餐，建立健康档案，专家健康咨询，健康报告及报告袋，静脉采血一次性医用材料费，超声多幅照相（含腹部、乳腺）</w:t>
            </w: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center"/>
              <w:rPr>
                <w:rFonts w:ascii="仿宋" w:eastAsia="仿宋" w:hAnsi="仿宋" w:cs="宋体"/>
                <w:kern w:val="0"/>
                <w:sz w:val="24"/>
              </w:rPr>
            </w:pPr>
          </w:p>
        </w:tc>
        <w:tc>
          <w:tcPr>
            <w:tcW w:w="7100" w:type="dxa"/>
            <w:tcBorders>
              <w:top w:val="nil"/>
              <w:left w:val="nil"/>
              <w:bottom w:val="nil"/>
              <w:right w:val="nil"/>
            </w:tcBorders>
            <w:shd w:val="clear" w:color="auto" w:fill="auto"/>
            <w:vAlign w:val="center"/>
            <w:hideMark/>
          </w:tcPr>
          <w:p w:rsidR="00164B72" w:rsidRPr="00957AD4" w:rsidRDefault="00164B72" w:rsidP="002A0F82">
            <w:pPr>
              <w:widowControl/>
              <w:jc w:val="left"/>
              <w:rPr>
                <w:rFonts w:ascii="仿宋" w:eastAsia="仿宋" w:hAnsi="仿宋" w:cs="宋体"/>
                <w:kern w:val="0"/>
                <w:sz w:val="24"/>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center"/>
              <w:rPr>
                <w:rFonts w:ascii="仿宋" w:eastAsia="仿宋" w:hAnsi="仿宋" w:cs="宋体"/>
                <w:b/>
                <w:bCs/>
                <w:color w:val="FF0000"/>
                <w:kern w:val="0"/>
                <w:sz w:val="24"/>
              </w:rPr>
            </w:pPr>
            <w:r w:rsidRPr="00957AD4">
              <w:rPr>
                <w:rFonts w:ascii="仿宋" w:eastAsia="仿宋" w:hAnsi="仿宋" w:cs="宋体" w:hint="eastAsia"/>
                <w:b/>
                <w:bCs/>
                <w:color w:val="FF0000"/>
                <w:kern w:val="0"/>
                <w:sz w:val="24"/>
              </w:rPr>
              <w:t>四选一：</w:t>
            </w:r>
          </w:p>
        </w:tc>
        <w:tc>
          <w:tcPr>
            <w:tcW w:w="7100" w:type="dxa"/>
            <w:tcBorders>
              <w:top w:val="nil"/>
              <w:left w:val="nil"/>
              <w:bottom w:val="nil"/>
              <w:right w:val="nil"/>
            </w:tcBorders>
            <w:shd w:val="clear" w:color="auto" w:fill="auto"/>
            <w:vAlign w:val="center"/>
            <w:hideMark/>
          </w:tcPr>
          <w:p w:rsidR="00164B72" w:rsidRPr="00957AD4" w:rsidRDefault="00164B72" w:rsidP="002A0F82">
            <w:pPr>
              <w:widowControl/>
              <w:jc w:val="left"/>
              <w:rPr>
                <w:rFonts w:ascii="仿宋" w:eastAsia="仿宋" w:hAnsi="仿宋" w:cs="宋体"/>
                <w:kern w:val="0"/>
                <w:sz w:val="24"/>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b/>
                <w:bCs/>
                <w:color w:val="FF0000"/>
                <w:kern w:val="0"/>
                <w:sz w:val="24"/>
              </w:rPr>
            </w:pPr>
            <w:r w:rsidRPr="00957AD4">
              <w:rPr>
                <w:rFonts w:ascii="仿宋" w:eastAsia="仿宋" w:hAnsi="仿宋" w:cs="宋体" w:hint="eastAsia"/>
                <w:b/>
                <w:bCs/>
                <w:color w:val="FF0000"/>
                <w:kern w:val="0"/>
                <w:sz w:val="24"/>
              </w:rPr>
              <w:t>X1：心血管系统</w:t>
            </w: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81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心脏常规</w:t>
            </w:r>
          </w:p>
        </w:tc>
        <w:tc>
          <w:tcPr>
            <w:tcW w:w="7100" w:type="dxa"/>
            <w:tcBorders>
              <w:top w:val="single" w:sz="4" w:space="0" w:color="auto"/>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动态显示心腔内结构、心脏的搏动和血液流动，评估有无高血压性心脏病、冠心病、先天性心脏病等心脏结构功能改变，是诊断心脏疾病的有效检查手段</w:t>
            </w:r>
          </w:p>
        </w:tc>
      </w:tr>
      <w:tr w:rsidR="00164B72" w:rsidRPr="00957AD4" w:rsidTr="002A0F82">
        <w:trPr>
          <w:trHeight w:val="54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经颅多普勒（TCD）</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无创检测脑血管供血情况，主要用于评价脑动脉狭窄、闭塞或痉挛的部位及程度。</w:t>
            </w: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糖化血红蛋白</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评估近三个月机体血糖平均水平，协助糖尿病诊断及病情评价。</w:t>
            </w:r>
          </w:p>
        </w:tc>
      </w:tr>
      <w:tr w:rsidR="00164B72" w:rsidRPr="00957AD4" w:rsidTr="002A0F82">
        <w:trPr>
          <w:trHeight w:val="54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类风湿因子（RF）</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 xml:space="preserve">升高多为急性或慢性感染，恶性肿瘤以及具有组织变性或坏死性疾病（如心肌梗死，胶原组织病等）。 </w:t>
            </w:r>
          </w:p>
        </w:tc>
      </w:tr>
      <w:tr w:rsidR="00164B72" w:rsidRPr="00957AD4" w:rsidTr="002A0F82">
        <w:trPr>
          <w:trHeight w:val="54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抗链球菌溶血素O1</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咽炎、扁桃体炎、猩红热、丹毒、脓皮病、风湿热等感染A组链球菌后，可引起链球菌溶血素O抗体升高</w:t>
            </w:r>
          </w:p>
        </w:tc>
      </w:tr>
      <w:tr w:rsidR="00164B72" w:rsidRPr="00957AD4" w:rsidTr="002A0F82">
        <w:trPr>
          <w:trHeight w:val="54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红细胞沉降率（ESR）</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用于诊断类风湿关节炎等风湿性疾病</w:t>
            </w:r>
          </w:p>
        </w:tc>
      </w:tr>
      <w:tr w:rsidR="00164B72" w:rsidRPr="00957AD4" w:rsidTr="002A0F82">
        <w:trPr>
          <w:trHeight w:val="81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同型半胱氨酸</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辅助评估心血管疾病及中风的风险，以及日常生活方式健康与饮食均衡与否等，早期发现衰老、免疫低下、解毒功能下降、骨折风险等</w:t>
            </w: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b/>
                <w:bCs/>
                <w:color w:val="FF0000"/>
                <w:kern w:val="0"/>
                <w:sz w:val="24"/>
              </w:rPr>
            </w:pPr>
            <w:r w:rsidRPr="00957AD4">
              <w:rPr>
                <w:rFonts w:ascii="仿宋" w:eastAsia="仿宋" w:hAnsi="仿宋" w:cs="宋体" w:hint="eastAsia"/>
                <w:b/>
                <w:bCs/>
                <w:color w:val="FF0000"/>
                <w:kern w:val="0"/>
                <w:sz w:val="24"/>
              </w:rPr>
              <w:t>X2：呼吸系统</w:t>
            </w: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108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CT胸部平扫</w:t>
            </w:r>
          </w:p>
        </w:tc>
        <w:tc>
          <w:tcPr>
            <w:tcW w:w="7100" w:type="dxa"/>
            <w:tcBorders>
              <w:top w:val="single" w:sz="4" w:space="0" w:color="auto"/>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临床检测肺部病变的主要方法，协助有无肺炎、肺结核、肺气肿、气胸、胸腔积液、肿瘤等病变，特别是对早期肺癌筛查具有重要意义，可检出直径小于1cm的微小肺癌，为筛查早期肺癌的“利器”，同时可协助心脏大血管、纵膈病变的评估及诊断。</w:t>
            </w:r>
          </w:p>
        </w:tc>
      </w:tr>
      <w:tr w:rsidR="00164B72" w:rsidRPr="00957AD4" w:rsidTr="002A0F82">
        <w:trPr>
          <w:trHeight w:val="81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NSE、FER</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筛查与神经内分泌组织起源有关的肿瘤，特别是小细胞肺癌（SCLC）、另外还有神经母细胞瘤等，急慢性肝脏损害和肝癌时升高的灵敏指标</w:t>
            </w:r>
          </w:p>
        </w:tc>
      </w:tr>
      <w:tr w:rsidR="00164B72" w:rsidRPr="00957AD4" w:rsidTr="002A0F82">
        <w:trPr>
          <w:trHeight w:val="54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CYFRA21-1</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是非小细胞肺癌筛查的首选标志物，对非小细胞肺癌的早期诊断、疗效监测和预后判断均有重要意义。</w:t>
            </w:r>
          </w:p>
        </w:tc>
      </w:tr>
      <w:tr w:rsidR="00164B72" w:rsidRPr="00957AD4" w:rsidTr="002A0F82">
        <w:trPr>
          <w:trHeight w:val="54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血管内皮生长因子</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肿瘤的发生、发展和转移均与血管生长密切相关，该项目重度异常提示患肿瘤的风险</w:t>
            </w: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9440" w:type="dxa"/>
            <w:gridSpan w:val="2"/>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b/>
                <w:bCs/>
                <w:color w:val="FF0000"/>
                <w:kern w:val="0"/>
                <w:sz w:val="24"/>
              </w:rPr>
            </w:pPr>
            <w:r w:rsidRPr="00957AD4">
              <w:rPr>
                <w:rFonts w:ascii="仿宋" w:eastAsia="仿宋" w:hAnsi="仿宋" w:cs="宋体" w:hint="eastAsia"/>
                <w:b/>
                <w:bCs/>
                <w:color w:val="FF0000"/>
                <w:kern w:val="0"/>
                <w:sz w:val="24"/>
              </w:rPr>
              <w:t>X3：妇科专项筛查（仅限有性生活史的已婚女性检查）</w:t>
            </w: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CA125、CA153、SCC</w:t>
            </w:r>
          </w:p>
        </w:tc>
        <w:tc>
          <w:tcPr>
            <w:tcW w:w="7100" w:type="dxa"/>
            <w:tcBorders>
              <w:top w:val="single" w:sz="4" w:space="0" w:color="auto"/>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乳腺癌、卵巢癌、宫颈癌筛查</w:t>
            </w:r>
          </w:p>
        </w:tc>
      </w:tr>
      <w:tr w:rsidR="00164B72" w:rsidRPr="00957AD4" w:rsidTr="002A0F82">
        <w:trPr>
          <w:trHeight w:val="54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2"/>
              </w:rPr>
            </w:pPr>
            <w:r w:rsidRPr="00957AD4">
              <w:rPr>
                <w:rFonts w:ascii="仿宋" w:eastAsia="仿宋" w:hAnsi="仿宋" w:cs="宋体" w:hint="eastAsia"/>
                <w:kern w:val="0"/>
                <w:sz w:val="22"/>
              </w:rPr>
              <w:t>人乳头瘤病毒基因分型（HPV-DNA-21型）</w:t>
            </w:r>
          </w:p>
        </w:tc>
        <w:tc>
          <w:tcPr>
            <w:tcW w:w="710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2"/>
              </w:rPr>
            </w:pPr>
            <w:r w:rsidRPr="00957AD4">
              <w:rPr>
                <w:rFonts w:ascii="仿宋" w:eastAsia="仿宋" w:hAnsi="仿宋" w:cs="宋体" w:hint="eastAsia"/>
                <w:kern w:val="0"/>
                <w:sz w:val="22"/>
              </w:rPr>
              <w:t>筛查宫颈HPV病毒感染情况，评估宫颈病变风险</w:t>
            </w: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b/>
                <w:bCs/>
                <w:color w:val="FF0000"/>
                <w:kern w:val="0"/>
                <w:sz w:val="24"/>
              </w:rPr>
            </w:pPr>
            <w:r w:rsidRPr="00957AD4">
              <w:rPr>
                <w:rFonts w:ascii="仿宋" w:eastAsia="仿宋" w:hAnsi="仿宋" w:cs="宋体" w:hint="eastAsia"/>
                <w:b/>
                <w:bCs/>
                <w:color w:val="FF0000"/>
                <w:kern w:val="0"/>
                <w:sz w:val="24"/>
              </w:rPr>
              <w:t>X4：消化系统</w:t>
            </w:r>
          </w:p>
        </w:tc>
        <w:tc>
          <w:tcPr>
            <w:tcW w:w="710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color w:val="000000"/>
                <w:kern w:val="0"/>
                <w:sz w:val="24"/>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color w:val="000000"/>
                <w:kern w:val="0"/>
                <w:sz w:val="22"/>
              </w:rPr>
            </w:pPr>
            <w:r w:rsidRPr="00957AD4">
              <w:rPr>
                <w:rFonts w:ascii="Calibri" w:eastAsia="仿宋" w:hAnsi="Calibri" w:cs="Calibri"/>
                <w:color w:val="000000"/>
                <w:kern w:val="0"/>
                <w:sz w:val="22"/>
              </w:rPr>
              <w:t> </w:t>
            </w:r>
            <w:r w:rsidRPr="00957AD4">
              <w:rPr>
                <w:rFonts w:ascii="仿宋" w:eastAsia="仿宋" w:hAnsi="仿宋" w:cs="仿宋" w:hint="eastAsia"/>
                <w:color w:val="000000"/>
                <w:kern w:val="0"/>
                <w:sz w:val="22"/>
              </w:rPr>
              <w:t>13C</w:t>
            </w:r>
            <w:r w:rsidRPr="00957AD4">
              <w:rPr>
                <w:rFonts w:ascii="仿宋" w:eastAsia="仿宋" w:hAnsi="仿宋" w:cs="宋体" w:hint="eastAsia"/>
                <w:color w:val="000000"/>
                <w:kern w:val="0"/>
                <w:sz w:val="22"/>
              </w:rPr>
              <w:t>呼气试验</w:t>
            </w:r>
          </w:p>
        </w:tc>
        <w:tc>
          <w:tcPr>
            <w:tcW w:w="7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left"/>
              <w:rPr>
                <w:rFonts w:ascii="仿宋" w:eastAsia="仿宋" w:hAnsi="仿宋" w:cs="宋体"/>
                <w:color w:val="000000"/>
                <w:kern w:val="0"/>
                <w:sz w:val="22"/>
              </w:rPr>
            </w:pPr>
            <w:r w:rsidRPr="00957AD4">
              <w:rPr>
                <w:rFonts w:ascii="仿宋" w:eastAsia="仿宋" w:hAnsi="仿宋" w:cs="宋体" w:hint="eastAsia"/>
                <w:color w:val="000000"/>
                <w:kern w:val="0"/>
                <w:sz w:val="22"/>
              </w:rPr>
              <w:t>评估上消化系统疾病，筛查有无幽门螺杆菌感染及早期胃炎、胃萎缩、胃癌等</w:t>
            </w:r>
          </w:p>
        </w:tc>
      </w:tr>
      <w:tr w:rsidR="00164B72" w:rsidRPr="00957AD4" w:rsidTr="002A0F82">
        <w:trPr>
          <w:trHeight w:val="540"/>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color w:val="000000"/>
                <w:kern w:val="0"/>
                <w:sz w:val="22"/>
              </w:rPr>
            </w:pPr>
            <w:r w:rsidRPr="00957AD4">
              <w:rPr>
                <w:rFonts w:ascii="仿宋" w:eastAsia="仿宋" w:hAnsi="仿宋" w:cs="宋体" w:hint="eastAsia"/>
                <w:color w:val="000000"/>
                <w:kern w:val="0"/>
                <w:sz w:val="22"/>
              </w:rPr>
              <w:t>胃蛋白酶原I、II、胃泌素G17</w:t>
            </w:r>
          </w:p>
        </w:tc>
        <w:tc>
          <w:tcPr>
            <w:tcW w:w="7100" w:type="dxa"/>
            <w:vMerge/>
            <w:tcBorders>
              <w:top w:val="single" w:sz="4" w:space="0" w:color="auto"/>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color w:val="000000"/>
                <w:kern w:val="0"/>
                <w:sz w:val="22"/>
              </w:rPr>
            </w:pPr>
          </w:p>
        </w:tc>
      </w:tr>
      <w:tr w:rsidR="00164B72" w:rsidRPr="00957AD4" w:rsidTr="002A0F82">
        <w:trPr>
          <w:trHeight w:val="285"/>
        </w:trPr>
        <w:tc>
          <w:tcPr>
            <w:tcW w:w="460" w:type="dxa"/>
            <w:tcBorders>
              <w:top w:val="nil"/>
              <w:left w:val="nil"/>
              <w:bottom w:val="nil"/>
              <w:right w:val="nil"/>
            </w:tcBorders>
            <w:shd w:val="clear" w:color="auto" w:fill="auto"/>
            <w:noWrap/>
            <w:vAlign w:val="center"/>
            <w:hideMark/>
          </w:tcPr>
          <w:p w:rsidR="00164B72" w:rsidRPr="00957AD4" w:rsidRDefault="00164B72" w:rsidP="002A0F82">
            <w:pPr>
              <w:widowControl/>
              <w:jc w:val="left"/>
              <w:rPr>
                <w:rFonts w:ascii="仿宋" w:eastAsia="仿宋" w:hAnsi="仿宋" w:cs="宋体"/>
                <w:kern w:val="0"/>
                <w:sz w:val="24"/>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color w:val="000000"/>
                <w:kern w:val="0"/>
                <w:sz w:val="22"/>
              </w:rPr>
            </w:pPr>
            <w:r w:rsidRPr="00957AD4">
              <w:rPr>
                <w:rFonts w:ascii="仿宋" w:eastAsia="仿宋" w:hAnsi="仿宋" w:cs="宋体" w:hint="eastAsia"/>
                <w:color w:val="000000"/>
                <w:kern w:val="0"/>
                <w:sz w:val="22"/>
              </w:rPr>
              <w:t>大便常规+隐血</w:t>
            </w:r>
          </w:p>
        </w:tc>
        <w:tc>
          <w:tcPr>
            <w:tcW w:w="7100" w:type="dxa"/>
            <w:tcBorders>
              <w:top w:val="nil"/>
              <w:left w:val="nil"/>
              <w:bottom w:val="single" w:sz="4" w:space="0" w:color="auto"/>
              <w:right w:val="single" w:sz="4" w:space="0" w:color="auto"/>
            </w:tcBorders>
            <w:shd w:val="clear" w:color="auto" w:fill="auto"/>
            <w:vAlign w:val="center"/>
            <w:hideMark/>
          </w:tcPr>
          <w:p w:rsidR="00164B72" w:rsidRPr="00957AD4" w:rsidRDefault="00164B72" w:rsidP="002A0F82">
            <w:pPr>
              <w:widowControl/>
              <w:jc w:val="left"/>
              <w:rPr>
                <w:rFonts w:ascii="仿宋" w:eastAsia="仿宋" w:hAnsi="仿宋" w:cs="宋体"/>
                <w:color w:val="000000"/>
                <w:kern w:val="0"/>
                <w:sz w:val="22"/>
              </w:rPr>
            </w:pPr>
            <w:r w:rsidRPr="00957AD4">
              <w:rPr>
                <w:rFonts w:ascii="仿宋" w:eastAsia="仿宋" w:hAnsi="仿宋" w:cs="宋体" w:hint="eastAsia"/>
                <w:color w:val="000000"/>
                <w:kern w:val="0"/>
                <w:sz w:val="22"/>
              </w:rPr>
              <w:t>了解有无寄生虫感染、肠炎、胃肠道出血等疾病</w:t>
            </w:r>
          </w:p>
        </w:tc>
      </w:tr>
    </w:tbl>
    <w:p w:rsidR="00164B72" w:rsidRPr="00957AD4" w:rsidRDefault="00164B72" w:rsidP="00164B72">
      <w:pPr>
        <w:pStyle w:val="a5"/>
        <w:spacing w:line="400" w:lineRule="exact"/>
        <w:ind w:firstLineChars="0" w:firstLine="0"/>
        <w:rPr>
          <w:rFonts w:ascii="仿宋" w:eastAsia="仿宋" w:hAnsi="仿宋"/>
          <w:bCs/>
          <w:sz w:val="24"/>
        </w:rPr>
      </w:pPr>
    </w:p>
    <w:p w:rsidR="00164B72" w:rsidRPr="00957AD4" w:rsidRDefault="00164B72" w:rsidP="00164B72">
      <w:pPr>
        <w:pStyle w:val="a5"/>
        <w:spacing w:line="400" w:lineRule="exact"/>
        <w:ind w:firstLineChars="0" w:firstLine="0"/>
        <w:rPr>
          <w:rFonts w:ascii="仿宋" w:eastAsia="仿宋" w:hAnsi="仿宋"/>
          <w:bCs/>
          <w:sz w:val="24"/>
        </w:rPr>
      </w:pPr>
      <w:r w:rsidRPr="00957AD4">
        <w:rPr>
          <w:rFonts w:ascii="仿宋" w:eastAsia="仿宋" w:hAnsi="仿宋" w:hint="eastAsia"/>
          <w:bCs/>
          <w:sz w:val="24"/>
        </w:rPr>
        <w:t>辅警套餐</w:t>
      </w:r>
    </w:p>
    <w:tbl>
      <w:tblPr>
        <w:tblW w:w="9540" w:type="dxa"/>
        <w:tblInd w:w="93" w:type="dxa"/>
        <w:tblLook w:val="04A0" w:firstRow="1" w:lastRow="0" w:firstColumn="1" w:lastColumn="0" w:noHBand="0" w:noVBand="1"/>
      </w:tblPr>
      <w:tblGrid>
        <w:gridCol w:w="460"/>
        <w:gridCol w:w="2520"/>
        <w:gridCol w:w="6560"/>
      </w:tblGrid>
      <w:tr w:rsidR="00164B72" w:rsidRPr="00957AD4" w:rsidTr="002A0F82">
        <w:trPr>
          <w:trHeight w:val="312"/>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color w:val="000000"/>
                <w:kern w:val="0"/>
                <w:sz w:val="20"/>
                <w:szCs w:val="20"/>
              </w:rPr>
            </w:pPr>
            <w:r w:rsidRPr="00957AD4">
              <w:rPr>
                <w:rFonts w:ascii="仿宋" w:eastAsia="仿宋" w:hAnsi="仿宋" w:cs="宋体" w:hint="eastAsia"/>
                <w:b/>
                <w:bCs/>
                <w:color w:val="000000"/>
                <w:kern w:val="0"/>
                <w:sz w:val="20"/>
                <w:szCs w:val="20"/>
              </w:rPr>
              <w:t xml:space="preserve">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color w:val="000000"/>
                <w:kern w:val="0"/>
                <w:sz w:val="20"/>
                <w:szCs w:val="20"/>
              </w:rPr>
            </w:pPr>
            <w:r w:rsidRPr="00957AD4">
              <w:rPr>
                <w:rFonts w:ascii="仿宋" w:eastAsia="仿宋" w:hAnsi="仿宋" w:cs="宋体" w:hint="eastAsia"/>
                <w:b/>
                <w:bCs/>
                <w:color w:val="000000"/>
                <w:kern w:val="0"/>
                <w:sz w:val="20"/>
                <w:szCs w:val="20"/>
              </w:rPr>
              <w:t>体检项目</w:t>
            </w:r>
          </w:p>
        </w:tc>
        <w:tc>
          <w:tcPr>
            <w:tcW w:w="6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color w:val="000000"/>
                <w:kern w:val="0"/>
                <w:sz w:val="20"/>
                <w:szCs w:val="20"/>
              </w:rPr>
            </w:pPr>
            <w:r w:rsidRPr="00957AD4">
              <w:rPr>
                <w:rFonts w:ascii="仿宋" w:eastAsia="仿宋" w:hAnsi="仿宋" w:cs="宋体" w:hint="eastAsia"/>
                <w:b/>
                <w:bCs/>
                <w:color w:val="000000"/>
                <w:kern w:val="0"/>
                <w:sz w:val="20"/>
                <w:szCs w:val="20"/>
              </w:rPr>
              <w:t>检查意义</w:t>
            </w:r>
          </w:p>
        </w:tc>
      </w:tr>
      <w:tr w:rsidR="00164B72" w:rsidRPr="00957AD4" w:rsidTr="002A0F82">
        <w:trPr>
          <w:trHeight w:val="312"/>
        </w:trPr>
        <w:tc>
          <w:tcPr>
            <w:tcW w:w="460" w:type="dxa"/>
            <w:vMerge/>
            <w:tcBorders>
              <w:top w:val="single" w:sz="4" w:space="0" w:color="auto"/>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color w:val="000000"/>
                <w:kern w:val="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color w:val="000000"/>
                <w:kern w:val="0"/>
                <w:sz w:val="20"/>
                <w:szCs w:val="20"/>
              </w:rPr>
            </w:pPr>
          </w:p>
        </w:tc>
        <w:tc>
          <w:tcPr>
            <w:tcW w:w="6560" w:type="dxa"/>
            <w:vMerge/>
            <w:tcBorders>
              <w:top w:val="single" w:sz="4" w:space="0" w:color="auto"/>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color w:val="000000"/>
                <w:kern w:val="0"/>
                <w:sz w:val="20"/>
                <w:szCs w:val="20"/>
              </w:rPr>
            </w:pPr>
          </w:p>
        </w:tc>
      </w:tr>
      <w:tr w:rsidR="00164B72" w:rsidRPr="00957AD4" w:rsidTr="002A0F82">
        <w:trPr>
          <w:trHeight w:val="792"/>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kern w:val="0"/>
                <w:sz w:val="20"/>
                <w:szCs w:val="20"/>
              </w:rPr>
            </w:pPr>
            <w:r w:rsidRPr="00957AD4">
              <w:rPr>
                <w:rFonts w:ascii="仿宋" w:eastAsia="仿宋" w:hAnsi="仿宋" w:cs="宋体" w:hint="eastAsia"/>
                <w:b/>
                <w:bCs/>
                <w:kern w:val="0"/>
                <w:sz w:val="20"/>
                <w:szCs w:val="20"/>
              </w:rPr>
              <w:t>化验检查</w:t>
            </w: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血细胞分析</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主要包含白细胞计数及其分类、红细胞，血红蛋白、血小板等检测，筛查常见感染性疾病及血液系统疾病。</w:t>
            </w:r>
          </w:p>
        </w:tc>
      </w:tr>
      <w:tr w:rsidR="00164B72" w:rsidRPr="00957AD4" w:rsidTr="002A0F82">
        <w:trPr>
          <w:trHeight w:val="1043"/>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肝功能I</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主要包含谷丙转氨酶、谷草转氨酶、r-谷氨酰转肽酶、总蛋白、白蛋白、球蛋白、总胆红素、直接胆红素、间接胆红素等，评估肝脏功能，筛查肝炎、肝硬化、黄疸、低蛋白血症等疾病。</w:t>
            </w:r>
          </w:p>
        </w:tc>
      </w:tr>
      <w:tr w:rsidR="00164B72" w:rsidRPr="00957AD4" w:rsidTr="002A0F82">
        <w:trPr>
          <w:trHeight w:val="720"/>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肾功能I</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主要包含：尿素、肌酐、血尿酸、血钙、葡萄糖、胱抑素C，用于评估肾脏功能，筛查肾脏疾病及糖尿病。</w:t>
            </w:r>
          </w:p>
        </w:tc>
      </w:tr>
      <w:tr w:rsidR="00164B72" w:rsidRPr="00957AD4" w:rsidTr="002A0F82">
        <w:trPr>
          <w:trHeight w:val="803"/>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血脂I、II（四项）</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主要包含：总胆固醇；甘油三酯；高密度脂蛋白胆固醇；低密度脂蛋白胆固醇，筛查高脂血症，为心脑血管疾病危险因素的评估指标。</w:t>
            </w:r>
          </w:p>
        </w:tc>
      </w:tr>
      <w:tr w:rsidR="00164B72" w:rsidRPr="00957AD4" w:rsidTr="002A0F82">
        <w:trPr>
          <w:trHeight w:val="803"/>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FT3、FT4、TSH</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了解甲状腺激素水平，提示有无甲亢、甲减、自身免疫性甲状腺疾病等疾病</w:t>
            </w:r>
          </w:p>
        </w:tc>
      </w:tr>
      <w:tr w:rsidR="00164B72" w:rsidRPr="00957AD4" w:rsidTr="002A0F82">
        <w:trPr>
          <w:trHeight w:val="803"/>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color w:val="000000"/>
                <w:kern w:val="0"/>
                <w:sz w:val="20"/>
                <w:szCs w:val="20"/>
              </w:rPr>
            </w:pPr>
            <w:r w:rsidRPr="00957AD4">
              <w:rPr>
                <w:rFonts w:ascii="仿宋" w:eastAsia="仿宋" w:hAnsi="仿宋" w:cs="宋体" w:hint="eastAsia"/>
                <w:color w:val="000000"/>
                <w:kern w:val="0"/>
                <w:sz w:val="20"/>
                <w:szCs w:val="20"/>
              </w:rPr>
              <w:t>心肌损伤酶谱</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color w:val="000000"/>
                <w:kern w:val="0"/>
                <w:sz w:val="20"/>
                <w:szCs w:val="20"/>
              </w:rPr>
            </w:pPr>
            <w:r w:rsidRPr="00957AD4">
              <w:rPr>
                <w:rFonts w:ascii="仿宋" w:eastAsia="仿宋" w:hAnsi="仿宋" w:cs="宋体" w:hint="eastAsia"/>
                <w:color w:val="000000"/>
                <w:kern w:val="0"/>
                <w:sz w:val="20"/>
                <w:szCs w:val="20"/>
              </w:rPr>
              <w:t>是心肌、骨骼肌等受损伤的灵敏指标，有助于诊断心肌病、急性心肌梗塞、病毒性心肌炎、炎性肌病等疾病</w:t>
            </w:r>
          </w:p>
        </w:tc>
      </w:tr>
      <w:tr w:rsidR="00164B72" w:rsidRPr="00957AD4" w:rsidTr="002A0F82">
        <w:trPr>
          <w:trHeight w:val="645"/>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肿瘤标志物</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AFP、CEA、CA125（女）、PSA（男）（早期初筛肝癌、消化道肿瘤、女性卵巢肿瘤、男性前列腺肿瘤）</w:t>
            </w:r>
          </w:p>
        </w:tc>
      </w:tr>
      <w:tr w:rsidR="00164B72" w:rsidRPr="00957AD4" w:rsidTr="002A0F82">
        <w:trPr>
          <w:trHeight w:val="769"/>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尿常规</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主要包括尿液中尿蛋白、红细胞、白细胞、管型、细菌等项目的检测，有助于糖尿病、尿路感染、肾盂肾炎、肾小球肾炎、肾病等疾病诊断。</w:t>
            </w:r>
          </w:p>
        </w:tc>
      </w:tr>
      <w:tr w:rsidR="00164B72" w:rsidRPr="00957AD4" w:rsidTr="002A0F82">
        <w:trPr>
          <w:trHeight w:val="645"/>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kern w:val="0"/>
                <w:sz w:val="20"/>
                <w:szCs w:val="20"/>
              </w:rPr>
            </w:pPr>
            <w:r w:rsidRPr="00957AD4">
              <w:rPr>
                <w:rFonts w:ascii="仿宋" w:eastAsia="仿宋" w:hAnsi="仿宋" w:cs="宋体" w:hint="eastAsia"/>
                <w:b/>
                <w:bCs/>
                <w:kern w:val="0"/>
                <w:sz w:val="20"/>
                <w:szCs w:val="20"/>
              </w:rPr>
              <w:t>常规检查</w:t>
            </w: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男性彩超（肝胆胰脾肾输尿管膀胱前列腺）</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筛查肝、胆、胰、脾、双肾、输尿管、膀胱、前列腺的结构、形态、大小，筛查各脏器有无良恶性病变。</w:t>
            </w:r>
          </w:p>
        </w:tc>
      </w:tr>
      <w:tr w:rsidR="00164B72" w:rsidRPr="00957AD4" w:rsidTr="002A0F82">
        <w:trPr>
          <w:trHeight w:val="645"/>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女性彩超（肝胆胰脾肾输尿管膀胱子宫附件）</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筛查肝、胆、胰、脾、双肾、输尿管、膀胱、子宫、附件的结构、形态、大小，筛查各脏器有无良恶性病变。</w:t>
            </w:r>
          </w:p>
        </w:tc>
      </w:tr>
      <w:tr w:rsidR="00164B72" w:rsidRPr="00957AD4" w:rsidTr="002A0F82">
        <w:trPr>
          <w:trHeight w:val="690"/>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乳腺及腋下淋巴结彩超</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0"/>
                <w:szCs w:val="20"/>
              </w:rPr>
            </w:pPr>
            <w:r w:rsidRPr="00957AD4">
              <w:rPr>
                <w:rFonts w:ascii="仿宋" w:eastAsia="仿宋" w:hAnsi="仿宋" w:cs="宋体" w:hint="eastAsia"/>
                <w:kern w:val="0"/>
                <w:sz w:val="20"/>
                <w:szCs w:val="20"/>
              </w:rPr>
              <w:t>筛查有无乳腺增生症、乳腺囊肿、乳腺肿瘤及淋巴结有无异常等。</w:t>
            </w:r>
          </w:p>
        </w:tc>
      </w:tr>
      <w:tr w:rsidR="00164B72" w:rsidRPr="00957AD4" w:rsidTr="002A0F82">
        <w:trPr>
          <w:trHeight w:val="690"/>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甲状腺及颈部淋巴结彩超</w:t>
            </w:r>
          </w:p>
        </w:tc>
        <w:tc>
          <w:tcPr>
            <w:tcW w:w="6560" w:type="dxa"/>
            <w:tcBorders>
              <w:top w:val="nil"/>
              <w:left w:val="nil"/>
              <w:bottom w:val="single" w:sz="4" w:space="0" w:color="auto"/>
              <w:right w:val="single" w:sz="4" w:space="0" w:color="auto"/>
            </w:tcBorders>
            <w:shd w:val="clear" w:color="auto" w:fill="auto"/>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了解甲状腺的结构及血流情况等，筛查有无甲状腺结节、囊肿、肿瘤等病变。</w:t>
            </w:r>
          </w:p>
        </w:tc>
      </w:tr>
      <w:tr w:rsidR="00164B72" w:rsidRPr="00957AD4" w:rsidTr="002A0F82">
        <w:trPr>
          <w:trHeight w:val="709"/>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color w:val="000000"/>
                <w:kern w:val="0"/>
                <w:sz w:val="20"/>
                <w:szCs w:val="20"/>
              </w:rPr>
            </w:pPr>
            <w:r w:rsidRPr="00957AD4">
              <w:rPr>
                <w:rFonts w:ascii="仿宋" w:eastAsia="仿宋" w:hAnsi="仿宋" w:cs="宋体" w:hint="eastAsia"/>
                <w:color w:val="000000"/>
                <w:kern w:val="0"/>
                <w:sz w:val="20"/>
                <w:szCs w:val="20"/>
              </w:rPr>
              <w:t>胸部正侧位片</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color w:val="000000"/>
                <w:kern w:val="0"/>
                <w:sz w:val="20"/>
                <w:szCs w:val="20"/>
              </w:rPr>
            </w:pPr>
            <w:r w:rsidRPr="00957AD4">
              <w:rPr>
                <w:rFonts w:ascii="仿宋" w:eastAsia="仿宋" w:hAnsi="仿宋" w:cs="宋体" w:hint="eastAsia"/>
                <w:color w:val="000000"/>
                <w:kern w:val="0"/>
                <w:sz w:val="20"/>
                <w:szCs w:val="20"/>
              </w:rPr>
              <w:t>筛查支气管、肺部和纵隔有无占位性病变及肺气肿、气胸、胸腔积液、炎症、结核等疾病。</w:t>
            </w:r>
          </w:p>
        </w:tc>
      </w:tr>
      <w:tr w:rsidR="00164B72" w:rsidRPr="00957AD4" w:rsidTr="002A0F82">
        <w:trPr>
          <w:trHeight w:val="660"/>
        </w:trPr>
        <w:tc>
          <w:tcPr>
            <w:tcW w:w="460" w:type="dxa"/>
            <w:vMerge/>
            <w:tcBorders>
              <w:top w:val="nil"/>
              <w:left w:val="single" w:sz="4" w:space="0" w:color="auto"/>
              <w:bottom w:val="single" w:sz="4" w:space="0" w:color="auto"/>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12导联心电图</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rPr>
                <w:rFonts w:ascii="仿宋" w:eastAsia="仿宋" w:hAnsi="仿宋" w:cs="宋体"/>
                <w:kern w:val="0"/>
                <w:sz w:val="20"/>
                <w:szCs w:val="20"/>
              </w:rPr>
            </w:pPr>
            <w:r w:rsidRPr="00957AD4">
              <w:rPr>
                <w:rFonts w:ascii="仿宋" w:eastAsia="仿宋" w:hAnsi="仿宋" w:cs="宋体" w:hint="eastAsia"/>
                <w:kern w:val="0"/>
                <w:sz w:val="20"/>
                <w:szCs w:val="20"/>
              </w:rPr>
              <w:t>筛查有无心肌缺血、心肌梗塞、房室传导阻滞、心律失常等疾病。</w:t>
            </w:r>
          </w:p>
        </w:tc>
      </w:tr>
      <w:tr w:rsidR="00164B72" w:rsidRPr="00957AD4" w:rsidTr="002A0F82">
        <w:trPr>
          <w:trHeight w:val="6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b/>
                <w:bCs/>
                <w:kern w:val="0"/>
                <w:sz w:val="20"/>
                <w:szCs w:val="20"/>
              </w:rPr>
            </w:pPr>
            <w:r w:rsidRPr="00957AD4">
              <w:rPr>
                <w:rFonts w:ascii="仿宋" w:eastAsia="仿宋" w:hAnsi="仿宋" w:cs="宋体" w:hint="eastAsia"/>
                <w:b/>
                <w:bCs/>
                <w:kern w:val="0"/>
                <w:sz w:val="20"/>
                <w:szCs w:val="20"/>
              </w:rPr>
              <w:t>临床体格检查</w:t>
            </w:r>
          </w:p>
        </w:tc>
        <w:tc>
          <w:tcPr>
            <w:tcW w:w="2520" w:type="dxa"/>
            <w:tcBorders>
              <w:top w:val="nil"/>
              <w:left w:val="nil"/>
              <w:bottom w:val="single" w:sz="4" w:space="0" w:color="auto"/>
              <w:right w:val="single" w:sz="4" w:space="0" w:color="auto"/>
            </w:tcBorders>
            <w:shd w:val="clear" w:color="auto" w:fill="auto"/>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一般检查</w:t>
            </w:r>
          </w:p>
        </w:tc>
        <w:tc>
          <w:tcPr>
            <w:tcW w:w="6560" w:type="dxa"/>
            <w:tcBorders>
              <w:top w:val="nil"/>
              <w:left w:val="nil"/>
              <w:bottom w:val="single" w:sz="4" w:space="0" w:color="auto"/>
              <w:right w:val="single" w:sz="4" w:space="0" w:color="auto"/>
            </w:tcBorders>
            <w:shd w:val="clear" w:color="auto" w:fill="auto"/>
            <w:vAlign w:val="center"/>
            <w:hideMark/>
          </w:tcPr>
          <w:p w:rsidR="00164B72" w:rsidRPr="00957AD4" w:rsidRDefault="00164B72" w:rsidP="002A0F82">
            <w:pPr>
              <w:widowControl/>
              <w:rPr>
                <w:rFonts w:ascii="仿宋" w:eastAsia="仿宋" w:hAnsi="仿宋" w:cs="宋体"/>
                <w:kern w:val="0"/>
                <w:sz w:val="20"/>
                <w:szCs w:val="20"/>
              </w:rPr>
            </w:pPr>
            <w:r w:rsidRPr="00957AD4">
              <w:rPr>
                <w:rFonts w:ascii="仿宋" w:eastAsia="仿宋" w:hAnsi="仿宋" w:cs="宋体" w:hint="eastAsia"/>
                <w:kern w:val="0"/>
                <w:sz w:val="20"/>
                <w:szCs w:val="20"/>
              </w:rPr>
              <w:t>检查身高、体重、血压、腰围、臀围，评估心脑血管疾病危险因素，辅助判断危险程度。健康评估证据和健康计划依据</w:t>
            </w:r>
          </w:p>
        </w:tc>
      </w:tr>
      <w:tr w:rsidR="00164B72" w:rsidRPr="00957AD4" w:rsidTr="002A0F82">
        <w:trPr>
          <w:trHeight w:val="615"/>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肛门指检</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通过指检筛查痔疮、肛裂及直肠下段病变</w:t>
            </w:r>
          </w:p>
        </w:tc>
      </w:tr>
      <w:tr w:rsidR="00164B72" w:rsidRPr="00957AD4" w:rsidTr="002A0F82">
        <w:trPr>
          <w:trHeight w:val="465"/>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眼科（不含色觉）</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检查视力、外眼、角膜、结膜、晶状体等</w:t>
            </w:r>
          </w:p>
        </w:tc>
      </w:tr>
      <w:tr w:rsidR="00164B72" w:rsidRPr="00957AD4" w:rsidTr="002A0F82">
        <w:trPr>
          <w:trHeight w:val="645"/>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耳鼻喉科</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筛查耳鼻及咽喉部的炎症、息肉及新生物等异常。</w:t>
            </w:r>
          </w:p>
        </w:tc>
      </w:tr>
      <w:tr w:rsidR="00164B72" w:rsidRPr="00957AD4" w:rsidTr="002A0F82">
        <w:trPr>
          <w:trHeight w:val="518"/>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64B72" w:rsidRPr="00957AD4" w:rsidRDefault="00164B72" w:rsidP="002A0F82">
            <w:pPr>
              <w:widowControl/>
              <w:jc w:val="center"/>
              <w:rPr>
                <w:rFonts w:ascii="仿宋" w:eastAsia="仿宋" w:hAnsi="仿宋" w:cs="宋体"/>
                <w:kern w:val="0"/>
                <w:sz w:val="20"/>
                <w:szCs w:val="20"/>
              </w:rPr>
            </w:pPr>
            <w:r w:rsidRPr="00957AD4">
              <w:rPr>
                <w:rFonts w:ascii="仿宋" w:eastAsia="仿宋" w:hAnsi="仿宋" w:cs="宋体" w:hint="eastAsia"/>
                <w:kern w:val="0"/>
                <w:sz w:val="20"/>
                <w:szCs w:val="20"/>
              </w:rPr>
              <w:t>妇科体格检查+宫颈液基刮片细胞学检查</w:t>
            </w: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了解女性的外阴、阴道、宫颈、子宫及附件的基本状况</w:t>
            </w:r>
          </w:p>
        </w:tc>
      </w:tr>
      <w:tr w:rsidR="00164B72" w:rsidRPr="00957AD4" w:rsidTr="002A0F82">
        <w:trPr>
          <w:trHeight w:val="878"/>
        </w:trPr>
        <w:tc>
          <w:tcPr>
            <w:tcW w:w="46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b/>
                <w:bCs/>
                <w:kern w:val="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164B72" w:rsidRPr="00957AD4" w:rsidRDefault="00164B72" w:rsidP="002A0F82">
            <w:pPr>
              <w:widowControl/>
              <w:jc w:val="left"/>
              <w:rPr>
                <w:rFonts w:ascii="仿宋" w:eastAsia="仿宋" w:hAnsi="仿宋" w:cs="宋体"/>
                <w:kern w:val="0"/>
                <w:sz w:val="20"/>
                <w:szCs w:val="20"/>
              </w:rPr>
            </w:pPr>
          </w:p>
        </w:tc>
        <w:tc>
          <w:tcPr>
            <w:tcW w:w="6560" w:type="dxa"/>
            <w:tcBorders>
              <w:top w:val="nil"/>
              <w:left w:val="nil"/>
              <w:bottom w:val="single" w:sz="4" w:space="0" w:color="auto"/>
              <w:right w:val="single" w:sz="4" w:space="0" w:color="auto"/>
            </w:tcBorders>
            <w:shd w:val="clear" w:color="000000" w:fill="FFFFFF"/>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了解女性的外阴、阴道、宫颈、子宫及附件的基本状况，宫颈液基细胞学检查用于初筛有无炎症及宫颈癌前病变、宫颈癌等（仅限有性生活史的女性检查）</w:t>
            </w:r>
          </w:p>
        </w:tc>
      </w:tr>
      <w:tr w:rsidR="00164B72" w:rsidRPr="00957AD4" w:rsidTr="002A0F82">
        <w:trPr>
          <w:trHeight w:val="938"/>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64B72" w:rsidRPr="00957AD4" w:rsidRDefault="00164B72" w:rsidP="002A0F82">
            <w:pPr>
              <w:widowControl/>
              <w:jc w:val="left"/>
              <w:rPr>
                <w:rFonts w:ascii="仿宋" w:eastAsia="仿宋" w:hAnsi="仿宋" w:cs="宋体"/>
                <w:kern w:val="0"/>
                <w:sz w:val="20"/>
                <w:szCs w:val="20"/>
              </w:rPr>
            </w:pPr>
            <w:r w:rsidRPr="00957AD4">
              <w:rPr>
                <w:rFonts w:ascii="仿宋" w:eastAsia="仿宋" w:hAnsi="仿宋" w:cs="宋体" w:hint="eastAsia"/>
                <w:kern w:val="0"/>
                <w:sz w:val="20"/>
                <w:szCs w:val="20"/>
              </w:rPr>
              <w:t>营养早餐，建立健康档案，专家健康咨询，健康报告及报告袋，静脉采血一次性医用材料费，超声多幅照相（含腹部、乳腺）</w:t>
            </w:r>
          </w:p>
        </w:tc>
      </w:tr>
    </w:tbl>
    <w:p w:rsidR="00164B72" w:rsidRPr="00957AD4" w:rsidRDefault="00164B72" w:rsidP="00164B72">
      <w:pPr>
        <w:pStyle w:val="2"/>
        <w:spacing w:line="400" w:lineRule="exact"/>
        <w:ind w:firstLineChars="98" w:firstLine="236"/>
        <w:rPr>
          <w:rFonts w:ascii="仿宋" w:eastAsia="仿宋" w:hAnsi="仿宋"/>
          <w:sz w:val="24"/>
          <w:szCs w:val="24"/>
        </w:rPr>
      </w:pPr>
      <w:r w:rsidRPr="00957AD4">
        <w:rPr>
          <w:rFonts w:ascii="仿宋" w:eastAsia="仿宋" w:hAnsi="仿宋" w:hint="eastAsia"/>
          <w:sz w:val="24"/>
          <w:szCs w:val="24"/>
        </w:rPr>
        <w:t>▲四、商务要求</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（一）服务时间：合同签订后开展体检工作，体检工作应在60个工作日内完成体检工作。体检人员因特殊原因未能在上述时间内参加体检的，成交人应协商安排补检时间。</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二）付款支付：体合同签订后15个工作日内支付合同金额的30%，体检完毕后7个工作日内，成交人应提交参检人员明细报表给采购人审核和核算，合同价款的计算根据实际体检人数和成交的单价据实结算，审核通过后的30个工作日内按实际参检人数剩余款项。若成交人在规定时限内未向采购人递交上述资料，采购人可延期付款。</w:t>
      </w:r>
    </w:p>
    <w:p w:rsidR="00164B72" w:rsidRPr="00957AD4" w:rsidRDefault="00164B72" w:rsidP="00164B72">
      <w:pPr>
        <w:pStyle w:val="a5"/>
        <w:spacing w:line="400" w:lineRule="exact"/>
        <w:ind w:firstLine="480"/>
        <w:rPr>
          <w:rFonts w:ascii="仿宋" w:eastAsia="仿宋" w:hAnsi="仿宋"/>
          <w:bCs/>
          <w:sz w:val="24"/>
        </w:rPr>
      </w:pPr>
      <w:r w:rsidRPr="00957AD4">
        <w:rPr>
          <w:rFonts w:ascii="仿宋" w:eastAsia="仿宋" w:hAnsi="仿宋" w:hint="eastAsia"/>
          <w:bCs/>
          <w:sz w:val="24"/>
        </w:rPr>
        <w:t>（三）验收标准和方法：双方严格按照《财政部关于进一步加强政府采购需求和履约验收管理的知道意见》（财库〔2016〕205号）相关规定执行。</w:t>
      </w:r>
    </w:p>
    <w:p w:rsidR="00164B72" w:rsidRPr="00957AD4" w:rsidRDefault="00164B72" w:rsidP="00164B72">
      <w:pPr>
        <w:pStyle w:val="2"/>
        <w:spacing w:line="400" w:lineRule="exact"/>
        <w:ind w:firstLineChars="98" w:firstLine="236"/>
        <w:rPr>
          <w:rFonts w:ascii="仿宋" w:eastAsia="仿宋" w:hAnsi="仿宋"/>
          <w:sz w:val="24"/>
          <w:szCs w:val="24"/>
        </w:rPr>
      </w:pPr>
    </w:p>
    <w:p w:rsidR="00164B72" w:rsidRPr="00957AD4" w:rsidRDefault="00164B72" w:rsidP="00164B72">
      <w:pPr>
        <w:pStyle w:val="2"/>
        <w:spacing w:line="400" w:lineRule="exact"/>
        <w:ind w:firstLineChars="98" w:firstLine="236"/>
        <w:rPr>
          <w:rFonts w:ascii="仿宋" w:eastAsia="仿宋" w:hAnsi="仿宋"/>
          <w:sz w:val="24"/>
        </w:rPr>
      </w:pPr>
      <w:r w:rsidRPr="00957AD4">
        <w:rPr>
          <w:rFonts w:ascii="仿宋" w:eastAsia="仿宋" w:hAnsi="仿宋" w:hint="eastAsia"/>
          <w:sz w:val="24"/>
          <w:szCs w:val="24"/>
        </w:rPr>
        <w:t>注：▲为实质性要求，如不满足，其响应文件作无效响应处理。</w:t>
      </w:r>
    </w:p>
    <w:p w:rsidR="007750CF" w:rsidRDefault="007750CF">
      <w:bookmarkStart w:id="1" w:name="_GoBack"/>
      <w:bookmarkEnd w:id="0"/>
      <w:bookmarkEnd w:id="1"/>
    </w:p>
    <w:sectPr w:rsidR="007750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39" w:rsidRDefault="00953C39" w:rsidP="00164B72">
      <w:r>
        <w:separator/>
      </w:r>
    </w:p>
  </w:endnote>
  <w:endnote w:type="continuationSeparator" w:id="0">
    <w:p w:rsidR="00953C39" w:rsidRDefault="00953C39" w:rsidP="0016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39" w:rsidRDefault="00953C39" w:rsidP="00164B72">
      <w:r>
        <w:separator/>
      </w:r>
    </w:p>
  </w:footnote>
  <w:footnote w:type="continuationSeparator" w:id="0">
    <w:p w:rsidR="00953C39" w:rsidRDefault="00953C39" w:rsidP="00164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3F"/>
    <w:rsid w:val="00164B72"/>
    <w:rsid w:val="007750CF"/>
    <w:rsid w:val="00953C39"/>
    <w:rsid w:val="00BF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1E38DB-89E8-4D02-8DB4-F443B709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164B7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B72"/>
    <w:rPr>
      <w:sz w:val="18"/>
      <w:szCs w:val="18"/>
    </w:rPr>
  </w:style>
  <w:style w:type="paragraph" w:styleId="a4">
    <w:name w:val="footer"/>
    <w:basedOn w:val="a"/>
    <w:link w:val="Char0"/>
    <w:uiPriority w:val="99"/>
    <w:unhideWhenUsed/>
    <w:rsid w:val="00164B72"/>
    <w:pPr>
      <w:tabs>
        <w:tab w:val="center" w:pos="4153"/>
        <w:tab w:val="right" w:pos="8306"/>
      </w:tabs>
      <w:snapToGrid w:val="0"/>
      <w:jc w:val="left"/>
    </w:pPr>
    <w:rPr>
      <w:sz w:val="18"/>
      <w:szCs w:val="18"/>
    </w:rPr>
  </w:style>
  <w:style w:type="character" w:customStyle="1" w:styleId="Char0">
    <w:name w:val="页脚 Char"/>
    <w:basedOn w:val="a0"/>
    <w:link w:val="a4"/>
    <w:uiPriority w:val="99"/>
    <w:rsid w:val="00164B72"/>
    <w:rPr>
      <w:sz w:val="18"/>
      <w:szCs w:val="18"/>
    </w:rPr>
  </w:style>
  <w:style w:type="character" w:customStyle="1" w:styleId="2Char">
    <w:name w:val="标题 2 Char"/>
    <w:basedOn w:val="a0"/>
    <w:link w:val="2"/>
    <w:qFormat/>
    <w:rsid w:val="00164B72"/>
    <w:rPr>
      <w:rFonts w:ascii="Arial" w:eastAsia="黑体" w:hAnsi="Arial" w:cs="Times New Roman"/>
      <w:b/>
      <w:bCs/>
      <w:sz w:val="32"/>
      <w:szCs w:val="32"/>
    </w:rPr>
  </w:style>
  <w:style w:type="paragraph" w:styleId="a5">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164B72"/>
    <w:pPr>
      <w:ind w:firstLineChars="200" w:firstLine="420"/>
    </w:pPr>
    <w:rPr>
      <w:rFonts w:ascii="Times New Roman" w:eastAsia="宋体" w:hAnsi="Times New Roman" w:cs="Times New Roman"/>
      <w:szCs w:val="24"/>
    </w:rPr>
  </w:style>
  <w:style w:type="character" w:customStyle="1" w:styleId="Char1">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5"/>
    <w:rsid w:val="00164B72"/>
    <w:rPr>
      <w:rFonts w:ascii="Times New Roman" w:eastAsia="宋体" w:hAnsi="Times New Roman" w:cs="Times New Roman"/>
      <w:szCs w:val="24"/>
    </w:rPr>
  </w:style>
  <w:style w:type="paragraph" w:styleId="a6">
    <w:name w:val="Title"/>
    <w:basedOn w:val="a"/>
    <w:next w:val="a"/>
    <w:link w:val="Char2"/>
    <w:uiPriority w:val="10"/>
    <w:qFormat/>
    <w:rsid w:val="00164B7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164B72"/>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2252</Characters>
  <Application>Microsoft Office Word</Application>
  <DocSecurity>0</DocSecurity>
  <Lines>160</Lines>
  <Paragraphs>133</Paragraphs>
  <ScaleCrop>false</ScaleCrop>
  <Company>Microsoft</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2</cp:revision>
  <dcterms:created xsi:type="dcterms:W3CDTF">2021-07-23T07:23:00Z</dcterms:created>
  <dcterms:modified xsi:type="dcterms:W3CDTF">2021-07-23T07:23:00Z</dcterms:modified>
</cp:coreProperties>
</file>