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0FA" w:rsidRPr="00E12630" w:rsidRDefault="002910FA" w:rsidP="002910FA">
      <w:pPr>
        <w:pStyle w:val="a8"/>
        <w:rPr>
          <w:rFonts w:ascii="仿宋" w:eastAsia="仿宋" w:hAnsi="仿宋"/>
          <w:color w:val="000000" w:themeColor="text1"/>
        </w:rPr>
      </w:pPr>
      <w:r w:rsidRPr="00E12630">
        <w:rPr>
          <w:rFonts w:ascii="仿宋" w:eastAsia="仿宋" w:hAnsi="仿宋" w:hint="eastAsia"/>
          <w:color w:val="000000" w:themeColor="text1"/>
        </w:rPr>
        <w:t>采购项目技术、服务、政府采购合同内容条款及</w:t>
      </w:r>
      <w:bookmarkStart w:id="0" w:name="_GoBack"/>
      <w:bookmarkEnd w:id="0"/>
      <w:r w:rsidRPr="00E12630">
        <w:rPr>
          <w:rFonts w:ascii="仿宋" w:eastAsia="仿宋" w:hAnsi="仿宋" w:hint="eastAsia"/>
          <w:color w:val="000000" w:themeColor="text1"/>
        </w:rPr>
        <w:t>其他商务要求</w:t>
      </w:r>
    </w:p>
    <w:p w:rsidR="002910FA" w:rsidRPr="00E12630" w:rsidRDefault="002910FA" w:rsidP="002910FA">
      <w:pPr>
        <w:rPr>
          <w:rFonts w:ascii="仿宋" w:eastAsia="仿宋" w:hAnsi="仿宋"/>
          <w:color w:val="000000" w:themeColor="text1"/>
          <w:sz w:val="24"/>
        </w:rPr>
      </w:pPr>
    </w:p>
    <w:p w:rsidR="002910FA" w:rsidRPr="00E12630" w:rsidRDefault="002910FA" w:rsidP="002910FA">
      <w:pPr>
        <w:spacing w:line="400" w:lineRule="exact"/>
        <w:ind w:firstLineChars="200" w:firstLine="482"/>
        <w:rPr>
          <w:rFonts w:ascii="仿宋" w:eastAsia="仿宋" w:hAnsi="仿宋"/>
          <w:b/>
          <w:color w:val="000000" w:themeColor="text1"/>
          <w:sz w:val="24"/>
        </w:rPr>
      </w:pPr>
      <w:bookmarkStart w:id="1" w:name="PO_默认文件内容_27"/>
      <w:r w:rsidRPr="00E12630">
        <w:rPr>
          <w:rFonts w:ascii="仿宋" w:eastAsia="仿宋" w:hAnsi="仿宋" w:hint="eastAsia"/>
          <w:b/>
          <w:color w:val="000000" w:themeColor="text1"/>
          <w:sz w:val="24"/>
        </w:rPr>
        <w:t>前提：</w:t>
      </w:r>
      <w:r w:rsidRPr="00E12630">
        <w:rPr>
          <w:rFonts w:ascii="仿宋" w:eastAsia="仿宋" w:hAnsi="仿宋"/>
          <w:b/>
          <w:color w:val="000000" w:themeColor="text1"/>
          <w:sz w:val="24"/>
        </w:rPr>
        <w:t>本章采购需求中标注“*”号的条款为本次磋商采购项目的实质性要求，供应商应全部满足。</w:t>
      </w:r>
    </w:p>
    <w:p w:rsidR="002910FA" w:rsidRPr="00E12630" w:rsidRDefault="002910FA" w:rsidP="002910FA">
      <w:pPr>
        <w:pStyle w:val="2"/>
        <w:spacing w:line="400" w:lineRule="exact"/>
        <w:ind w:firstLineChars="98" w:firstLine="236"/>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一、项目概述</w:t>
      </w:r>
    </w:p>
    <w:p w:rsidR="002910FA" w:rsidRPr="00E12630" w:rsidRDefault="002910FA" w:rsidP="002910FA">
      <w:pPr>
        <w:pStyle w:val="a6"/>
        <w:spacing w:line="400" w:lineRule="exact"/>
        <w:ind w:firstLine="480"/>
        <w:rPr>
          <w:rFonts w:ascii="仿宋" w:eastAsia="仿宋" w:hAnsi="仿宋"/>
          <w:bCs/>
          <w:color w:val="000000" w:themeColor="text1"/>
          <w:sz w:val="24"/>
        </w:rPr>
      </w:pPr>
      <w:r w:rsidRPr="00E12630">
        <w:rPr>
          <w:rFonts w:ascii="仿宋" w:eastAsia="仿宋" w:hAnsi="仿宋" w:hint="eastAsia"/>
          <w:bCs/>
          <w:color w:val="000000" w:themeColor="text1"/>
          <w:sz w:val="24"/>
        </w:rPr>
        <w:t>2020年，教育部发布《教育部关于在部分高校开展基础学科招生改革试点工作的意见》文件中对招收对象有具体规定“主要选拔培养有志于服务国家重大战略需求且综合素质优秀或基础学科拔尖的学生”，高校依据学生的高考成绩，先入围后录取，对于极少数在相关学科领域具有突出才能和表现的考生，可破格入围。为加强我市强基计划实施，拟购买优质拔尖创新人才早期培养资源服务。</w:t>
      </w:r>
    </w:p>
    <w:p w:rsidR="002910FA" w:rsidRPr="00E12630" w:rsidRDefault="002910FA" w:rsidP="002910FA">
      <w:pPr>
        <w:pStyle w:val="2"/>
        <w:spacing w:line="400" w:lineRule="exact"/>
        <w:ind w:firstLineChars="98" w:firstLine="236"/>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二、项目清单</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056"/>
        <w:gridCol w:w="1086"/>
        <w:gridCol w:w="2432"/>
        <w:gridCol w:w="1984"/>
        <w:gridCol w:w="993"/>
      </w:tblGrid>
      <w:tr w:rsidR="002910FA" w:rsidRPr="00E12630" w:rsidTr="005C7232">
        <w:trPr>
          <w:trHeight w:val="390"/>
          <w:jc w:val="center"/>
        </w:trPr>
        <w:tc>
          <w:tcPr>
            <w:tcW w:w="808" w:type="dxa"/>
            <w:vAlign w:val="center"/>
          </w:tcPr>
          <w:p w:rsidR="002910FA" w:rsidRPr="00E12630" w:rsidRDefault="002910FA" w:rsidP="005C7232">
            <w:pPr>
              <w:widowControl/>
              <w:spacing w:line="360" w:lineRule="atLeast"/>
              <w:jc w:val="center"/>
              <w:outlineLvl w:val="1"/>
              <w:rPr>
                <w:rFonts w:ascii="仿宋" w:eastAsia="仿宋" w:hAnsi="仿宋"/>
                <w:color w:val="000000" w:themeColor="text1"/>
                <w:sz w:val="24"/>
              </w:rPr>
            </w:pPr>
            <w:r w:rsidRPr="00E12630">
              <w:rPr>
                <w:rFonts w:ascii="仿宋" w:eastAsia="仿宋" w:hAnsi="仿宋" w:hint="eastAsia"/>
                <w:color w:val="000000" w:themeColor="text1"/>
                <w:sz w:val="24"/>
              </w:rPr>
              <w:t>序号</w:t>
            </w:r>
          </w:p>
        </w:tc>
        <w:tc>
          <w:tcPr>
            <w:tcW w:w="1056" w:type="dxa"/>
            <w:vAlign w:val="center"/>
          </w:tcPr>
          <w:p w:rsidR="002910FA" w:rsidRPr="00E12630" w:rsidRDefault="002910FA" w:rsidP="005C7232">
            <w:pPr>
              <w:widowControl/>
              <w:spacing w:line="360" w:lineRule="atLeast"/>
              <w:jc w:val="center"/>
              <w:outlineLvl w:val="1"/>
              <w:rPr>
                <w:rFonts w:ascii="仿宋" w:eastAsia="仿宋" w:hAnsi="仿宋"/>
                <w:color w:val="000000" w:themeColor="text1"/>
                <w:sz w:val="24"/>
              </w:rPr>
            </w:pPr>
            <w:r w:rsidRPr="00E12630">
              <w:rPr>
                <w:rFonts w:ascii="仿宋" w:eastAsia="仿宋" w:hAnsi="仿宋" w:hint="eastAsia"/>
                <w:color w:val="000000" w:themeColor="text1"/>
                <w:sz w:val="24"/>
              </w:rPr>
              <w:t>包号</w:t>
            </w:r>
          </w:p>
        </w:tc>
        <w:tc>
          <w:tcPr>
            <w:tcW w:w="1086" w:type="dxa"/>
            <w:vAlign w:val="center"/>
          </w:tcPr>
          <w:p w:rsidR="002910FA" w:rsidRPr="00E12630" w:rsidRDefault="002910FA" w:rsidP="005C7232">
            <w:pPr>
              <w:widowControl/>
              <w:spacing w:line="360" w:lineRule="atLeast"/>
              <w:jc w:val="center"/>
              <w:outlineLvl w:val="1"/>
              <w:rPr>
                <w:rFonts w:ascii="仿宋" w:eastAsia="仿宋" w:hAnsi="仿宋"/>
                <w:color w:val="000000" w:themeColor="text1"/>
                <w:sz w:val="24"/>
              </w:rPr>
            </w:pPr>
            <w:r w:rsidRPr="00E12630">
              <w:rPr>
                <w:rFonts w:ascii="仿宋" w:eastAsia="仿宋" w:hAnsi="仿宋" w:hint="eastAsia"/>
                <w:color w:val="000000" w:themeColor="text1"/>
                <w:sz w:val="24"/>
              </w:rPr>
              <w:t>品目号</w:t>
            </w:r>
          </w:p>
        </w:tc>
        <w:tc>
          <w:tcPr>
            <w:tcW w:w="2432" w:type="dxa"/>
            <w:vAlign w:val="center"/>
          </w:tcPr>
          <w:p w:rsidR="002910FA" w:rsidRPr="00E12630" w:rsidRDefault="002910FA" w:rsidP="005C7232">
            <w:pPr>
              <w:widowControl/>
              <w:spacing w:line="360" w:lineRule="atLeast"/>
              <w:jc w:val="center"/>
              <w:outlineLvl w:val="1"/>
              <w:rPr>
                <w:rFonts w:ascii="仿宋" w:eastAsia="仿宋" w:hAnsi="仿宋"/>
                <w:color w:val="000000" w:themeColor="text1"/>
                <w:sz w:val="24"/>
              </w:rPr>
            </w:pPr>
            <w:r w:rsidRPr="00E12630">
              <w:rPr>
                <w:rFonts w:ascii="仿宋" w:eastAsia="仿宋" w:hAnsi="仿宋" w:hint="eastAsia"/>
                <w:color w:val="000000" w:themeColor="text1"/>
                <w:sz w:val="24"/>
              </w:rPr>
              <w:t>标的名称</w:t>
            </w:r>
          </w:p>
        </w:tc>
        <w:tc>
          <w:tcPr>
            <w:tcW w:w="1984" w:type="dxa"/>
            <w:vAlign w:val="center"/>
          </w:tcPr>
          <w:p w:rsidR="002910FA" w:rsidRPr="00E12630" w:rsidRDefault="002910FA" w:rsidP="005C7232">
            <w:pPr>
              <w:widowControl/>
              <w:spacing w:line="360" w:lineRule="atLeast"/>
              <w:jc w:val="center"/>
              <w:outlineLvl w:val="1"/>
              <w:rPr>
                <w:rFonts w:ascii="仿宋" w:eastAsia="仿宋" w:hAnsi="仿宋"/>
                <w:color w:val="000000" w:themeColor="text1"/>
                <w:sz w:val="24"/>
              </w:rPr>
            </w:pPr>
            <w:r w:rsidRPr="00E12630">
              <w:rPr>
                <w:rFonts w:ascii="仿宋" w:eastAsia="仿宋" w:hAnsi="仿宋" w:hint="eastAsia"/>
                <w:color w:val="000000" w:themeColor="text1"/>
                <w:sz w:val="24"/>
              </w:rPr>
              <w:t>所属行业</w:t>
            </w:r>
          </w:p>
        </w:tc>
        <w:tc>
          <w:tcPr>
            <w:tcW w:w="993" w:type="dxa"/>
            <w:vAlign w:val="center"/>
          </w:tcPr>
          <w:p w:rsidR="002910FA" w:rsidRPr="00E12630" w:rsidRDefault="002910FA" w:rsidP="005C7232">
            <w:pPr>
              <w:widowControl/>
              <w:spacing w:line="360" w:lineRule="atLeast"/>
              <w:jc w:val="center"/>
              <w:outlineLvl w:val="1"/>
              <w:rPr>
                <w:rFonts w:ascii="仿宋" w:eastAsia="仿宋" w:hAnsi="仿宋"/>
                <w:color w:val="000000" w:themeColor="text1"/>
                <w:sz w:val="24"/>
              </w:rPr>
            </w:pPr>
            <w:r w:rsidRPr="00E12630">
              <w:rPr>
                <w:rFonts w:ascii="仿宋" w:eastAsia="仿宋" w:hAnsi="仿宋" w:hint="eastAsia"/>
                <w:color w:val="000000" w:themeColor="text1"/>
                <w:sz w:val="24"/>
              </w:rPr>
              <w:t>数量</w:t>
            </w:r>
          </w:p>
        </w:tc>
      </w:tr>
      <w:tr w:rsidR="002910FA" w:rsidRPr="00E12630" w:rsidTr="005C7232">
        <w:trPr>
          <w:trHeight w:val="374"/>
          <w:jc w:val="center"/>
        </w:trPr>
        <w:tc>
          <w:tcPr>
            <w:tcW w:w="808" w:type="dxa"/>
            <w:vAlign w:val="center"/>
          </w:tcPr>
          <w:p w:rsidR="002910FA" w:rsidRPr="00E12630" w:rsidRDefault="002910FA" w:rsidP="005C7232">
            <w:pPr>
              <w:widowControl/>
              <w:spacing w:line="360" w:lineRule="atLeast"/>
              <w:jc w:val="center"/>
              <w:outlineLvl w:val="1"/>
              <w:rPr>
                <w:rFonts w:ascii="仿宋" w:eastAsia="仿宋" w:hAnsi="仿宋"/>
                <w:color w:val="000000" w:themeColor="text1"/>
                <w:sz w:val="24"/>
              </w:rPr>
            </w:pPr>
            <w:r w:rsidRPr="00E12630">
              <w:rPr>
                <w:rFonts w:ascii="仿宋" w:eastAsia="仿宋" w:hAnsi="仿宋" w:hint="eastAsia"/>
                <w:color w:val="000000" w:themeColor="text1"/>
                <w:sz w:val="24"/>
              </w:rPr>
              <w:t>1</w:t>
            </w:r>
          </w:p>
        </w:tc>
        <w:tc>
          <w:tcPr>
            <w:tcW w:w="1056" w:type="dxa"/>
            <w:vAlign w:val="center"/>
          </w:tcPr>
          <w:p w:rsidR="002910FA" w:rsidRPr="00E12630" w:rsidRDefault="002910FA" w:rsidP="005C7232">
            <w:pPr>
              <w:widowControl/>
              <w:spacing w:line="360" w:lineRule="atLeast"/>
              <w:jc w:val="center"/>
              <w:outlineLvl w:val="1"/>
              <w:rPr>
                <w:rFonts w:ascii="仿宋" w:eastAsia="仿宋" w:hAnsi="仿宋"/>
                <w:color w:val="000000" w:themeColor="text1"/>
                <w:sz w:val="24"/>
              </w:rPr>
            </w:pPr>
            <w:r w:rsidRPr="00E12630">
              <w:rPr>
                <w:rFonts w:ascii="仿宋" w:eastAsia="仿宋" w:hAnsi="仿宋" w:hint="eastAsia"/>
                <w:color w:val="000000" w:themeColor="text1"/>
                <w:sz w:val="24"/>
              </w:rPr>
              <w:t>1</w:t>
            </w:r>
          </w:p>
        </w:tc>
        <w:tc>
          <w:tcPr>
            <w:tcW w:w="1086" w:type="dxa"/>
            <w:vAlign w:val="center"/>
          </w:tcPr>
          <w:p w:rsidR="002910FA" w:rsidRPr="00E12630" w:rsidRDefault="002910FA" w:rsidP="005C7232">
            <w:pPr>
              <w:widowControl/>
              <w:spacing w:line="360" w:lineRule="atLeast"/>
              <w:jc w:val="center"/>
              <w:outlineLvl w:val="1"/>
              <w:rPr>
                <w:rFonts w:ascii="仿宋" w:eastAsia="仿宋" w:hAnsi="仿宋"/>
                <w:color w:val="000000" w:themeColor="text1"/>
                <w:sz w:val="24"/>
              </w:rPr>
            </w:pPr>
            <w:r w:rsidRPr="00E12630">
              <w:rPr>
                <w:rFonts w:ascii="仿宋" w:eastAsia="仿宋" w:hAnsi="仿宋"/>
                <w:color w:val="000000" w:themeColor="text1"/>
                <w:sz w:val="24"/>
              </w:rPr>
              <w:t>C180302</w:t>
            </w:r>
          </w:p>
        </w:tc>
        <w:tc>
          <w:tcPr>
            <w:tcW w:w="2432" w:type="dxa"/>
            <w:vAlign w:val="center"/>
          </w:tcPr>
          <w:p w:rsidR="002910FA" w:rsidRPr="00E12630" w:rsidRDefault="002910FA" w:rsidP="005C7232">
            <w:pPr>
              <w:widowControl/>
              <w:spacing w:line="360" w:lineRule="atLeast"/>
              <w:jc w:val="center"/>
              <w:outlineLvl w:val="1"/>
              <w:rPr>
                <w:rFonts w:ascii="仿宋" w:eastAsia="仿宋" w:hAnsi="仿宋"/>
                <w:color w:val="000000" w:themeColor="text1"/>
                <w:sz w:val="24"/>
              </w:rPr>
            </w:pPr>
            <w:r w:rsidRPr="00E12630">
              <w:rPr>
                <w:rFonts w:ascii="仿宋" w:eastAsia="仿宋" w:hAnsi="仿宋" w:hint="eastAsia"/>
                <w:color w:val="000000" w:themeColor="text1"/>
                <w:sz w:val="24"/>
              </w:rPr>
              <w:t>简阳市拔尖创新人才早期培养资源服务</w:t>
            </w:r>
          </w:p>
        </w:tc>
        <w:tc>
          <w:tcPr>
            <w:tcW w:w="1984" w:type="dxa"/>
            <w:vAlign w:val="center"/>
          </w:tcPr>
          <w:p w:rsidR="002910FA" w:rsidRPr="00E12630" w:rsidRDefault="002910FA" w:rsidP="005C7232">
            <w:pPr>
              <w:widowControl/>
              <w:spacing w:line="360" w:lineRule="atLeast"/>
              <w:jc w:val="center"/>
              <w:outlineLvl w:val="1"/>
              <w:rPr>
                <w:rFonts w:ascii="仿宋" w:eastAsia="仿宋" w:hAnsi="仿宋"/>
                <w:color w:val="000000" w:themeColor="text1"/>
                <w:sz w:val="24"/>
              </w:rPr>
            </w:pPr>
            <w:r w:rsidRPr="00E12630">
              <w:rPr>
                <w:rFonts w:ascii="仿宋" w:eastAsia="仿宋" w:hAnsi="仿宋" w:hint="eastAsia"/>
                <w:color w:val="000000" w:themeColor="text1"/>
                <w:sz w:val="24"/>
              </w:rPr>
              <w:t>其他未列明行业</w:t>
            </w:r>
          </w:p>
        </w:tc>
        <w:tc>
          <w:tcPr>
            <w:tcW w:w="993" w:type="dxa"/>
            <w:vAlign w:val="center"/>
          </w:tcPr>
          <w:p w:rsidR="002910FA" w:rsidRPr="00E12630" w:rsidRDefault="002910FA" w:rsidP="005C7232">
            <w:pPr>
              <w:widowControl/>
              <w:spacing w:line="360" w:lineRule="atLeast"/>
              <w:jc w:val="center"/>
              <w:outlineLvl w:val="1"/>
              <w:rPr>
                <w:rFonts w:ascii="仿宋" w:eastAsia="仿宋" w:hAnsi="仿宋"/>
                <w:color w:val="000000" w:themeColor="text1"/>
                <w:sz w:val="24"/>
              </w:rPr>
            </w:pPr>
            <w:r w:rsidRPr="00E12630">
              <w:rPr>
                <w:rFonts w:ascii="仿宋" w:eastAsia="仿宋" w:hAnsi="仿宋" w:hint="eastAsia"/>
                <w:color w:val="000000" w:themeColor="text1"/>
                <w:sz w:val="24"/>
              </w:rPr>
              <w:t>一项</w:t>
            </w:r>
          </w:p>
        </w:tc>
      </w:tr>
    </w:tbl>
    <w:p w:rsidR="002910FA" w:rsidRPr="00E12630" w:rsidRDefault="002910FA" w:rsidP="002910FA">
      <w:pPr>
        <w:rPr>
          <w:rFonts w:ascii="仿宋" w:eastAsia="仿宋" w:hAnsi="仿宋"/>
          <w:color w:val="000000" w:themeColor="text1"/>
        </w:rPr>
      </w:pPr>
    </w:p>
    <w:p w:rsidR="002910FA" w:rsidRPr="00E12630" w:rsidRDefault="002910FA" w:rsidP="002910FA">
      <w:pPr>
        <w:pStyle w:val="2"/>
        <w:spacing w:line="400" w:lineRule="exact"/>
        <w:ind w:firstLineChars="98" w:firstLine="236"/>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三、技术和服务要求</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（一）项目目标</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1、长远目标：针对性提升基础教育质量，提前做好迎接新高考的优质生源储备，在强基计划中更具竞争力。</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2．建立长效机制，探索初高中贯通选拔、培优制度，形成一套学生选拔、教师能力提升、校本课程搭建的良性体系化建设。</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3．利用三年时间，在学校建立起机制完善、特色鲜明、成效显著的学科特殊禀赋学生拔尖培养体系，促进高中教育质量持续有效提升；</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近期目标</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1．借助强基计划、全国联赛的途径，快速提升学校教育教学质量，实现良好的教育口碑和社会效益。</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2．帮助学校任课教师提高教学水平，丰富教学方法。</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3．在新一届高三强基计划生源的高考中，学生具备校考测试能力，增加学生</w:t>
      </w:r>
      <w:r w:rsidRPr="00E12630">
        <w:rPr>
          <w:rFonts w:ascii="仿宋" w:eastAsia="仿宋" w:hAnsi="仿宋" w:hint="eastAsia"/>
          <w:color w:val="000000" w:themeColor="text1"/>
          <w:sz w:val="24"/>
        </w:rPr>
        <w:lastRenderedPageBreak/>
        <w:t>通过率。</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（二）项目总体要求</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1．成交人应具备相关专业人员、合作场地、设备设施、教学管理信息化平台等条件保障。成交人提供的资源服务内容、授课时间安排等不得违反国家、省、市相关政策规定。</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2．成交人负责编制整体实施方案，对采购人现实状况进行深入调研，摸底研判，提供整体解决方案。</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3．成交人负责制定项目计划，根据课程安排，精心编制培训计划，按计划实施，确保培训人数、培训时间、培训内容落实到实处。</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4．遴选培训师资，成交人应聘请专业人员，加强对跟课教师的培养培训，加强人员管理，为项目成功实施提供人才保障。</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5．强化课程研发。成交人要根据培训需要，提供科学高效培训课程，研发切合采购人需求的课程体系、教材讲义、试题库等，为培训质量提供坚实保障。</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6．强化项目管理，成交人建立全方位的管理制度，提供有力的项目管理队伍，在项目全流程实施过程中加强沟通协调，对问题及时研判、反馈、整改，对项目实施过程的安全、纪律、过控负责。</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7．强化跟踪评价，成交人定期对项目实施质量进行检测，出具检测报告和改进计划，随时接受采购人对本项目的调研跟踪评估。</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（三）培训形式</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1.学生：课程中实现线上线下相结合的三师教学模式，专门讲解知识点的老师线上讲授，学校线下的老师负责监管跟课，根据学校时间安排互动答疑课解决学生作业问题。定期有学生动员会，政策宣讲会，问题研讨、对话交流等。</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2．本地教师：通过线上交流、教学研讨会，政策宣讲会，专家讲座、专题研讨、学术交流活动提升本地教师水平能力。每年至少提供1次线下名校教学研讨活动，覆盖每个年级数理化三科各一名教师；向跟课教师提供教师工具用书以及示范课，同时不定期开展线上联合教研。</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3．家长：召开家长动员会，政策宣讲会，动员家长积极配合。</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（四）培训管理要求</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1、教学管理</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（1）成交人按采购人提供的学员名单，进行培训需求调研，并根据学员实际制定教学方案，培训前须与采购人认可方可执行。</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lastRenderedPageBreak/>
        <w:t>（2）严格按照培训方案执行，课程方案调整比例不超过30%。</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（3）按采购人提供的学员名单，进行培训针对性问卷调查，通过选拔测试的考核分流学生，学习的课程并根据学员实际调整教学方案。</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2、班级管理</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（1）采购人配备1名以上班主任，加强班级管理，促进学员学习，提高学习成效。</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（2）建立班委会，督促完成课程作业，根据培训项目收集需要答疑的题目反馈给教研老师才能针对性的讲解。</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3、学员管理</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（1）严格考勤管理，学员请假必须经过送班主任同意；</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（2）供应商应提供技术、课程、质量等支撑，使简阳中学成为“全国中学拔尖创新人才培养示范基地学校”，争取上级部门支持并授牌。</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（五）竞赛课程，强基课程特色要求</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1、竞赛课程：标是培养中学生参加数学、物理、化学奥林匹克竞赛四川省级比赛获奖学生，争取能入选四川省队，冲击中国中学生数学、物理、化学奥林匹克竞赛金牌或者银牌，入围强基计划破格录取资格。以及入围数学、物理、化学奥林匹克竞赛国家集训队获得清华大学、北京大学等全国著名高校保送资格。</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（1）分为数学、物理、化学三门学科预备课程及主线课程，每门课程一周两次，每次授课不低于1个小时，不少于2次的阶段测试。具体课程安排见附件1。</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（2）组织统一通过网络直播的形式进行上课，并实时进行互动。个别时间不合适的时候可观看录播课进行延时互动。</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（3）设置专门辅助教师，针对每次授课情况，与各学校各学科的老师（由学校学科负责教师担任）沟通。下次上课的时候，主讲老师针对共性的问题可在课上答疑。</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（4）每阶段结束后进行测试，采用专属的线上考评系统，不少于2次。由采购人联合成交人出题阅卷，对阶段性学习情况进行反馈，给出测试和学情报告，根据考试情况对下一步的教学进行调整。</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2、强基计划课程：目标是冲击强基计划校考，以获得强基计划录取资格</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（1）一周两次的课程，每次授课不低于2个小时，不少于2次的阶段测试，具体课程安排见附件1。</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（2）组织统一通过网络直播的形式进行上课，并实时进行互动。个别时间不合适的时候可观看录播课进行延时互动。</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（3）应设专门辅助教师，针对每次授课情况，与各学校各学科的老师（由学</w:t>
      </w:r>
      <w:r w:rsidRPr="00E12630">
        <w:rPr>
          <w:rFonts w:ascii="仿宋" w:eastAsia="仿宋" w:hAnsi="仿宋" w:hint="eastAsia"/>
          <w:color w:val="000000" w:themeColor="text1"/>
          <w:sz w:val="24"/>
        </w:rPr>
        <w:lastRenderedPageBreak/>
        <w:t>校学科负责教师担任）沟通。下次上课的时候，主讲老师针对共性的问题可在课上答疑。主讲老师拥有丰富的教学经验，可提供强基校考原创试题。</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（4）每模块结束后进行阶段测试，采用专属的线上考评系统，应不少于2次。由采购人联合中标人出题阅卷，对阶段性学习情况进行反馈，给出测试和学情报告，根据考试情况对下一步的教学进行调整。</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（5）每学年组织人员线下开展不少于2次实地调研和培训讲座。</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3、冬、夏令营（集训营）</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利用寒假、暑假的时间，可进行全封闭高强度高难度的集中培训，巩固基础并对校考的重点难点易错点进行突破，在知识技巧方法上进一步提高。</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（六）过程评估及成果固化要求</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1.培训初期进行机考测试选拔，根据测试结果分流学生，给出对应的学情报告，选择适合的课程学习；</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2.培训结束一个季度后有阶段性测评，针对学生一段学习后的检验，给出对应的学情报告，并根据学情报告及时调整学习节奏和方法。</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3、文本汇编资料：包括整个课程培训讲义，原创题目的编写，发放给合作院校老师。</w:t>
      </w:r>
    </w:p>
    <w:p w:rsidR="002910FA" w:rsidRPr="00E12630" w:rsidRDefault="002910FA" w:rsidP="002910FA">
      <w:pPr>
        <w:pStyle w:val="a6"/>
        <w:spacing w:line="400" w:lineRule="exact"/>
        <w:ind w:firstLineChars="130" w:firstLine="312"/>
        <w:rPr>
          <w:rFonts w:ascii="仿宋" w:eastAsia="仿宋" w:hAnsi="仿宋"/>
          <w:color w:val="000000" w:themeColor="text1"/>
          <w:sz w:val="24"/>
        </w:rPr>
      </w:pPr>
      <w:r w:rsidRPr="00E12630">
        <w:rPr>
          <w:rFonts w:ascii="仿宋" w:eastAsia="仿宋" w:hAnsi="仿宋" w:hint="eastAsia"/>
          <w:color w:val="000000" w:themeColor="text1"/>
          <w:sz w:val="24"/>
        </w:rPr>
        <w:t>4.培训课程结束后也会有期末测评，算是下半截的阶段测评，并给出测试结果和学情报告。学校可以从一开始知晓学生的成绩，到后面监管培养提升，到最后的测评，能掌握到学生学习进步的状况。</w:t>
      </w:r>
    </w:p>
    <w:bookmarkEnd w:id="1"/>
    <w:p w:rsidR="002910FA" w:rsidRPr="00E12630" w:rsidRDefault="002910FA" w:rsidP="002910FA">
      <w:pPr>
        <w:pStyle w:val="2"/>
        <w:spacing w:line="400" w:lineRule="exact"/>
        <w:ind w:firstLineChars="98" w:firstLine="236"/>
        <w:rPr>
          <w:rFonts w:ascii="仿宋" w:eastAsia="仿宋" w:hAnsi="仿宋"/>
          <w:color w:val="000000" w:themeColor="text1"/>
          <w:sz w:val="24"/>
        </w:rPr>
      </w:pPr>
      <w:r w:rsidRPr="00E12630">
        <w:rPr>
          <w:rFonts w:ascii="仿宋" w:eastAsia="仿宋" w:hAnsi="仿宋" w:hint="eastAsia"/>
          <w:color w:val="000000" w:themeColor="text1"/>
          <w:sz w:val="24"/>
          <w:szCs w:val="24"/>
        </w:rPr>
        <w:t>四、项目要求</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（一）培训人数：500人（正负不超过10%）；</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（二）培训对象</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1.学生课程培训：450人（正负不超过10%）.</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2.学校跟课教师能力提升培训：50人（正负不超过10%）。</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（三）完成时间：合同正式签订后一年内完成。</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（四）培训时间</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1.竞赛和强基的常训课：配合正常的上课时间，为期一年。</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2.考后集训营：集中培训16天（高考后集中培训）</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3.教师教学研讨：每年的暑假期间或者逐一询问学校教师的可用时间，综合选定具体的培训时间。</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 xml:space="preserve">（五）培训地点：线上和线下相结合，学生在学校，教室场地需要多媒体设备，有网络条件下即可。 </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lastRenderedPageBreak/>
        <w:t>（六）验收时间及方式：以本项目磋商文件、供应商响应文件、合同具体约定作为验收标准，将按照相关的要求进行验收。</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（七）效果评价：成交供应商与采购人商定培训质量考核方案，签订合同时体现。</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（八）人员要求：</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color w:val="000000" w:themeColor="text1"/>
          <w:sz w:val="24"/>
        </w:rPr>
        <w:t>1.</w:t>
      </w:r>
      <w:r w:rsidRPr="00E12630">
        <w:rPr>
          <w:rFonts w:ascii="仿宋" w:eastAsia="仿宋" w:hAnsi="仿宋" w:hint="eastAsia"/>
          <w:color w:val="000000" w:themeColor="text1"/>
          <w:sz w:val="24"/>
        </w:rPr>
        <w:t>线上授课老师（知识点讲解）</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color w:val="000000" w:themeColor="text1"/>
          <w:sz w:val="24"/>
        </w:rPr>
        <w:t>2.</w:t>
      </w:r>
      <w:r w:rsidRPr="00E12630">
        <w:rPr>
          <w:rFonts w:ascii="仿宋" w:eastAsia="仿宋" w:hAnsi="仿宋" w:hint="eastAsia"/>
          <w:color w:val="000000" w:themeColor="text1"/>
          <w:sz w:val="24"/>
        </w:rPr>
        <w:t>线上互动答疑课老师（疑难问题解惑，线上老师也可以线下授课，看学校具体需求）</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color w:val="000000" w:themeColor="text1"/>
          <w:sz w:val="24"/>
        </w:rPr>
        <w:t>3.</w:t>
      </w:r>
      <w:r w:rsidRPr="00E12630">
        <w:rPr>
          <w:rFonts w:ascii="仿宋" w:eastAsia="仿宋" w:hAnsi="仿宋" w:hint="eastAsia"/>
          <w:color w:val="000000" w:themeColor="text1"/>
          <w:sz w:val="24"/>
        </w:rPr>
        <w:t>线下学校辅助老师（组织并管理学生上课）</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color w:val="000000" w:themeColor="text1"/>
          <w:sz w:val="24"/>
        </w:rPr>
        <w:t>4.</w:t>
      </w:r>
      <w:r w:rsidRPr="00E12630">
        <w:rPr>
          <w:rFonts w:ascii="仿宋" w:eastAsia="仿宋" w:hAnsi="仿宋" w:hint="eastAsia"/>
          <w:color w:val="000000" w:themeColor="text1"/>
          <w:sz w:val="24"/>
        </w:rPr>
        <w:t>讲师（政策类，学习方法类等宣讲）</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color w:val="000000" w:themeColor="text1"/>
          <w:sz w:val="24"/>
        </w:rPr>
        <w:t>5.</w:t>
      </w:r>
      <w:r w:rsidRPr="00E12630">
        <w:rPr>
          <w:rFonts w:ascii="仿宋" w:eastAsia="仿宋" w:hAnsi="仿宋" w:hint="eastAsia"/>
          <w:color w:val="000000" w:themeColor="text1"/>
          <w:sz w:val="24"/>
        </w:rPr>
        <w:t>运营老师（排课，测试，报告，课程中跟进学生学习状态，及时与授课和线下辅助老师沟通）</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（九）后端各类学习平台与题库：</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1.测试选拔，报告等学生使用的平台，学生上线了解分数和易错题型分析等。</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2.学习过程中提供习题集，学生有效巩固知识点。</w:t>
      </w:r>
    </w:p>
    <w:p w:rsidR="002910FA" w:rsidRPr="00E12630" w:rsidRDefault="002910FA" w:rsidP="002910FA">
      <w:pPr>
        <w:pStyle w:val="2"/>
        <w:spacing w:line="400" w:lineRule="exact"/>
        <w:ind w:firstLineChars="98" w:firstLine="236"/>
        <w:rPr>
          <w:rFonts w:ascii="仿宋" w:eastAsia="仿宋" w:hAnsi="仿宋"/>
          <w:color w:val="000000" w:themeColor="text1"/>
          <w:sz w:val="24"/>
        </w:rPr>
      </w:pPr>
      <w:r w:rsidRPr="00E12630">
        <w:rPr>
          <w:rFonts w:ascii="仿宋" w:eastAsia="仿宋" w:hAnsi="仿宋" w:hint="eastAsia"/>
          <w:color w:val="000000" w:themeColor="text1"/>
          <w:sz w:val="24"/>
          <w:szCs w:val="24"/>
        </w:rPr>
        <w:t>五、商务要求：</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w:t>
      </w:r>
      <w:r w:rsidRPr="00E12630">
        <w:rPr>
          <w:rFonts w:ascii="仿宋" w:eastAsia="仿宋" w:hAnsi="仿宋"/>
          <w:color w:val="000000" w:themeColor="text1"/>
          <w:sz w:val="24"/>
        </w:rPr>
        <w:t>1</w:t>
      </w:r>
      <w:r w:rsidRPr="00E12630">
        <w:rPr>
          <w:rFonts w:ascii="仿宋" w:eastAsia="仿宋" w:hAnsi="仿宋" w:hint="eastAsia"/>
          <w:color w:val="000000" w:themeColor="text1"/>
          <w:sz w:val="24"/>
        </w:rPr>
        <w:t>、服务期限：项目服务期限为三年，合同每年一签，当年服务工作经采购人考核达到合格，根据实际需求情况方可签订下一年度合同，考核不合格，采购人可以不再续签合同。</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2、报价要求：本项目为总价包干，包含服务费用，培训人员的交通运输费用、专家接送的差旅费和工作酬金、工作人员工作补贴、差旅费、资料费、课程资源、管理软件、测评系统、教学平台所等产生的费用及后续维护的费用、协助采购人完成实施工作的相关措施费、税金费等本项目一切相关内容的开支费用，采购人不再支付本项目相关一切开销费用（提供承诺函，格式自拟）。</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3、知识产权归属：成交供应商应保证本项目的技术、服务或其任何一部分不会产生因第三方提出侵犯其专利权、商标权或其他知识产权而引起的法律和经济纠纷；如因第三方提出其专利权、商标权或其他知识产权的侵权之诉，则一切法律责任由成交供应商承担（提供承诺函，格式自拟）。</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★4、保密要求（提供承诺函，格式自拟）</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4.1保守国家秘密和学校工作秘密。</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4.2提供教育服务的成交供应商对采购人及其服务对象提供的资料、文件、情况以及有关图纸、谈话记录、录音等严格保密，非由法律法规规定或采购对象同意，不得向任何第三方披露。</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lastRenderedPageBreak/>
        <w:t>5、验收</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5.1服务质量标准：成交供应商派驻人员按采购人规定的要求提供相应的服务，完成本项目的所有项目服务内容，所完成的质量需达到采购人要求。</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5.2业务量验收标准：成交供应商按采购人要求按时按质完成工作任务。</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5.3如遇对业务整理流程的调整，采购人则提前向成交供应商提供最新验收标准，成交供应商应按新标准按时完成工作。</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6、效果评估：</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成交供应商按采购人协商确定效果评估方案，在签订合同时作为必要件体现。</w:t>
      </w:r>
    </w:p>
    <w:p w:rsidR="002910FA" w:rsidRPr="00E12630" w:rsidRDefault="002910FA" w:rsidP="002910FA">
      <w:pPr>
        <w:pStyle w:val="a6"/>
        <w:spacing w:line="400" w:lineRule="exact"/>
        <w:ind w:firstLine="480"/>
        <w:rPr>
          <w:rFonts w:ascii="仿宋" w:eastAsia="仿宋" w:hAnsi="仿宋"/>
          <w:color w:val="000000" w:themeColor="text1"/>
          <w:sz w:val="24"/>
        </w:rPr>
      </w:pPr>
      <w:r w:rsidRPr="00E12630">
        <w:rPr>
          <w:rFonts w:ascii="仿宋" w:eastAsia="仿宋" w:hAnsi="仿宋" w:hint="eastAsia"/>
          <w:color w:val="000000" w:themeColor="text1"/>
          <w:sz w:val="24"/>
        </w:rPr>
        <w:t>7、付款方式：</w:t>
      </w:r>
    </w:p>
    <w:p w:rsidR="002910FA" w:rsidRPr="00E12630" w:rsidRDefault="002910FA" w:rsidP="002910FA">
      <w:pPr>
        <w:snapToGrid w:val="0"/>
        <w:spacing w:line="288" w:lineRule="auto"/>
        <w:ind w:firstLineChars="200" w:firstLine="480"/>
        <w:rPr>
          <w:rFonts w:ascii="仿宋" w:eastAsia="仿宋" w:hAnsi="仿宋"/>
          <w:color w:val="000000" w:themeColor="text1"/>
          <w:sz w:val="24"/>
        </w:rPr>
      </w:pPr>
      <w:r w:rsidRPr="00E12630">
        <w:rPr>
          <w:rFonts w:ascii="仿宋" w:eastAsia="仿宋" w:hAnsi="仿宋" w:hint="eastAsia"/>
          <w:color w:val="000000" w:themeColor="text1"/>
          <w:sz w:val="24"/>
        </w:rPr>
        <w:t>(1)在本合同签订生效之日起接到成交供应商通知和票据凭证资料后的30日内，按照财政性资金支付有关规定，向中标供应商预支付合同金额百分之三十的价款。</w:t>
      </w:r>
    </w:p>
    <w:p w:rsidR="002910FA" w:rsidRPr="00E12630" w:rsidRDefault="002910FA" w:rsidP="002910FA">
      <w:pPr>
        <w:snapToGrid w:val="0"/>
        <w:spacing w:line="288" w:lineRule="auto"/>
        <w:ind w:firstLineChars="200" w:firstLine="480"/>
        <w:rPr>
          <w:rFonts w:ascii="仿宋" w:eastAsia="仿宋" w:hAnsi="仿宋"/>
          <w:color w:val="000000" w:themeColor="text1"/>
          <w:sz w:val="24"/>
        </w:rPr>
      </w:pPr>
      <w:r w:rsidRPr="00E12630">
        <w:rPr>
          <w:rFonts w:ascii="仿宋" w:eastAsia="仿宋" w:hAnsi="仿宋" w:hint="eastAsia"/>
          <w:color w:val="000000" w:themeColor="text1"/>
          <w:sz w:val="24"/>
        </w:rPr>
        <w:t>(2)在本合同签订生效3个月，对于满足资金支付条件的，接到成交供应商通知和票据凭证资料后的30日内，按照财政性资金支付有关规定，向中标供应商支付合同金额百分之三十的价款。</w:t>
      </w:r>
    </w:p>
    <w:p w:rsidR="002910FA" w:rsidRPr="00E12630" w:rsidRDefault="002910FA" w:rsidP="002910FA">
      <w:pPr>
        <w:snapToGrid w:val="0"/>
        <w:spacing w:line="288" w:lineRule="auto"/>
        <w:ind w:firstLineChars="200" w:firstLine="480"/>
        <w:rPr>
          <w:rFonts w:ascii="仿宋" w:eastAsia="仿宋" w:hAnsi="仿宋"/>
          <w:color w:val="000000" w:themeColor="text1"/>
          <w:sz w:val="24"/>
        </w:rPr>
      </w:pPr>
      <w:r w:rsidRPr="00E12630">
        <w:rPr>
          <w:rFonts w:ascii="仿宋" w:eastAsia="仿宋" w:hAnsi="仿宋" w:hint="eastAsia"/>
          <w:color w:val="000000" w:themeColor="text1"/>
          <w:sz w:val="24"/>
        </w:rPr>
        <w:t>(3)在本合同签订生效6个月，对于满足资金支付条件的，接到成交供应商通知和票据凭证资料后的30日内，按照财政性资金支付有关规定，向中标供应商支付合同金额百分之三十的价款。</w:t>
      </w:r>
    </w:p>
    <w:p w:rsidR="002910FA" w:rsidRPr="00E12630" w:rsidRDefault="002910FA" w:rsidP="002910FA">
      <w:pPr>
        <w:snapToGrid w:val="0"/>
        <w:spacing w:line="288" w:lineRule="auto"/>
        <w:ind w:firstLineChars="200" w:firstLine="480"/>
        <w:rPr>
          <w:rFonts w:ascii="仿宋" w:eastAsia="仿宋" w:hAnsi="仿宋"/>
          <w:color w:val="000000" w:themeColor="text1"/>
          <w:sz w:val="24"/>
        </w:rPr>
      </w:pPr>
      <w:r w:rsidRPr="00E12630">
        <w:rPr>
          <w:rFonts w:ascii="仿宋" w:eastAsia="仿宋" w:hAnsi="仿宋" w:hint="eastAsia"/>
          <w:color w:val="000000" w:themeColor="text1"/>
          <w:sz w:val="24"/>
        </w:rPr>
        <w:t>(4)全部服务履行完毕，项目履约验收合格之日起，接到成交供应商通知和票据凭证资料后的30日内，按照财政性资金支付有关规定，向成交供应商支付合同金额百分之十的价款。</w:t>
      </w:r>
    </w:p>
    <w:p w:rsidR="002910FA" w:rsidRPr="00E12630" w:rsidRDefault="002910FA" w:rsidP="002910FA">
      <w:pPr>
        <w:pStyle w:val="a6"/>
        <w:spacing w:line="400" w:lineRule="exact"/>
        <w:ind w:firstLineChars="0" w:firstLine="0"/>
        <w:rPr>
          <w:rFonts w:ascii="仿宋" w:eastAsia="仿宋" w:hAnsi="仿宋"/>
          <w:color w:val="000000" w:themeColor="text1"/>
          <w:sz w:val="24"/>
        </w:rPr>
      </w:pPr>
      <w:r w:rsidRPr="00E12630">
        <w:rPr>
          <w:rFonts w:ascii="仿宋" w:eastAsia="仿宋" w:hAnsi="仿宋" w:hint="eastAsia"/>
          <w:color w:val="000000" w:themeColor="text1"/>
          <w:sz w:val="24"/>
        </w:rPr>
        <w:t>备注：带★号参数和要求不得有负偏离。</w:t>
      </w:r>
    </w:p>
    <w:p w:rsidR="002910FA" w:rsidRPr="00E12630" w:rsidRDefault="002910FA" w:rsidP="002910FA">
      <w:pPr>
        <w:pStyle w:val="2"/>
        <w:spacing w:line="400" w:lineRule="exact"/>
        <w:ind w:firstLineChars="98" w:firstLine="236"/>
        <w:rPr>
          <w:rFonts w:ascii="仿宋" w:eastAsia="仿宋" w:hAnsi="仿宋"/>
          <w:color w:val="000000" w:themeColor="text1"/>
          <w:sz w:val="24"/>
        </w:rPr>
      </w:pPr>
      <w:r w:rsidRPr="00E12630">
        <w:rPr>
          <w:rFonts w:ascii="仿宋" w:eastAsia="仿宋" w:hAnsi="仿宋" w:hint="eastAsia"/>
          <w:color w:val="000000" w:themeColor="text1"/>
          <w:sz w:val="24"/>
          <w:szCs w:val="24"/>
        </w:rPr>
        <w:t>六、课程安排</w:t>
      </w:r>
    </w:p>
    <w:tbl>
      <w:tblPr>
        <w:tblStyle w:val="a9"/>
        <w:tblW w:w="0" w:type="auto"/>
        <w:tblInd w:w="137" w:type="dxa"/>
        <w:tblLook w:val="04A0" w:firstRow="1" w:lastRow="0" w:firstColumn="1" w:lastColumn="0" w:noHBand="0" w:noVBand="1"/>
      </w:tblPr>
      <w:tblGrid>
        <w:gridCol w:w="1323"/>
        <w:gridCol w:w="1857"/>
        <w:gridCol w:w="1219"/>
        <w:gridCol w:w="1067"/>
        <w:gridCol w:w="1474"/>
        <w:gridCol w:w="1219"/>
      </w:tblGrid>
      <w:tr w:rsidR="002910FA" w:rsidRPr="00E12630" w:rsidTr="005C7232">
        <w:tc>
          <w:tcPr>
            <w:tcW w:w="1418" w:type="dxa"/>
            <w:vAlign w:val="center"/>
          </w:tcPr>
          <w:p w:rsidR="002910FA" w:rsidRPr="00E12630" w:rsidRDefault="002910FA" w:rsidP="005C7232">
            <w:pPr>
              <w:pStyle w:val="a7"/>
              <w:spacing w:before="0" w:beforeAutospacing="0" w:after="0" w:afterAutospacing="0"/>
              <w:jc w:val="center"/>
              <w:rPr>
                <w:rStyle w:val="aa"/>
                <w:rFonts w:ascii="仿宋" w:eastAsia="仿宋" w:hAnsi="仿宋"/>
                <w:color w:val="000000" w:themeColor="text1"/>
                <w:sz w:val="24"/>
                <w:szCs w:val="24"/>
              </w:rPr>
            </w:pPr>
            <w:r w:rsidRPr="00E12630">
              <w:rPr>
                <w:rStyle w:val="aa"/>
                <w:rFonts w:ascii="仿宋" w:eastAsia="仿宋" w:hAnsi="仿宋" w:hint="eastAsia"/>
                <w:color w:val="000000" w:themeColor="text1"/>
                <w:sz w:val="24"/>
                <w:szCs w:val="24"/>
              </w:rPr>
              <w:t>课程类型</w:t>
            </w:r>
          </w:p>
        </w:tc>
        <w:tc>
          <w:tcPr>
            <w:tcW w:w="1984" w:type="dxa"/>
            <w:vAlign w:val="center"/>
          </w:tcPr>
          <w:p w:rsidR="002910FA" w:rsidRPr="00E12630" w:rsidRDefault="002910FA" w:rsidP="005C7232">
            <w:pPr>
              <w:pStyle w:val="a7"/>
              <w:spacing w:before="0" w:beforeAutospacing="0" w:after="0" w:afterAutospacing="0"/>
              <w:jc w:val="center"/>
              <w:rPr>
                <w:rStyle w:val="aa"/>
                <w:rFonts w:ascii="仿宋" w:eastAsia="仿宋" w:hAnsi="仿宋"/>
                <w:color w:val="000000" w:themeColor="text1"/>
                <w:sz w:val="24"/>
                <w:szCs w:val="24"/>
              </w:rPr>
            </w:pPr>
            <w:r w:rsidRPr="00E12630">
              <w:rPr>
                <w:rStyle w:val="aa"/>
                <w:rFonts w:ascii="仿宋" w:eastAsia="仿宋" w:hAnsi="仿宋" w:hint="eastAsia"/>
                <w:color w:val="000000" w:themeColor="text1"/>
                <w:sz w:val="24"/>
                <w:szCs w:val="24"/>
              </w:rPr>
              <w:t>课程定位</w:t>
            </w:r>
          </w:p>
        </w:tc>
        <w:tc>
          <w:tcPr>
            <w:tcW w:w="1276" w:type="dxa"/>
            <w:vAlign w:val="center"/>
          </w:tcPr>
          <w:p w:rsidR="002910FA" w:rsidRPr="00E12630" w:rsidRDefault="002910FA" w:rsidP="005C7232">
            <w:pPr>
              <w:pStyle w:val="a7"/>
              <w:spacing w:before="0" w:beforeAutospacing="0" w:after="0" w:afterAutospacing="0"/>
              <w:jc w:val="center"/>
              <w:rPr>
                <w:rStyle w:val="aa"/>
                <w:rFonts w:ascii="仿宋" w:eastAsia="仿宋" w:hAnsi="仿宋"/>
                <w:color w:val="000000" w:themeColor="text1"/>
                <w:sz w:val="24"/>
                <w:szCs w:val="24"/>
              </w:rPr>
            </w:pPr>
            <w:r w:rsidRPr="00E12630">
              <w:rPr>
                <w:rStyle w:val="aa"/>
                <w:rFonts w:ascii="仿宋" w:eastAsia="仿宋" w:hAnsi="仿宋" w:hint="eastAsia"/>
                <w:color w:val="000000" w:themeColor="text1"/>
                <w:sz w:val="24"/>
                <w:szCs w:val="24"/>
              </w:rPr>
              <w:t>课程名称</w:t>
            </w:r>
          </w:p>
        </w:tc>
        <w:tc>
          <w:tcPr>
            <w:tcW w:w="1134" w:type="dxa"/>
            <w:vAlign w:val="center"/>
          </w:tcPr>
          <w:p w:rsidR="002910FA" w:rsidRPr="00E12630" w:rsidRDefault="002910FA" w:rsidP="005C7232">
            <w:pPr>
              <w:pStyle w:val="a7"/>
              <w:spacing w:before="0" w:beforeAutospacing="0" w:after="0" w:afterAutospacing="0"/>
              <w:jc w:val="center"/>
              <w:rPr>
                <w:rStyle w:val="aa"/>
                <w:rFonts w:ascii="仿宋" w:eastAsia="仿宋" w:hAnsi="仿宋"/>
                <w:color w:val="000000" w:themeColor="text1"/>
                <w:sz w:val="24"/>
                <w:szCs w:val="24"/>
              </w:rPr>
            </w:pPr>
            <w:r w:rsidRPr="00E12630">
              <w:rPr>
                <w:rStyle w:val="aa"/>
                <w:rFonts w:ascii="仿宋" w:eastAsia="仿宋" w:hAnsi="仿宋" w:hint="eastAsia"/>
                <w:color w:val="000000" w:themeColor="text1"/>
                <w:sz w:val="24"/>
                <w:szCs w:val="24"/>
              </w:rPr>
              <w:t>课程周期</w:t>
            </w:r>
          </w:p>
        </w:tc>
        <w:tc>
          <w:tcPr>
            <w:tcW w:w="1559"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Style w:val="aa"/>
                <w:rFonts w:ascii="仿宋" w:eastAsia="仿宋" w:hAnsi="仿宋" w:hint="eastAsia"/>
                <w:color w:val="000000" w:themeColor="text1"/>
                <w:sz w:val="24"/>
                <w:szCs w:val="24"/>
              </w:rPr>
              <w:t>专业课课时</w:t>
            </w:r>
          </w:p>
          <w:p w:rsidR="002910FA" w:rsidRPr="00E12630" w:rsidRDefault="002910FA" w:rsidP="005C7232">
            <w:pPr>
              <w:pStyle w:val="a7"/>
              <w:spacing w:before="0" w:beforeAutospacing="0" w:after="0" w:afterAutospacing="0"/>
              <w:jc w:val="center"/>
              <w:rPr>
                <w:rStyle w:val="aa"/>
                <w:rFonts w:ascii="仿宋" w:eastAsia="仿宋" w:hAnsi="仿宋"/>
                <w:color w:val="000000" w:themeColor="text1"/>
                <w:sz w:val="24"/>
                <w:szCs w:val="24"/>
              </w:rPr>
            </w:pPr>
            <w:r w:rsidRPr="00E12630">
              <w:rPr>
                <w:rStyle w:val="aa"/>
                <w:rFonts w:ascii="仿宋" w:eastAsia="仿宋" w:hAnsi="仿宋" w:hint="eastAsia"/>
                <w:color w:val="000000" w:themeColor="text1"/>
                <w:sz w:val="24"/>
                <w:szCs w:val="24"/>
              </w:rPr>
              <w:t>（小时）</w:t>
            </w:r>
          </w:p>
        </w:tc>
        <w:tc>
          <w:tcPr>
            <w:tcW w:w="1276"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Style w:val="aa"/>
                <w:rFonts w:ascii="仿宋" w:eastAsia="仿宋" w:hAnsi="仿宋" w:hint="eastAsia"/>
                <w:color w:val="000000" w:themeColor="text1"/>
                <w:sz w:val="24"/>
                <w:szCs w:val="24"/>
              </w:rPr>
              <w:t>互动习题课课时</w:t>
            </w:r>
          </w:p>
          <w:p w:rsidR="002910FA" w:rsidRPr="00E12630" w:rsidRDefault="002910FA" w:rsidP="005C7232">
            <w:pPr>
              <w:pStyle w:val="a7"/>
              <w:spacing w:before="0" w:beforeAutospacing="0" w:after="0" w:afterAutospacing="0"/>
              <w:jc w:val="center"/>
              <w:rPr>
                <w:rStyle w:val="aa"/>
                <w:rFonts w:ascii="仿宋" w:eastAsia="仿宋" w:hAnsi="仿宋"/>
                <w:color w:val="000000" w:themeColor="text1"/>
                <w:sz w:val="24"/>
                <w:szCs w:val="24"/>
              </w:rPr>
            </w:pPr>
            <w:r w:rsidRPr="00E12630">
              <w:rPr>
                <w:rStyle w:val="aa"/>
                <w:rFonts w:ascii="仿宋" w:eastAsia="仿宋" w:hAnsi="仿宋" w:hint="eastAsia"/>
                <w:color w:val="000000" w:themeColor="text1"/>
                <w:sz w:val="24"/>
                <w:szCs w:val="24"/>
              </w:rPr>
              <w:t>（小时）</w:t>
            </w:r>
          </w:p>
        </w:tc>
      </w:tr>
      <w:tr w:rsidR="002910FA" w:rsidRPr="00E12630" w:rsidTr="005C7232">
        <w:tc>
          <w:tcPr>
            <w:tcW w:w="1418" w:type="dxa"/>
            <w:vAlign w:val="center"/>
          </w:tcPr>
          <w:p w:rsidR="002910FA" w:rsidRPr="00E12630" w:rsidRDefault="002910FA" w:rsidP="005C7232">
            <w:pPr>
              <w:pStyle w:val="a7"/>
              <w:spacing w:before="0" w:beforeAutospacing="0" w:after="0" w:afterAutospacing="0"/>
              <w:jc w:val="center"/>
              <w:rPr>
                <w:rFonts w:ascii="仿宋" w:eastAsia="仿宋" w:hAnsi="仿宋" w:cs="宋体"/>
                <w:b/>
                <w:color w:val="000000" w:themeColor="text1"/>
                <w:sz w:val="24"/>
                <w:szCs w:val="24"/>
              </w:rPr>
            </w:pPr>
            <w:r w:rsidRPr="00E12630">
              <w:rPr>
                <w:rStyle w:val="aa"/>
                <w:rFonts w:ascii="仿宋" w:eastAsia="仿宋" w:hAnsi="仿宋" w:hint="eastAsia"/>
                <w:color w:val="000000" w:themeColor="text1"/>
                <w:sz w:val="24"/>
                <w:szCs w:val="24"/>
              </w:rPr>
              <w:t>竞赛课程</w:t>
            </w:r>
          </w:p>
        </w:tc>
        <w:tc>
          <w:tcPr>
            <w:tcW w:w="1984"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课程内容涵盖参加竞赛课程的数学所需要的知识</w:t>
            </w:r>
          </w:p>
        </w:tc>
        <w:tc>
          <w:tcPr>
            <w:tcW w:w="1276"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竞赛数学预备课程</w:t>
            </w:r>
          </w:p>
        </w:tc>
        <w:tc>
          <w:tcPr>
            <w:tcW w:w="1134" w:type="dxa"/>
            <w:vAlign w:val="center"/>
          </w:tcPr>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color w:val="000000" w:themeColor="text1"/>
                <w:sz w:val="24"/>
                <w:szCs w:val="24"/>
              </w:rPr>
              <w:t>3</w:t>
            </w:r>
            <w:r w:rsidRPr="00E12630">
              <w:rPr>
                <w:rFonts w:ascii="仿宋" w:eastAsia="仿宋" w:hAnsi="仿宋" w:hint="eastAsia"/>
                <w:color w:val="000000" w:themeColor="text1"/>
                <w:sz w:val="24"/>
                <w:szCs w:val="24"/>
              </w:rPr>
              <w:t>个月</w:t>
            </w:r>
          </w:p>
        </w:tc>
        <w:tc>
          <w:tcPr>
            <w:tcW w:w="1559" w:type="dxa"/>
            <w:vAlign w:val="center"/>
          </w:tcPr>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80</w:t>
            </w:r>
          </w:p>
        </w:tc>
        <w:tc>
          <w:tcPr>
            <w:tcW w:w="1276"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p>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color w:val="000000" w:themeColor="text1"/>
                <w:sz w:val="24"/>
                <w:szCs w:val="24"/>
              </w:rPr>
              <w:t>-</w:t>
            </w:r>
          </w:p>
        </w:tc>
      </w:tr>
      <w:tr w:rsidR="002910FA" w:rsidRPr="00E12630" w:rsidTr="005C7232">
        <w:tc>
          <w:tcPr>
            <w:tcW w:w="1418" w:type="dxa"/>
            <w:vAlign w:val="center"/>
          </w:tcPr>
          <w:p w:rsidR="002910FA" w:rsidRPr="00E12630" w:rsidRDefault="002910FA" w:rsidP="005C7232">
            <w:pPr>
              <w:pStyle w:val="a7"/>
              <w:spacing w:before="0" w:beforeAutospacing="0" w:after="0" w:afterAutospacing="0"/>
              <w:jc w:val="center"/>
              <w:rPr>
                <w:rFonts w:ascii="仿宋" w:eastAsia="仿宋" w:hAnsi="仿宋" w:cs="宋体"/>
                <w:b/>
                <w:color w:val="000000" w:themeColor="text1"/>
                <w:sz w:val="24"/>
                <w:szCs w:val="24"/>
              </w:rPr>
            </w:pPr>
            <w:r w:rsidRPr="00E12630">
              <w:rPr>
                <w:rStyle w:val="aa"/>
                <w:rFonts w:ascii="仿宋" w:eastAsia="仿宋" w:hAnsi="仿宋" w:hint="eastAsia"/>
                <w:color w:val="000000" w:themeColor="text1"/>
                <w:sz w:val="24"/>
                <w:szCs w:val="24"/>
              </w:rPr>
              <w:t>竞赛课程</w:t>
            </w:r>
          </w:p>
        </w:tc>
        <w:tc>
          <w:tcPr>
            <w:tcW w:w="1984"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课程内容涵盖参加竞赛课程的物理所需要的知识</w:t>
            </w:r>
          </w:p>
        </w:tc>
        <w:tc>
          <w:tcPr>
            <w:tcW w:w="1276"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竞赛物理预备课程</w:t>
            </w:r>
          </w:p>
        </w:tc>
        <w:tc>
          <w:tcPr>
            <w:tcW w:w="1134" w:type="dxa"/>
            <w:vAlign w:val="center"/>
          </w:tcPr>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color w:val="000000" w:themeColor="text1"/>
                <w:sz w:val="24"/>
                <w:szCs w:val="24"/>
              </w:rPr>
              <w:t>3</w:t>
            </w:r>
            <w:r w:rsidRPr="00E12630">
              <w:rPr>
                <w:rFonts w:ascii="仿宋" w:eastAsia="仿宋" w:hAnsi="仿宋" w:hint="eastAsia"/>
                <w:color w:val="000000" w:themeColor="text1"/>
                <w:sz w:val="24"/>
                <w:szCs w:val="24"/>
              </w:rPr>
              <w:t>个月</w:t>
            </w:r>
          </w:p>
        </w:tc>
        <w:tc>
          <w:tcPr>
            <w:tcW w:w="1559" w:type="dxa"/>
            <w:vAlign w:val="center"/>
          </w:tcPr>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80</w:t>
            </w:r>
          </w:p>
        </w:tc>
        <w:tc>
          <w:tcPr>
            <w:tcW w:w="1276"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p>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color w:val="000000" w:themeColor="text1"/>
                <w:sz w:val="24"/>
                <w:szCs w:val="24"/>
              </w:rPr>
              <w:t>-</w:t>
            </w:r>
          </w:p>
        </w:tc>
      </w:tr>
      <w:tr w:rsidR="002910FA" w:rsidRPr="00E12630" w:rsidTr="005C7232">
        <w:tc>
          <w:tcPr>
            <w:tcW w:w="1418" w:type="dxa"/>
            <w:vAlign w:val="center"/>
          </w:tcPr>
          <w:p w:rsidR="002910FA" w:rsidRPr="00E12630" w:rsidRDefault="002910FA" w:rsidP="005C7232">
            <w:pPr>
              <w:pStyle w:val="a7"/>
              <w:spacing w:before="0" w:beforeAutospacing="0" w:after="0" w:afterAutospacing="0"/>
              <w:jc w:val="center"/>
              <w:rPr>
                <w:rFonts w:ascii="仿宋" w:eastAsia="仿宋" w:hAnsi="仿宋" w:cs="宋体"/>
                <w:b/>
                <w:color w:val="000000" w:themeColor="text1"/>
                <w:sz w:val="24"/>
                <w:szCs w:val="24"/>
              </w:rPr>
            </w:pPr>
            <w:r w:rsidRPr="00E12630">
              <w:rPr>
                <w:rStyle w:val="aa"/>
                <w:rFonts w:ascii="仿宋" w:eastAsia="仿宋" w:hAnsi="仿宋" w:hint="eastAsia"/>
                <w:color w:val="000000" w:themeColor="text1"/>
                <w:sz w:val="24"/>
                <w:szCs w:val="24"/>
              </w:rPr>
              <w:t>竞赛课程</w:t>
            </w:r>
          </w:p>
        </w:tc>
        <w:tc>
          <w:tcPr>
            <w:tcW w:w="1984"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课程内容涵盖参加竞赛课程</w:t>
            </w:r>
            <w:r w:rsidRPr="00E12630">
              <w:rPr>
                <w:rFonts w:ascii="仿宋" w:eastAsia="仿宋" w:hAnsi="仿宋" w:hint="eastAsia"/>
                <w:color w:val="000000" w:themeColor="text1"/>
                <w:sz w:val="24"/>
                <w:szCs w:val="24"/>
              </w:rPr>
              <w:lastRenderedPageBreak/>
              <w:t>的化学所需要的知识</w:t>
            </w:r>
          </w:p>
        </w:tc>
        <w:tc>
          <w:tcPr>
            <w:tcW w:w="1276"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lastRenderedPageBreak/>
              <w:t>竞赛化学预备课程</w:t>
            </w:r>
          </w:p>
        </w:tc>
        <w:tc>
          <w:tcPr>
            <w:tcW w:w="1134" w:type="dxa"/>
            <w:vAlign w:val="center"/>
          </w:tcPr>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color w:val="000000" w:themeColor="text1"/>
                <w:sz w:val="24"/>
                <w:szCs w:val="24"/>
              </w:rPr>
              <w:t>3</w:t>
            </w:r>
            <w:r w:rsidRPr="00E12630">
              <w:rPr>
                <w:rFonts w:ascii="仿宋" w:eastAsia="仿宋" w:hAnsi="仿宋" w:hint="eastAsia"/>
                <w:color w:val="000000" w:themeColor="text1"/>
                <w:sz w:val="24"/>
                <w:szCs w:val="24"/>
              </w:rPr>
              <w:t>个月</w:t>
            </w:r>
          </w:p>
        </w:tc>
        <w:tc>
          <w:tcPr>
            <w:tcW w:w="1559" w:type="dxa"/>
            <w:vAlign w:val="center"/>
          </w:tcPr>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80</w:t>
            </w:r>
          </w:p>
        </w:tc>
        <w:tc>
          <w:tcPr>
            <w:tcW w:w="1276"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p>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color w:val="000000" w:themeColor="text1"/>
                <w:sz w:val="24"/>
                <w:szCs w:val="24"/>
              </w:rPr>
              <w:t>-</w:t>
            </w:r>
          </w:p>
        </w:tc>
      </w:tr>
      <w:tr w:rsidR="002910FA" w:rsidRPr="00E12630" w:rsidTr="005C7232">
        <w:tc>
          <w:tcPr>
            <w:tcW w:w="1418" w:type="dxa"/>
            <w:vAlign w:val="center"/>
          </w:tcPr>
          <w:p w:rsidR="002910FA" w:rsidRPr="00E12630" w:rsidRDefault="002910FA" w:rsidP="005C7232">
            <w:pPr>
              <w:pStyle w:val="a7"/>
              <w:spacing w:before="0" w:beforeAutospacing="0" w:after="0" w:afterAutospacing="0"/>
              <w:jc w:val="center"/>
              <w:rPr>
                <w:rFonts w:ascii="仿宋" w:eastAsia="仿宋" w:hAnsi="仿宋" w:cs="宋体"/>
                <w:b/>
                <w:color w:val="000000" w:themeColor="text1"/>
                <w:sz w:val="24"/>
                <w:szCs w:val="24"/>
              </w:rPr>
            </w:pPr>
            <w:r w:rsidRPr="00E12630">
              <w:rPr>
                <w:rStyle w:val="aa"/>
                <w:rFonts w:ascii="仿宋" w:eastAsia="仿宋" w:hAnsi="仿宋" w:hint="eastAsia"/>
                <w:color w:val="000000" w:themeColor="text1"/>
                <w:sz w:val="24"/>
                <w:szCs w:val="24"/>
              </w:rPr>
              <w:t>竞赛课程</w:t>
            </w:r>
          </w:p>
        </w:tc>
        <w:tc>
          <w:tcPr>
            <w:tcW w:w="1984"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课程内容涵盖参加竞赛课程的数学所需要的知识</w:t>
            </w:r>
          </w:p>
        </w:tc>
        <w:tc>
          <w:tcPr>
            <w:tcW w:w="1276"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竞赛数学主线课程</w:t>
            </w:r>
          </w:p>
        </w:tc>
        <w:tc>
          <w:tcPr>
            <w:tcW w:w="1134" w:type="dxa"/>
            <w:vAlign w:val="center"/>
          </w:tcPr>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color w:val="000000" w:themeColor="text1"/>
                <w:sz w:val="24"/>
                <w:szCs w:val="24"/>
              </w:rPr>
              <w:t>1年</w:t>
            </w:r>
          </w:p>
        </w:tc>
        <w:tc>
          <w:tcPr>
            <w:tcW w:w="1559" w:type="dxa"/>
            <w:vAlign w:val="center"/>
          </w:tcPr>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96</w:t>
            </w:r>
          </w:p>
        </w:tc>
        <w:tc>
          <w:tcPr>
            <w:tcW w:w="1276" w:type="dxa"/>
            <w:vAlign w:val="center"/>
          </w:tcPr>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32</w:t>
            </w:r>
          </w:p>
        </w:tc>
      </w:tr>
      <w:tr w:rsidR="002910FA" w:rsidRPr="00E12630" w:rsidTr="005C7232">
        <w:tc>
          <w:tcPr>
            <w:tcW w:w="1418" w:type="dxa"/>
            <w:vAlign w:val="center"/>
          </w:tcPr>
          <w:p w:rsidR="002910FA" w:rsidRPr="00E12630" w:rsidRDefault="002910FA" w:rsidP="005C7232">
            <w:pPr>
              <w:pStyle w:val="a7"/>
              <w:spacing w:before="0" w:beforeAutospacing="0" w:after="0" w:afterAutospacing="0"/>
              <w:jc w:val="center"/>
              <w:rPr>
                <w:rFonts w:ascii="仿宋" w:eastAsia="仿宋" w:hAnsi="仿宋" w:cs="宋体"/>
                <w:b/>
                <w:color w:val="000000" w:themeColor="text1"/>
                <w:sz w:val="24"/>
                <w:szCs w:val="24"/>
              </w:rPr>
            </w:pPr>
            <w:r w:rsidRPr="00E12630">
              <w:rPr>
                <w:rStyle w:val="aa"/>
                <w:rFonts w:ascii="仿宋" w:eastAsia="仿宋" w:hAnsi="仿宋" w:hint="eastAsia"/>
                <w:color w:val="000000" w:themeColor="text1"/>
                <w:sz w:val="24"/>
                <w:szCs w:val="24"/>
              </w:rPr>
              <w:t>竞赛课程</w:t>
            </w:r>
          </w:p>
        </w:tc>
        <w:tc>
          <w:tcPr>
            <w:tcW w:w="1984"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课程内容涵盖参加竞赛课程的物理所需要的知识</w:t>
            </w:r>
          </w:p>
        </w:tc>
        <w:tc>
          <w:tcPr>
            <w:tcW w:w="1276"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竞赛物理主线课程</w:t>
            </w:r>
          </w:p>
        </w:tc>
        <w:tc>
          <w:tcPr>
            <w:tcW w:w="1134" w:type="dxa"/>
            <w:vAlign w:val="center"/>
          </w:tcPr>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color w:val="000000" w:themeColor="text1"/>
                <w:sz w:val="24"/>
                <w:szCs w:val="24"/>
              </w:rPr>
              <w:t>1年</w:t>
            </w:r>
          </w:p>
        </w:tc>
        <w:tc>
          <w:tcPr>
            <w:tcW w:w="1559"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p>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96</w:t>
            </w:r>
          </w:p>
        </w:tc>
        <w:tc>
          <w:tcPr>
            <w:tcW w:w="1276"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p>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32</w:t>
            </w:r>
          </w:p>
        </w:tc>
      </w:tr>
      <w:tr w:rsidR="002910FA" w:rsidRPr="00E12630" w:rsidTr="005C7232">
        <w:tc>
          <w:tcPr>
            <w:tcW w:w="1418" w:type="dxa"/>
            <w:vAlign w:val="center"/>
          </w:tcPr>
          <w:p w:rsidR="002910FA" w:rsidRPr="00E12630" w:rsidRDefault="002910FA" w:rsidP="005C7232">
            <w:pPr>
              <w:pStyle w:val="a7"/>
              <w:spacing w:before="0" w:beforeAutospacing="0" w:after="0" w:afterAutospacing="0"/>
              <w:jc w:val="center"/>
              <w:rPr>
                <w:rFonts w:ascii="仿宋" w:eastAsia="仿宋" w:hAnsi="仿宋" w:cs="宋体"/>
                <w:b/>
                <w:color w:val="000000" w:themeColor="text1"/>
                <w:sz w:val="24"/>
                <w:szCs w:val="24"/>
              </w:rPr>
            </w:pPr>
            <w:r w:rsidRPr="00E12630">
              <w:rPr>
                <w:rStyle w:val="aa"/>
                <w:rFonts w:ascii="仿宋" w:eastAsia="仿宋" w:hAnsi="仿宋" w:hint="eastAsia"/>
                <w:color w:val="000000" w:themeColor="text1"/>
                <w:sz w:val="24"/>
                <w:szCs w:val="24"/>
              </w:rPr>
              <w:t>竞赛课程</w:t>
            </w:r>
          </w:p>
        </w:tc>
        <w:tc>
          <w:tcPr>
            <w:tcW w:w="1984"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课程内容涵盖参加竞赛课程的化学所需要的知识</w:t>
            </w:r>
          </w:p>
        </w:tc>
        <w:tc>
          <w:tcPr>
            <w:tcW w:w="1276"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竞赛化学主线课程</w:t>
            </w:r>
          </w:p>
        </w:tc>
        <w:tc>
          <w:tcPr>
            <w:tcW w:w="1134" w:type="dxa"/>
            <w:vAlign w:val="center"/>
          </w:tcPr>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color w:val="000000" w:themeColor="text1"/>
                <w:sz w:val="24"/>
                <w:szCs w:val="24"/>
              </w:rPr>
              <w:t>1年</w:t>
            </w:r>
          </w:p>
        </w:tc>
        <w:tc>
          <w:tcPr>
            <w:tcW w:w="1559" w:type="dxa"/>
            <w:vAlign w:val="center"/>
          </w:tcPr>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96</w:t>
            </w:r>
          </w:p>
        </w:tc>
        <w:tc>
          <w:tcPr>
            <w:tcW w:w="1276" w:type="dxa"/>
            <w:vAlign w:val="center"/>
          </w:tcPr>
          <w:p w:rsidR="002910FA" w:rsidRPr="00E12630" w:rsidRDefault="002910FA" w:rsidP="005C7232">
            <w:pPr>
              <w:pStyle w:val="a7"/>
              <w:spacing w:before="0" w:beforeAutospacing="0" w:after="0" w:afterAutospacing="0"/>
              <w:jc w:val="center"/>
              <w:rPr>
                <w:rFonts w:ascii="仿宋" w:eastAsia="仿宋" w:hAnsi="仿宋" w:cs="宋体"/>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32</w:t>
            </w:r>
          </w:p>
        </w:tc>
      </w:tr>
      <w:tr w:rsidR="002910FA" w:rsidRPr="00E12630" w:rsidTr="005C7232">
        <w:tc>
          <w:tcPr>
            <w:tcW w:w="1418"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Style w:val="aa"/>
                <w:rFonts w:ascii="仿宋" w:eastAsia="仿宋" w:hAnsi="仿宋" w:hint="eastAsia"/>
                <w:color w:val="000000" w:themeColor="text1"/>
                <w:sz w:val="24"/>
                <w:szCs w:val="24"/>
              </w:rPr>
              <w:t>强基课程</w:t>
            </w:r>
          </w:p>
        </w:tc>
        <w:tc>
          <w:tcPr>
            <w:tcW w:w="1984"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课程内容涵盖参加强基计划校考的数学、</w:t>
            </w:r>
            <w:r w:rsidRPr="00E12630">
              <w:rPr>
                <w:rFonts w:ascii="仿宋" w:eastAsia="仿宋" w:hAnsi="仿宋" w:cs="宋体" w:hint="eastAsia"/>
                <w:color w:val="000000" w:themeColor="text1"/>
                <w:sz w:val="24"/>
                <w:szCs w:val="24"/>
              </w:rPr>
              <w:t>物理所</w:t>
            </w:r>
            <w:r w:rsidRPr="00E12630">
              <w:rPr>
                <w:rFonts w:ascii="仿宋" w:eastAsia="仿宋" w:hAnsi="仿宋" w:hint="eastAsia"/>
                <w:color w:val="000000" w:themeColor="text1"/>
                <w:sz w:val="24"/>
                <w:szCs w:val="24"/>
              </w:rPr>
              <w:t>需要的知识</w:t>
            </w:r>
          </w:p>
        </w:tc>
        <w:tc>
          <w:tcPr>
            <w:tcW w:w="1276"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强基计划课程（现高一）</w:t>
            </w:r>
          </w:p>
        </w:tc>
        <w:tc>
          <w:tcPr>
            <w:tcW w:w="1134"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Fonts w:ascii="仿宋" w:eastAsia="仿宋" w:hAnsi="仿宋"/>
                <w:color w:val="000000" w:themeColor="text1"/>
                <w:sz w:val="24"/>
                <w:szCs w:val="24"/>
              </w:rPr>
              <w:t>1年</w:t>
            </w:r>
          </w:p>
        </w:tc>
        <w:tc>
          <w:tcPr>
            <w:tcW w:w="1559"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64</w:t>
            </w:r>
          </w:p>
        </w:tc>
        <w:tc>
          <w:tcPr>
            <w:tcW w:w="1276"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64</w:t>
            </w:r>
          </w:p>
        </w:tc>
      </w:tr>
      <w:tr w:rsidR="002910FA" w:rsidRPr="00E12630" w:rsidTr="005C7232">
        <w:tc>
          <w:tcPr>
            <w:tcW w:w="1418"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Style w:val="aa"/>
                <w:rFonts w:ascii="仿宋" w:eastAsia="仿宋" w:hAnsi="仿宋" w:hint="eastAsia"/>
                <w:color w:val="000000" w:themeColor="text1"/>
                <w:sz w:val="24"/>
                <w:szCs w:val="24"/>
              </w:rPr>
              <w:t>强基课程</w:t>
            </w:r>
          </w:p>
        </w:tc>
        <w:tc>
          <w:tcPr>
            <w:tcW w:w="1984"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课程内容涵盖参加强基计划校考的数学、物理、化学所需要的知识</w:t>
            </w:r>
          </w:p>
        </w:tc>
        <w:tc>
          <w:tcPr>
            <w:tcW w:w="1276"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强基计划课程（现高二）</w:t>
            </w:r>
          </w:p>
        </w:tc>
        <w:tc>
          <w:tcPr>
            <w:tcW w:w="1134"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Fonts w:ascii="仿宋" w:eastAsia="仿宋" w:hAnsi="仿宋"/>
                <w:color w:val="000000" w:themeColor="text1"/>
                <w:sz w:val="24"/>
                <w:szCs w:val="24"/>
              </w:rPr>
              <w:t>1年</w:t>
            </w:r>
          </w:p>
        </w:tc>
        <w:tc>
          <w:tcPr>
            <w:tcW w:w="1559"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64</w:t>
            </w:r>
          </w:p>
        </w:tc>
        <w:tc>
          <w:tcPr>
            <w:tcW w:w="1276"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64</w:t>
            </w:r>
          </w:p>
        </w:tc>
      </w:tr>
      <w:tr w:rsidR="002910FA" w:rsidRPr="00E12630" w:rsidTr="005C7232">
        <w:tc>
          <w:tcPr>
            <w:tcW w:w="1418"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Style w:val="aa"/>
                <w:rFonts w:ascii="仿宋" w:eastAsia="仿宋" w:hAnsi="仿宋" w:hint="eastAsia"/>
                <w:color w:val="000000" w:themeColor="text1"/>
                <w:sz w:val="24"/>
                <w:szCs w:val="24"/>
              </w:rPr>
              <w:t>强基课程</w:t>
            </w:r>
          </w:p>
        </w:tc>
        <w:tc>
          <w:tcPr>
            <w:tcW w:w="1984"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课程内容涵盖参加强基计划校考的数学、物理、化学所需要的知识</w:t>
            </w:r>
          </w:p>
        </w:tc>
        <w:tc>
          <w:tcPr>
            <w:tcW w:w="1276" w:type="dxa"/>
            <w:vAlign w:val="center"/>
          </w:tcPr>
          <w:p w:rsidR="002910FA" w:rsidRPr="00E12630" w:rsidRDefault="002910FA" w:rsidP="005C7232">
            <w:pPr>
              <w:pStyle w:val="a7"/>
              <w:spacing w:before="0" w:beforeAutospacing="0" w:after="0" w:afterAutospacing="0" w:line="273" w:lineRule="auto"/>
              <w:jc w:val="center"/>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强基计划课程（现高三）</w:t>
            </w:r>
          </w:p>
        </w:tc>
        <w:tc>
          <w:tcPr>
            <w:tcW w:w="1134"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Fonts w:ascii="仿宋" w:eastAsia="仿宋" w:hAnsi="仿宋"/>
                <w:color w:val="000000" w:themeColor="text1"/>
                <w:sz w:val="24"/>
                <w:szCs w:val="24"/>
              </w:rPr>
              <w:t>1年</w:t>
            </w:r>
          </w:p>
        </w:tc>
        <w:tc>
          <w:tcPr>
            <w:tcW w:w="1559"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48</w:t>
            </w:r>
          </w:p>
        </w:tc>
        <w:tc>
          <w:tcPr>
            <w:tcW w:w="1276" w:type="dxa"/>
            <w:vAlign w:val="center"/>
          </w:tcPr>
          <w:p w:rsidR="002910FA" w:rsidRPr="00E12630" w:rsidRDefault="002910FA" w:rsidP="005C7232">
            <w:pPr>
              <w:pStyle w:val="a7"/>
              <w:spacing w:before="0" w:beforeAutospacing="0" w:after="0" w:afterAutospacing="0"/>
              <w:jc w:val="center"/>
              <w:rPr>
                <w:rFonts w:ascii="仿宋" w:eastAsia="仿宋" w:hAnsi="仿宋"/>
                <w:color w:val="000000" w:themeColor="text1"/>
                <w:sz w:val="24"/>
                <w:szCs w:val="24"/>
              </w:rPr>
            </w:pPr>
            <w:r w:rsidRPr="00E12630">
              <w:rPr>
                <w:rFonts w:ascii="仿宋" w:eastAsia="仿宋" w:hAnsi="仿宋" w:hint="eastAsia"/>
                <w:color w:val="000000" w:themeColor="text1"/>
                <w:sz w:val="24"/>
                <w:szCs w:val="24"/>
              </w:rPr>
              <w:t>≧</w:t>
            </w:r>
            <w:r w:rsidRPr="00E12630">
              <w:rPr>
                <w:rFonts w:ascii="仿宋" w:eastAsia="仿宋" w:hAnsi="仿宋"/>
                <w:color w:val="000000" w:themeColor="text1"/>
                <w:sz w:val="24"/>
                <w:szCs w:val="24"/>
              </w:rPr>
              <w:t>48</w:t>
            </w:r>
          </w:p>
        </w:tc>
      </w:tr>
    </w:tbl>
    <w:p w:rsidR="002910FA" w:rsidRPr="00E12630" w:rsidRDefault="002910FA" w:rsidP="002910FA">
      <w:pPr>
        <w:pStyle w:val="a8"/>
        <w:jc w:val="both"/>
        <w:rPr>
          <w:rFonts w:ascii="仿宋" w:eastAsia="仿宋" w:hAnsi="仿宋"/>
          <w:color w:val="000000" w:themeColor="text1"/>
          <w:sz w:val="24"/>
        </w:rPr>
      </w:pPr>
    </w:p>
    <w:p w:rsidR="002910FA" w:rsidRPr="00E12630" w:rsidRDefault="002910FA" w:rsidP="002910FA">
      <w:pPr>
        <w:pStyle w:val="3"/>
        <w:jc w:val="left"/>
        <w:rPr>
          <w:rFonts w:ascii="仿宋" w:eastAsia="仿宋" w:hAnsi="仿宋" w:cs="宋体"/>
          <w:color w:val="000000" w:themeColor="text1"/>
          <w:sz w:val="24"/>
          <w:szCs w:val="24"/>
        </w:rPr>
      </w:pPr>
      <w:r w:rsidRPr="00E12630">
        <w:rPr>
          <w:rFonts w:ascii="仿宋" w:eastAsia="仿宋" w:hAnsi="仿宋" w:cs="宋体" w:hint="eastAsia"/>
          <w:color w:val="000000" w:themeColor="text1"/>
          <w:sz w:val="24"/>
          <w:szCs w:val="24"/>
        </w:rPr>
        <w:t>附：2021年“强基计划”36所试点高校名单</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1633"/>
        <w:gridCol w:w="1202"/>
        <w:gridCol w:w="1528"/>
        <w:gridCol w:w="1732"/>
        <w:gridCol w:w="1701"/>
      </w:tblGrid>
      <w:tr w:rsidR="002910FA" w:rsidRPr="00E12630" w:rsidTr="005C7232">
        <w:trPr>
          <w:trHeight w:val="90"/>
        </w:trPr>
        <w:tc>
          <w:tcPr>
            <w:tcW w:w="1276"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北京大学</w:t>
            </w:r>
          </w:p>
        </w:tc>
        <w:tc>
          <w:tcPr>
            <w:tcW w:w="1633"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中国人民大学</w:t>
            </w:r>
          </w:p>
        </w:tc>
        <w:tc>
          <w:tcPr>
            <w:tcW w:w="1202"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清华大学</w:t>
            </w:r>
          </w:p>
        </w:tc>
        <w:tc>
          <w:tcPr>
            <w:tcW w:w="1528"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北京航空航天大学</w:t>
            </w:r>
          </w:p>
        </w:tc>
        <w:tc>
          <w:tcPr>
            <w:tcW w:w="1732"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北京理工大学</w:t>
            </w:r>
          </w:p>
        </w:tc>
        <w:tc>
          <w:tcPr>
            <w:tcW w:w="1701"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s="Arial"/>
                <w:color w:val="000000" w:themeColor="text1"/>
                <w:sz w:val="24"/>
                <w:szCs w:val="24"/>
              </w:rPr>
            </w:pPr>
            <w:r w:rsidRPr="00E12630">
              <w:rPr>
                <w:rFonts w:ascii="仿宋" w:eastAsia="仿宋" w:hAnsi="仿宋" w:cs="Arial"/>
                <w:color w:val="000000" w:themeColor="text1"/>
                <w:sz w:val="24"/>
                <w:szCs w:val="24"/>
              </w:rPr>
              <w:t>中国农业大学</w:t>
            </w:r>
          </w:p>
        </w:tc>
      </w:tr>
      <w:tr w:rsidR="002910FA" w:rsidRPr="00E12630" w:rsidTr="005C7232">
        <w:tc>
          <w:tcPr>
            <w:tcW w:w="1276"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北京师范大学</w:t>
            </w:r>
          </w:p>
        </w:tc>
        <w:tc>
          <w:tcPr>
            <w:tcW w:w="1633"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中央民族大学</w:t>
            </w:r>
          </w:p>
        </w:tc>
        <w:tc>
          <w:tcPr>
            <w:tcW w:w="1202"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南开大学</w:t>
            </w:r>
          </w:p>
        </w:tc>
        <w:tc>
          <w:tcPr>
            <w:tcW w:w="1528"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天津大学</w:t>
            </w:r>
          </w:p>
        </w:tc>
        <w:tc>
          <w:tcPr>
            <w:tcW w:w="1732"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大连理工大学</w:t>
            </w:r>
          </w:p>
        </w:tc>
        <w:tc>
          <w:tcPr>
            <w:tcW w:w="1701"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s="Arial"/>
                <w:color w:val="000000" w:themeColor="text1"/>
                <w:sz w:val="24"/>
                <w:szCs w:val="24"/>
              </w:rPr>
            </w:pPr>
            <w:r w:rsidRPr="00E12630">
              <w:rPr>
                <w:rFonts w:ascii="仿宋" w:eastAsia="仿宋" w:hAnsi="仿宋" w:cs="Arial"/>
                <w:color w:val="000000" w:themeColor="text1"/>
                <w:sz w:val="24"/>
                <w:szCs w:val="24"/>
              </w:rPr>
              <w:t>吉林大学</w:t>
            </w:r>
          </w:p>
        </w:tc>
      </w:tr>
      <w:tr w:rsidR="002910FA" w:rsidRPr="00E12630" w:rsidTr="005C7232">
        <w:tc>
          <w:tcPr>
            <w:tcW w:w="1276"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lastRenderedPageBreak/>
              <w:t>哈尔滨工业大学</w:t>
            </w:r>
          </w:p>
        </w:tc>
        <w:tc>
          <w:tcPr>
            <w:tcW w:w="1633"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复旦大学</w:t>
            </w:r>
          </w:p>
        </w:tc>
        <w:tc>
          <w:tcPr>
            <w:tcW w:w="1202"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同济大学</w:t>
            </w:r>
          </w:p>
        </w:tc>
        <w:tc>
          <w:tcPr>
            <w:tcW w:w="1528"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上海交通大学</w:t>
            </w:r>
          </w:p>
        </w:tc>
        <w:tc>
          <w:tcPr>
            <w:tcW w:w="1732"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华东师范大学</w:t>
            </w:r>
          </w:p>
        </w:tc>
        <w:tc>
          <w:tcPr>
            <w:tcW w:w="1701"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s="Arial"/>
                <w:color w:val="000000" w:themeColor="text1"/>
                <w:sz w:val="24"/>
                <w:szCs w:val="24"/>
              </w:rPr>
            </w:pPr>
            <w:r w:rsidRPr="00E12630">
              <w:rPr>
                <w:rFonts w:ascii="仿宋" w:eastAsia="仿宋" w:hAnsi="仿宋" w:cs="Arial"/>
                <w:color w:val="000000" w:themeColor="text1"/>
                <w:sz w:val="24"/>
                <w:szCs w:val="24"/>
              </w:rPr>
              <w:t>南京大学</w:t>
            </w:r>
          </w:p>
        </w:tc>
      </w:tr>
      <w:tr w:rsidR="002910FA" w:rsidRPr="00E12630" w:rsidTr="005C7232">
        <w:tc>
          <w:tcPr>
            <w:tcW w:w="1276"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东南大学</w:t>
            </w:r>
          </w:p>
        </w:tc>
        <w:tc>
          <w:tcPr>
            <w:tcW w:w="1633"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浙江大学</w:t>
            </w:r>
          </w:p>
        </w:tc>
        <w:tc>
          <w:tcPr>
            <w:tcW w:w="1202"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中国科学技术大学</w:t>
            </w:r>
          </w:p>
        </w:tc>
        <w:tc>
          <w:tcPr>
            <w:tcW w:w="1528"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厦门大学</w:t>
            </w:r>
          </w:p>
        </w:tc>
        <w:tc>
          <w:tcPr>
            <w:tcW w:w="1732"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山东大学</w:t>
            </w:r>
          </w:p>
        </w:tc>
        <w:tc>
          <w:tcPr>
            <w:tcW w:w="1701"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s="Arial"/>
                <w:color w:val="000000" w:themeColor="text1"/>
                <w:sz w:val="24"/>
                <w:szCs w:val="24"/>
              </w:rPr>
            </w:pPr>
            <w:r w:rsidRPr="00E12630">
              <w:rPr>
                <w:rFonts w:ascii="仿宋" w:eastAsia="仿宋" w:hAnsi="仿宋" w:cs="Arial"/>
                <w:color w:val="000000" w:themeColor="text1"/>
                <w:sz w:val="24"/>
                <w:szCs w:val="24"/>
              </w:rPr>
              <w:t>中国海洋大学</w:t>
            </w:r>
          </w:p>
        </w:tc>
      </w:tr>
      <w:tr w:rsidR="002910FA" w:rsidRPr="00E12630" w:rsidTr="005C7232">
        <w:tc>
          <w:tcPr>
            <w:tcW w:w="1276"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武汉大学</w:t>
            </w:r>
          </w:p>
        </w:tc>
        <w:tc>
          <w:tcPr>
            <w:tcW w:w="1633"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华中科技大学</w:t>
            </w:r>
          </w:p>
        </w:tc>
        <w:tc>
          <w:tcPr>
            <w:tcW w:w="1202"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中南大学</w:t>
            </w:r>
          </w:p>
        </w:tc>
        <w:tc>
          <w:tcPr>
            <w:tcW w:w="1528"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中山大学</w:t>
            </w:r>
          </w:p>
        </w:tc>
        <w:tc>
          <w:tcPr>
            <w:tcW w:w="1732"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华南理工大学</w:t>
            </w:r>
          </w:p>
        </w:tc>
        <w:tc>
          <w:tcPr>
            <w:tcW w:w="1701"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s="Arial"/>
                <w:color w:val="000000" w:themeColor="text1"/>
                <w:sz w:val="24"/>
                <w:szCs w:val="24"/>
              </w:rPr>
            </w:pPr>
            <w:r w:rsidRPr="00E12630">
              <w:rPr>
                <w:rFonts w:ascii="仿宋" w:eastAsia="仿宋" w:hAnsi="仿宋" w:cs="Arial"/>
                <w:color w:val="000000" w:themeColor="text1"/>
                <w:sz w:val="24"/>
                <w:szCs w:val="24"/>
              </w:rPr>
              <w:t>四川大学</w:t>
            </w:r>
          </w:p>
        </w:tc>
      </w:tr>
      <w:tr w:rsidR="002910FA" w:rsidRPr="00E12630" w:rsidTr="005C7232">
        <w:tc>
          <w:tcPr>
            <w:tcW w:w="1276"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重庆大学</w:t>
            </w:r>
          </w:p>
        </w:tc>
        <w:tc>
          <w:tcPr>
            <w:tcW w:w="1633"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电子科技大学</w:t>
            </w:r>
          </w:p>
        </w:tc>
        <w:tc>
          <w:tcPr>
            <w:tcW w:w="1202"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西安交通大学</w:t>
            </w:r>
          </w:p>
        </w:tc>
        <w:tc>
          <w:tcPr>
            <w:tcW w:w="1528"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西北工业大学</w:t>
            </w:r>
          </w:p>
        </w:tc>
        <w:tc>
          <w:tcPr>
            <w:tcW w:w="1732"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olor w:val="000000" w:themeColor="text1"/>
                <w:sz w:val="24"/>
                <w:szCs w:val="24"/>
              </w:rPr>
            </w:pPr>
            <w:r w:rsidRPr="00E12630">
              <w:rPr>
                <w:rFonts w:ascii="仿宋" w:eastAsia="仿宋" w:hAnsi="仿宋" w:cs="Arial"/>
                <w:color w:val="000000" w:themeColor="text1"/>
                <w:sz w:val="24"/>
                <w:szCs w:val="24"/>
              </w:rPr>
              <w:t>兰州大学</w:t>
            </w:r>
          </w:p>
        </w:tc>
        <w:tc>
          <w:tcPr>
            <w:tcW w:w="1701" w:type="dxa"/>
            <w:shd w:val="clear" w:color="auto" w:fill="FFFFFF"/>
            <w:tcMar>
              <w:top w:w="30" w:type="dxa"/>
              <w:left w:w="90" w:type="dxa"/>
              <w:bottom w:w="30" w:type="dxa"/>
              <w:right w:w="90" w:type="dxa"/>
            </w:tcMar>
            <w:vAlign w:val="center"/>
          </w:tcPr>
          <w:p w:rsidR="002910FA" w:rsidRPr="00E12630" w:rsidRDefault="002910FA" w:rsidP="005C7232">
            <w:pPr>
              <w:pStyle w:val="a7"/>
              <w:wordWrap w:val="0"/>
              <w:spacing w:line="360" w:lineRule="atLeast"/>
              <w:jc w:val="center"/>
              <w:rPr>
                <w:rFonts w:ascii="仿宋" w:eastAsia="仿宋" w:hAnsi="仿宋" w:cs="Arial"/>
                <w:color w:val="000000" w:themeColor="text1"/>
                <w:sz w:val="24"/>
                <w:szCs w:val="24"/>
              </w:rPr>
            </w:pPr>
            <w:r w:rsidRPr="00E12630">
              <w:rPr>
                <w:rFonts w:ascii="仿宋" w:eastAsia="仿宋" w:hAnsi="仿宋" w:cs="Arial"/>
                <w:color w:val="000000" w:themeColor="text1"/>
                <w:sz w:val="24"/>
                <w:szCs w:val="24"/>
              </w:rPr>
              <w:t>中国人民解放军国防科技大学</w:t>
            </w:r>
          </w:p>
        </w:tc>
      </w:tr>
    </w:tbl>
    <w:p w:rsidR="002910FA" w:rsidRPr="00E12630" w:rsidRDefault="002910FA" w:rsidP="002910FA">
      <w:pPr>
        <w:rPr>
          <w:rFonts w:ascii="仿宋" w:eastAsia="仿宋" w:hAnsi="仿宋"/>
          <w:color w:val="000000" w:themeColor="text1"/>
        </w:rPr>
      </w:pPr>
    </w:p>
    <w:p w:rsidR="008171D4" w:rsidRPr="002910FA" w:rsidRDefault="002910FA"/>
    <w:sectPr w:rsidR="008171D4" w:rsidRPr="002910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FA" w:rsidRDefault="002910FA" w:rsidP="002910FA">
      <w:r>
        <w:separator/>
      </w:r>
    </w:p>
  </w:endnote>
  <w:endnote w:type="continuationSeparator" w:id="0">
    <w:p w:rsidR="002910FA" w:rsidRDefault="002910FA" w:rsidP="0029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FA" w:rsidRDefault="002910FA" w:rsidP="002910FA">
      <w:r>
        <w:separator/>
      </w:r>
    </w:p>
  </w:footnote>
  <w:footnote w:type="continuationSeparator" w:id="0">
    <w:p w:rsidR="002910FA" w:rsidRDefault="002910FA" w:rsidP="00291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10"/>
    <w:rsid w:val="002910FA"/>
    <w:rsid w:val="00424E10"/>
    <w:rsid w:val="004A3277"/>
    <w:rsid w:val="0078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8DF9D8F-D9B4-4FA5-A006-52714723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910FA"/>
    <w:pPr>
      <w:widowControl w:val="0"/>
      <w:jc w:val="both"/>
    </w:pPr>
    <w:rPr>
      <w:rFonts w:ascii="Times New Roman" w:eastAsia="宋体" w:hAnsi="Times New Roman" w:cs="Times New Roman"/>
      <w:szCs w:val="24"/>
    </w:rPr>
  </w:style>
  <w:style w:type="paragraph" w:styleId="2">
    <w:name w:val="heading 2"/>
    <w:basedOn w:val="a"/>
    <w:next w:val="a"/>
    <w:link w:val="2Char"/>
    <w:qFormat/>
    <w:rsid w:val="002910F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910F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910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2910FA"/>
    <w:rPr>
      <w:sz w:val="18"/>
      <w:szCs w:val="18"/>
    </w:rPr>
  </w:style>
  <w:style w:type="paragraph" w:styleId="a5">
    <w:name w:val="footer"/>
    <w:basedOn w:val="a"/>
    <w:link w:val="Char0"/>
    <w:uiPriority w:val="99"/>
    <w:unhideWhenUsed/>
    <w:rsid w:val="002910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2910FA"/>
    <w:rPr>
      <w:sz w:val="18"/>
      <w:szCs w:val="18"/>
    </w:rPr>
  </w:style>
  <w:style w:type="character" w:customStyle="1" w:styleId="2Char">
    <w:name w:val="标题 2 Char"/>
    <w:basedOn w:val="a1"/>
    <w:link w:val="2"/>
    <w:qFormat/>
    <w:rsid w:val="002910FA"/>
    <w:rPr>
      <w:rFonts w:ascii="Arial" w:eastAsia="黑体" w:hAnsi="Arial" w:cs="Times New Roman"/>
      <w:b/>
      <w:bCs/>
      <w:sz w:val="32"/>
      <w:szCs w:val="32"/>
    </w:rPr>
  </w:style>
  <w:style w:type="character" w:customStyle="1" w:styleId="3Char">
    <w:name w:val="标题 3 Char"/>
    <w:basedOn w:val="a1"/>
    <w:link w:val="3"/>
    <w:qFormat/>
    <w:rsid w:val="002910FA"/>
    <w:rPr>
      <w:rFonts w:ascii="Times New Roman" w:eastAsia="宋体" w:hAnsi="Times New Roman" w:cs="Times New Roman"/>
      <w:b/>
      <w:bCs/>
      <w:sz w:val="32"/>
      <w:szCs w:val="32"/>
    </w:rPr>
  </w:style>
  <w:style w:type="paragraph" w:styleId="a6">
    <w:name w:val="Normal Indent"/>
    <w:basedOn w:val="a"/>
    <w:link w:val="Char1"/>
    <w:qFormat/>
    <w:rsid w:val="002910FA"/>
    <w:pPr>
      <w:ind w:firstLineChars="200" w:firstLine="420"/>
    </w:pPr>
  </w:style>
  <w:style w:type="paragraph" w:styleId="a7">
    <w:name w:val="Normal (Web)"/>
    <w:basedOn w:val="a"/>
    <w:uiPriority w:val="99"/>
    <w:qFormat/>
    <w:rsid w:val="002910FA"/>
    <w:pPr>
      <w:widowControl/>
      <w:spacing w:before="100" w:beforeAutospacing="1" w:after="100" w:afterAutospacing="1"/>
      <w:jc w:val="left"/>
    </w:pPr>
    <w:rPr>
      <w:rFonts w:ascii="宋体" w:hAnsi="宋体"/>
      <w:kern w:val="0"/>
      <w:sz w:val="18"/>
      <w:szCs w:val="18"/>
    </w:rPr>
  </w:style>
  <w:style w:type="paragraph" w:styleId="a8">
    <w:name w:val="Title"/>
    <w:basedOn w:val="a"/>
    <w:next w:val="a"/>
    <w:link w:val="Char2"/>
    <w:uiPriority w:val="10"/>
    <w:qFormat/>
    <w:rsid w:val="002910FA"/>
    <w:pPr>
      <w:spacing w:before="240" w:after="60"/>
      <w:jc w:val="center"/>
      <w:outlineLvl w:val="0"/>
    </w:pPr>
    <w:rPr>
      <w:rFonts w:asciiTheme="majorHAnsi" w:hAnsiTheme="majorHAnsi" w:cstheme="majorBidi"/>
      <w:b/>
      <w:bCs/>
      <w:sz w:val="32"/>
      <w:szCs w:val="32"/>
    </w:rPr>
  </w:style>
  <w:style w:type="character" w:customStyle="1" w:styleId="Char2">
    <w:name w:val="标题 Char"/>
    <w:basedOn w:val="a1"/>
    <w:link w:val="a8"/>
    <w:uiPriority w:val="10"/>
    <w:qFormat/>
    <w:rsid w:val="002910FA"/>
    <w:rPr>
      <w:rFonts w:asciiTheme="majorHAnsi" w:eastAsia="宋体" w:hAnsiTheme="majorHAnsi" w:cstheme="majorBidi"/>
      <w:b/>
      <w:bCs/>
      <w:sz w:val="32"/>
      <w:szCs w:val="32"/>
    </w:rPr>
  </w:style>
  <w:style w:type="table" w:styleId="a9">
    <w:name w:val="Table Grid"/>
    <w:basedOn w:val="a2"/>
    <w:qFormat/>
    <w:rsid w:val="002910F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sid w:val="002910FA"/>
    <w:rPr>
      <w:b/>
    </w:rPr>
  </w:style>
  <w:style w:type="character" w:customStyle="1" w:styleId="Char1">
    <w:name w:val="正文缩进 Char"/>
    <w:link w:val="a6"/>
    <w:qFormat/>
    <w:rsid w:val="002910FA"/>
    <w:rPr>
      <w:rFonts w:ascii="Times New Roman" w:eastAsia="宋体" w:hAnsi="Times New Roman" w:cs="Times New Roman"/>
      <w:szCs w:val="24"/>
    </w:rPr>
  </w:style>
  <w:style w:type="paragraph" w:styleId="a0">
    <w:name w:val="Body Text"/>
    <w:basedOn w:val="a"/>
    <w:link w:val="Char3"/>
    <w:uiPriority w:val="99"/>
    <w:semiHidden/>
    <w:unhideWhenUsed/>
    <w:rsid w:val="002910FA"/>
    <w:pPr>
      <w:spacing w:after="120"/>
    </w:pPr>
  </w:style>
  <w:style w:type="character" w:customStyle="1" w:styleId="Char3">
    <w:name w:val="正文文本 Char"/>
    <w:basedOn w:val="a1"/>
    <w:link w:val="a0"/>
    <w:uiPriority w:val="99"/>
    <w:semiHidden/>
    <w:rsid w:val="002910F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786</Words>
  <Characters>4484</Characters>
  <Application>Microsoft Office Word</Application>
  <DocSecurity>0</DocSecurity>
  <Lines>37</Lines>
  <Paragraphs>10</Paragraphs>
  <ScaleCrop>false</ScaleCrop>
  <Company>Sky123.Org</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2021-10-19T02:02:00Z</dcterms:created>
  <dcterms:modified xsi:type="dcterms:W3CDTF">2021-10-19T02:04:00Z</dcterms:modified>
</cp:coreProperties>
</file>