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第六章  招标项目技术、服务、政府采购合同内容条款及其他商务要求</w:t>
      </w:r>
    </w:p>
    <w:p>
      <w:pPr>
        <w:pStyle w:val="3"/>
        <w:spacing w:line="400" w:lineRule="exact"/>
        <w:ind w:firstLine="236" w:firstLineChars="98"/>
        <w:rPr>
          <w:rFonts w:ascii="仿宋" w:hAnsi="仿宋" w:eastAsia="仿宋"/>
          <w:sz w:val="24"/>
          <w:szCs w:val="24"/>
        </w:rPr>
      </w:pPr>
      <w:bookmarkStart w:id="0" w:name="_Toc217446094"/>
      <w:r>
        <w:rPr>
          <w:rFonts w:hint="eastAsia" w:ascii="仿宋" w:hAnsi="仿宋" w:eastAsia="仿宋"/>
          <w:sz w:val="24"/>
          <w:szCs w:val="24"/>
        </w:rPr>
        <w:t>前提：本章中标注“*”的条款为本项目的实质性条款，投标人不满足的，将按照无效投标处理。</w:t>
      </w:r>
    </w:p>
    <w:p>
      <w:pPr>
        <w:pStyle w:val="3"/>
        <w:spacing w:line="400" w:lineRule="exact"/>
        <w:ind w:firstLine="236" w:firstLineChars="98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一. 项目概述</w:t>
      </w:r>
      <w:bookmarkEnd w:id="0"/>
    </w:p>
    <w:p>
      <w:pPr>
        <w:pStyle w:val="4"/>
        <w:spacing w:line="400" w:lineRule="exact"/>
        <w:ind w:firstLine="480"/>
        <w:rPr>
          <w:rFonts w:ascii="仿宋" w:hAnsi="仿宋" w:eastAsia="仿宋"/>
          <w:bCs/>
          <w:sz w:val="24"/>
        </w:rPr>
      </w:pPr>
      <w:bookmarkStart w:id="1" w:name="_Toc217446095"/>
      <w:r>
        <w:rPr>
          <w:rFonts w:hint="eastAsia" w:ascii="仿宋" w:hAnsi="仿宋" w:eastAsia="仿宋"/>
          <w:bCs/>
          <w:sz w:val="24"/>
        </w:rPr>
        <w:t>1.项目</w:t>
      </w:r>
      <w:r>
        <w:rPr>
          <w:rFonts w:ascii="仿宋" w:hAnsi="仿宋" w:eastAsia="仿宋"/>
          <w:bCs/>
          <w:sz w:val="24"/>
        </w:rPr>
        <w:t>概况</w:t>
      </w:r>
      <w:r>
        <w:rPr>
          <w:rFonts w:hint="eastAsia" w:ascii="仿宋" w:hAnsi="仿宋" w:eastAsia="仿宋"/>
          <w:bCs/>
          <w:sz w:val="24"/>
        </w:rPr>
        <w:t>：</w:t>
      </w:r>
    </w:p>
    <w:p>
      <w:pPr>
        <w:pStyle w:val="4"/>
        <w:spacing w:line="400" w:lineRule="exact"/>
        <w:ind w:firstLine="48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  <w:szCs w:val="32"/>
        </w:rPr>
        <w:t>成都市第四人民医院采购脑电测量系统一台，采购预算</w:t>
      </w:r>
      <w:r>
        <w:rPr>
          <w:rFonts w:ascii="仿宋" w:hAnsi="仿宋" w:eastAsia="仿宋"/>
          <w:bCs/>
          <w:sz w:val="24"/>
          <w:szCs w:val="32"/>
        </w:rPr>
        <w:t>1</w:t>
      </w:r>
      <w:r>
        <w:rPr>
          <w:rFonts w:hint="eastAsia" w:ascii="仿宋" w:hAnsi="仿宋" w:eastAsia="仿宋"/>
          <w:bCs/>
          <w:sz w:val="24"/>
          <w:szCs w:val="32"/>
        </w:rPr>
        <w:t>1</w:t>
      </w:r>
      <w:r>
        <w:rPr>
          <w:rFonts w:ascii="仿宋" w:hAnsi="仿宋" w:eastAsia="仿宋"/>
          <w:bCs/>
          <w:sz w:val="24"/>
          <w:szCs w:val="32"/>
        </w:rPr>
        <w:t>0</w:t>
      </w:r>
      <w:r>
        <w:rPr>
          <w:rFonts w:hint="eastAsia" w:ascii="仿宋" w:hAnsi="仿宋" w:eastAsia="仿宋"/>
          <w:bCs/>
          <w:sz w:val="24"/>
          <w:szCs w:val="32"/>
        </w:rPr>
        <w:t>万元。</w:t>
      </w:r>
    </w:p>
    <w:p>
      <w:pPr>
        <w:pStyle w:val="4"/>
        <w:spacing w:line="400" w:lineRule="exact"/>
        <w:ind w:firstLine="48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2.标的名称及</w:t>
      </w:r>
      <w:r>
        <w:rPr>
          <w:rFonts w:ascii="仿宋" w:hAnsi="仿宋" w:eastAsia="仿宋"/>
          <w:bCs/>
          <w:sz w:val="24"/>
        </w:rPr>
        <w:t>所属行业</w:t>
      </w:r>
      <w:r>
        <w:rPr>
          <w:rFonts w:hint="eastAsia" w:ascii="仿宋" w:hAnsi="仿宋" w:eastAsia="仿宋"/>
          <w:bCs/>
          <w:sz w:val="24"/>
        </w:rPr>
        <w:t>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4146"/>
        <w:gridCol w:w="27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</w:t>
            </w:r>
            <w:r>
              <w:rPr>
                <w:rFonts w:ascii="仿宋" w:hAnsi="仿宋" w:eastAsia="仿宋"/>
                <w:b/>
                <w:bCs/>
                <w:sz w:val="24"/>
              </w:rPr>
              <w:t>号</w:t>
            </w:r>
          </w:p>
        </w:tc>
        <w:tc>
          <w:tcPr>
            <w:tcW w:w="2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标的名称</w:t>
            </w:r>
          </w:p>
        </w:tc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所属行业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1 </w:t>
            </w:r>
          </w:p>
        </w:tc>
        <w:tc>
          <w:tcPr>
            <w:tcW w:w="2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脑电测量系统</w:t>
            </w:r>
          </w:p>
        </w:tc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工业（制造业）</w:t>
            </w:r>
          </w:p>
        </w:tc>
      </w:tr>
    </w:tbl>
    <w:p>
      <w:pPr>
        <w:pStyle w:val="3"/>
        <w:spacing w:line="400" w:lineRule="exact"/>
        <w:ind w:firstLine="236" w:firstLineChars="98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*二. 商务要求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1、送货时间：合同生效之日起90日内送货至采购人指定地点。投标人如不能交付设备或逾期交付设备，视为违约，除应及时交足设备外，应向采购人偿付逾期交货部分货款总额的0.5%/天的违约金；逾期交货超过10天，采购人有权单方面终止合同，投标人则应按合同总价的百分之三十的款额向采购人偿付赔偿金，并须全额退还采购人已经付给投标人的货款且货款按照6%/年计算利息。 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2、付款要求：</w:t>
      </w:r>
      <w:r>
        <w:rPr>
          <w:rFonts w:hint="eastAsia" w:ascii="仿宋" w:hAnsi="仿宋" w:eastAsia="仿宋"/>
          <w:sz w:val="24"/>
          <w:lang w:val="zh-CN"/>
        </w:rPr>
        <w:t>中标（成交）通知书发放后，政府采购合同签订前，</w:t>
      </w:r>
      <w:r>
        <w:rPr>
          <w:rFonts w:hint="eastAsia" w:ascii="仿宋" w:hAnsi="仿宋" w:eastAsia="仿宋" w:cs="仿宋"/>
          <w:sz w:val="24"/>
        </w:rPr>
        <w:t>投标人支付合同金额的5%作为履约保证金，全部设备运抵采购人指定地点，安装、调试并经采购人最终验收全部合格后，投标人应提供增值税发票，采购人收到发票后30日内支付合同总价100%的合同款。质保期满后，如投标人无违约情形，且采购人收到投标人请款说明后无息退还5%的履约保证金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设备整机质保不低于三年，由供货商出具相关服务承诺书。质保期自采购人及供货商双方共同验收合格之日起计算。质保期内，供货商负责设备的维修及抢修，每满半年进行一次维护保养，并提供加盖鲜章的维护保养单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维修响应时间：质保期内，投标人在接到采购人报修通知后2小时内做出维修响应，投标人工程师必须在接到故障通知后8小时内到达医院维修，如维修无法立即解决故障，投标人应在当日提供替代机器或配件，保障诊疗工作的正常开展，相关费用由投标人自行承担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5、投标人在合同签署前提交生物信息保密承诺函，承诺不得泄露该设备收集的个人生物信息。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6、凡在国家计量检定、校准规程范围内的医疗设备，供货商应进行首次检测或校准，并提供相关证书。</w:t>
      </w:r>
    </w:p>
    <w:p>
      <w:pPr>
        <w:pStyle w:val="3"/>
        <w:spacing w:line="400" w:lineRule="exact"/>
        <w:ind w:firstLine="236" w:firstLineChars="98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三.技术、服务要求</w:t>
      </w:r>
      <w:bookmarkEnd w:id="1"/>
    </w:p>
    <w:p/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宋体"/>
          <w:b/>
          <w:color w:val="000000"/>
          <w:sz w:val="24"/>
        </w:rPr>
      </w:pPr>
      <w:r>
        <w:rPr>
          <w:rFonts w:hint="eastAsia" w:ascii="仿宋" w:hAnsi="仿宋" w:eastAsia="仿宋" w:cs="宋体"/>
          <w:b/>
          <w:color w:val="000000"/>
          <w:sz w:val="24"/>
        </w:rPr>
        <w:t>（一）设备名称：脑电测量系统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宋体"/>
          <w:b/>
          <w:color w:val="000000"/>
          <w:sz w:val="24"/>
        </w:rPr>
      </w:pPr>
      <w:r>
        <w:rPr>
          <w:rFonts w:hint="eastAsia" w:ascii="仿宋" w:hAnsi="仿宋" w:eastAsia="仿宋" w:cs="宋体"/>
          <w:b/>
          <w:color w:val="000000"/>
          <w:sz w:val="24"/>
        </w:rPr>
        <w:t>（二）数量：1台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宋体"/>
          <w:b/>
          <w:color w:val="000000"/>
          <w:sz w:val="24"/>
        </w:rPr>
      </w:pPr>
      <w:r>
        <w:rPr>
          <w:rFonts w:hint="eastAsia" w:ascii="仿宋" w:hAnsi="仿宋" w:eastAsia="仿宋" w:cs="宋体"/>
          <w:b/>
          <w:color w:val="000000"/>
          <w:sz w:val="24"/>
        </w:rPr>
        <w:t>（三）技术要求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1、放大器系统技术参数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★1.1 64通道放大器，放大器可以直接进入核磁扫描腔内进行工作,通过延长线引出核磁室外无效。放大器可以直接升级到96导、128导等, 不需更换放大器。放大器可直接拆分为2套32导放大器进行使用；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1.2采样率：5000Hz/通道（所有通道同时采集时）；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1.3 放大器同时支持AC/DC采集模式；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1.4 共模抑制比：≥110 dB；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1.5 测量范围：可调为±3.28mV；±16.384 mV；±327.68mV；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1.6 放大器噪声：≤2μVpp；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1.7 输入阻抗：≥10 GΩ；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1.8分辨率：可调0.1μV; 0.5μV; 10.0μV/bit；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1.9 采用光纤进行数据传输，支持在非屏蔽室环境下准确记录脑电信号；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1.10通过电磁兼容性认证并提供证明资料；</w:t>
      </w:r>
      <w:r>
        <w:rPr>
          <w:rFonts w:ascii="仿宋" w:hAnsi="仿宋" w:eastAsia="仿宋" w:cs="宋体"/>
          <w:sz w:val="24"/>
          <w:szCs w:val="24"/>
        </w:rPr>
        <w:t xml:space="preserve"> 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2、电极帽系统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2.1电极系统材质为Ag/AgCl（</w:t>
      </w:r>
      <w:r>
        <w:rPr>
          <w:rFonts w:ascii="仿宋" w:hAnsi="仿宋" w:eastAsia="仿宋" w:cs="Arial"/>
          <w:color w:val="333333"/>
          <w:sz w:val="24"/>
          <w:szCs w:val="24"/>
          <w:shd w:val="clear" w:color="auto" w:fill="FFFFFF"/>
        </w:rPr>
        <w:t>银/氯化银</w:t>
      </w:r>
      <w:r>
        <w:rPr>
          <w:rFonts w:hint="eastAsia" w:ascii="仿宋" w:hAnsi="仿宋" w:eastAsia="仿宋" w:cs="宋体"/>
          <w:sz w:val="24"/>
          <w:szCs w:val="24"/>
        </w:rPr>
        <w:t>）高精度电极、采用屏蔽技术可直接在核磁环境下使用；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2.2 材质为弹性编织材料，可全年龄覆盖新生儿至成人；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2.3导电介质阻抗为降至≤5KΩ以下，且可稳定维持1.5～3小时；</w:t>
      </w:r>
      <w:r>
        <w:rPr>
          <w:rFonts w:ascii="仿宋" w:hAnsi="仿宋" w:eastAsia="仿宋" w:cs="宋体"/>
          <w:sz w:val="24"/>
          <w:szCs w:val="24"/>
        </w:rPr>
        <w:t xml:space="preserve"> 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2.4 必须同时兼容盐水电极系统与干电极系统、主动电极系统，方便科研项目拓展；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2.5更换专用电极即可直接支持与TMS、fNIRS设备同步采集（提供相关证明材料并加盖投标人公章）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3、刺激与采集软件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3.1 刺激软件可自由编程，可实现声音、文字、文本、图片等不同类型的实验程序；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★3.2独立的数据采集软件，保证数据采集时可以同时分析其它数据；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3.3 采集软件可直接在数据上显示事件相关标记，可自动进行阻抗测试，采用鲜明的颜色区分阻抗的好与坏；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3.4开源采集软件，提供RDA开发包，支持matlab、python、c、cpp环境下的开发工具；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3.5 采集软件自带在线分析功能，可实时观测实验数据，提供视频同步采集模块；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3.6 可自由设置采集软件的相关参数，如滤波、基线校准等功能；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4、 分析软件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4.1 采用独立的分析软件，保证采集数据不受影响，软件采用加密狗形式进行认证，直接兼容可读取和处理多种格式的脑电数据，如十进制文本、ASCII类型等≥25种数据格式；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4.2眼动伪迹函数校正、基线自动校正、ICA/PCA、FFT、小波变换、叠加平均、参考电极更换、滤波、二维脑电地形图制作等功能；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★4.3软件提供三维脑地形图支持修正核磁干扰、修正TMS干扰、修正心电干扰等功能。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4.4 模块化结构的脑事件相关电位分析软件，可提供时域、频域、时频域的各种数据分析模式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4.5 分析软件直接集成Loreta源定位算法，并可实时与Matlab相互转换</w:t>
      </w:r>
    </w:p>
    <w:p>
      <w:pPr>
        <w:pStyle w:val="5"/>
        <w:spacing w:line="360" w:lineRule="auto"/>
        <w:ind w:firstLine="480" w:firstLineChars="20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4.6采用“History trees”记录方式，自动记录数据处理的每个操作，并可基于这些操作生成操作模版，能自动进行数据批处理。树状结构软件界面提供产品截图。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sz w:val="24"/>
        </w:rPr>
        <w:t>4.7脑电报告管理软件，可对脑电系统的报告方式进行规范管理，形成统一的脑电报告，除了给医生及病人外，还将报告上传到服务器形成数据库。</w:t>
      </w:r>
    </w:p>
    <w:p>
      <w:pPr>
        <w:pStyle w:val="2"/>
        <w:spacing w:line="400" w:lineRule="exact"/>
        <w:jc w:val="center"/>
        <w:rPr>
          <w:rFonts w:ascii="仿宋" w:hAnsi="仿宋" w:eastAsia="仿宋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1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200" w:firstLineChars="200"/>
    </w:pPr>
  </w:style>
  <w:style w:type="paragraph" w:styleId="5">
    <w:name w:val="Body Text"/>
    <w:basedOn w:val="1"/>
    <w:unhideWhenUsed/>
    <w:qFormat/>
    <w:uiPriority w:val="99"/>
    <w:pPr>
      <w:spacing w:after="120" w:line="240" w:lineRule="auto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2021-06-24T15:49:22Z</dcterms:created>
  <dc:creator>胖的初号机</dc:creator>
  <cp:lastModifiedBy>谢谢胖叔叔</cp:lastModifiedBy>
  <dcterms:modified xsi:type="dcterms:W3CDTF">2021-06-24T15:49:29Z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0023FEA57AC040A593BAC0B8CC752AF8</vt:lpwstr>
  </property>
</Properties>
</file>