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3D8" w:rsidRPr="007413D8" w:rsidRDefault="007413D8" w:rsidP="007413D8">
      <w:pPr>
        <w:keepNext/>
        <w:keepLines/>
        <w:spacing w:before="260" w:after="260" w:line="416" w:lineRule="auto"/>
        <w:outlineLvl w:val="1"/>
        <w:rPr>
          <w:rFonts w:ascii="仿宋" w:eastAsia="仿宋" w:hAnsi="仿宋" w:cs="Times New Roman"/>
          <w:b/>
          <w:bCs/>
          <w:sz w:val="24"/>
          <w:szCs w:val="24"/>
        </w:rPr>
      </w:pPr>
      <w:r w:rsidRPr="007413D8">
        <w:rPr>
          <w:rFonts w:ascii="仿宋" w:eastAsia="仿宋" w:hAnsi="仿宋" w:cs="Times New Roman" w:hint="eastAsia"/>
          <w:b/>
          <w:bCs/>
          <w:sz w:val="28"/>
          <w:szCs w:val="28"/>
        </w:rPr>
        <w:t>1. 项目概述</w:t>
      </w:r>
    </w:p>
    <w:p w:rsidR="007413D8" w:rsidRPr="007413D8" w:rsidRDefault="007413D8" w:rsidP="007413D8">
      <w:pPr>
        <w:spacing w:line="400" w:lineRule="exact"/>
        <w:ind w:firstLineChars="200" w:firstLine="480"/>
        <w:rPr>
          <w:rFonts w:ascii="仿宋" w:eastAsia="仿宋" w:hAnsi="仿宋" w:cs="Times New Roman"/>
          <w:bCs/>
          <w:sz w:val="24"/>
          <w:szCs w:val="24"/>
        </w:rPr>
      </w:pPr>
      <w:r w:rsidRPr="007413D8">
        <w:rPr>
          <w:rFonts w:ascii="仿宋" w:eastAsia="仿宋" w:hAnsi="仿宋" w:cs="Times New Roman" w:hint="eastAsia"/>
          <w:bCs/>
          <w:sz w:val="24"/>
          <w:szCs w:val="24"/>
        </w:rPr>
        <w:t>本项目1个包，采购成都市龙泉驿区卫生健康局2021基层信息系统功能扩展供应商1名。</w:t>
      </w:r>
    </w:p>
    <w:p w:rsidR="007413D8" w:rsidRPr="007413D8" w:rsidRDefault="007413D8" w:rsidP="007413D8">
      <w:pPr>
        <w:keepNext/>
        <w:keepLines/>
        <w:spacing w:before="260" w:after="260" w:line="416" w:lineRule="auto"/>
        <w:outlineLvl w:val="1"/>
        <w:rPr>
          <w:rFonts w:ascii="仿宋" w:eastAsia="仿宋" w:hAnsi="仿宋" w:cs="Times New Roman"/>
          <w:b/>
          <w:bCs/>
          <w:sz w:val="24"/>
          <w:szCs w:val="24"/>
        </w:rPr>
      </w:pPr>
      <w:r w:rsidRPr="007413D8">
        <w:rPr>
          <w:rFonts w:ascii="仿宋" w:eastAsia="仿宋" w:hAnsi="仿宋" w:cs="Times New Roman" w:hint="eastAsia"/>
          <w:b/>
          <w:bCs/>
          <w:sz w:val="28"/>
          <w:szCs w:val="28"/>
        </w:rPr>
        <w:t>2.</w:t>
      </w:r>
      <w:r w:rsidRPr="007413D8">
        <w:rPr>
          <w:rFonts w:ascii="仿宋" w:eastAsia="仿宋" w:hAnsi="仿宋" w:cs="Times New Roman"/>
          <w:b/>
          <w:bCs/>
          <w:sz w:val="28"/>
          <w:szCs w:val="28"/>
        </w:rPr>
        <w:t xml:space="preserve"> </w:t>
      </w:r>
      <w:r w:rsidRPr="007413D8">
        <w:rPr>
          <w:rFonts w:ascii="仿宋" w:eastAsia="仿宋" w:hAnsi="仿宋" w:cs="Times New Roman" w:hint="eastAsia"/>
          <w:b/>
          <w:bCs/>
          <w:sz w:val="28"/>
          <w:szCs w:val="28"/>
        </w:rPr>
        <w:t>项目清单</w:t>
      </w:r>
    </w:p>
    <w:tbl>
      <w:tblPr>
        <w:tblW w:w="77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1417"/>
        <w:gridCol w:w="2977"/>
        <w:gridCol w:w="1163"/>
        <w:gridCol w:w="1388"/>
      </w:tblGrid>
      <w:tr w:rsidR="007413D8" w:rsidRPr="007413D8" w:rsidTr="003E5387">
        <w:trPr>
          <w:trHeight w:val="390"/>
        </w:trPr>
        <w:tc>
          <w:tcPr>
            <w:tcW w:w="823" w:type="dxa"/>
            <w:vAlign w:val="center"/>
          </w:tcPr>
          <w:p w:rsidR="007413D8" w:rsidRPr="007413D8" w:rsidRDefault="007413D8" w:rsidP="007413D8">
            <w:pPr>
              <w:widowControl/>
              <w:spacing w:line="360" w:lineRule="atLeast"/>
              <w:jc w:val="center"/>
              <w:outlineLvl w:val="1"/>
              <w:rPr>
                <w:rFonts w:ascii="仿宋" w:eastAsia="仿宋" w:hAnsi="仿宋" w:cs="Times New Roman"/>
                <w:sz w:val="24"/>
                <w:szCs w:val="24"/>
              </w:rPr>
            </w:pPr>
            <w:r w:rsidRPr="007413D8">
              <w:rPr>
                <w:rFonts w:ascii="仿宋" w:eastAsia="仿宋" w:hAnsi="仿宋" w:cs="Times New Roman" w:hint="eastAsia"/>
                <w:sz w:val="24"/>
                <w:szCs w:val="24"/>
              </w:rPr>
              <w:t>包号</w:t>
            </w:r>
          </w:p>
        </w:tc>
        <w:tc>
          <w:tcPr>
            <w:tcW w:w="1417" w:type="dxa"/>
          </w:tcPr>
          <w:p w:rsidR="007413D8" w:rsidRPr="007413D8" w:rsidRDefault="007413D8" w:rsidP="007413D8">
            <w:pPr>
              <w:widowControl/>
              <w:spacing w:line="360" w:lineRule="atLeast"/>
              <w:jc w:val="center"/>
              <w:outlineLvl w:val="1"/>
              <w:rPr>
                <w:rFonts w:ascii="仿宋" w:eastAsia="仿宋" w:hAnsi="仿宋" w:cs="Times New Roman"/>
                <w:sz w:val="24"/>
                <w:szCs w:val="24"/>
              </w:rPr>
            </w:pPr>
            <w:r w:rsidRPr="007413D8">
              <w:rPr>
                <w:rFonts w:ascii="仿宋" w:eastAsia="仿宋" w:hAnsi="仿宋" w:cs="Times New Roman" w:hint="eastAsia"/>
                <w:sz w:val="24"/>
                <w:szCs w:val="24"/>
              </w:rPr>
              <w:t>品目号</w:t>
            </w:r>
          </w:p>
        </w:tc>
        <w:tc>
          <w:tcPr>
            <w:tcW w:w="2977" w:type="dxa"/>
            <w:vAlign w:val="center"/>
          </w:tcPr>
          <w:p w:rsidR="007413D8" w:rsidRPr="007413D8" w:rsidRDefault="007413D8" w:rsidP="007413D8">
            <w:pPr>
              <w:widowControl/>
              <w:spacing w:line="360" w:lineRule="atLeast"/>
              <w:jc w:val="center"/>
              <w:outlineLvl w:val="1"/>
              <w:rPr>
                <w:rFonts w:ascii="仿宋" w:eastAsia="仿宋" w:hAnsi="仿宋" w:cs="Times New Roman"/>
                <w:sz w:val="24"/>
                <w:szCs w:val="24"/>
              </w:rPr>
            </w:pPr>
            <w:r w:rsidRPr="007413D8">
              <w:rPr>
                <w:rFonts w:ascii="仿宋" w:eastAsia="仿宋" w:hAnsi="仿宋" w:cs="Times New Roman" w:hint="eastAsia"/>
                <w:sz w:val="24"/>
                <w:szCs w:val="24"/>
              </w:rPr>
              <w:t>标的名称</w:t>
            </w:r>
          </w:p>
        </w:tc>
        <w:tc>
          <w:tcPr>
            <w:tcW w:w="1163" w:type="dxa"/>
          </w:tcPr>
          <w:p w:rsidR="007413D8" w:rsidRPr="007413D8" w:rsidRDefault="007413D8" w:rsidP="007413D8">
            <w:pPr>
              <w:widowControl/>
              <w:spacing w:line="360" w:lineRule="atLeast"/>
              <w:jc w:val="center"/>
              <w:outlineLvl w:val="1"/>
              <w:rPr>
                <w:rFonts w:ascii="仿宋" w:eastAsia="仿宋" w:hAnsi="仿宋" w:cs="Times New Roman"/>
                <w:sz w:val="24"/>
                <w:szCs w:val="24"/>
              </w:rPr>
            </w:pPr>
            <w:r w:rsidRPr="007413D8">
              <w:rPr>
                <w:rFonts w:ascii="仿宋" w:eastAsia="仿宋" w:hAnsi="仿宋" w:cs="Times New Roman" w:hint="eastAsia"/>
                <w:sz w:val="24"/>
                <w:szCs w:val="24"/>
              </w:rPr>
              <w:t>所属行业</w:t>
            </w:r>
          </w:p>
        </w:tc>
        <w:tc>
          <w:tcPr>
            <w:tcW w:w="1388" w:type="dxa"/>
            <w:vAlign w:val="center"/>
          </w:tcPr>
          <w:p w:rsidR="007413D8" w:rsidRPr="007413D8" w:rsidRDefault="007413D8" w:rsidP="007413D8">
            <w:pPr>
              <w:widowControl/>
              <w:spacing w:line="360" w:lineRule="atLeast"/>
              <w:jc w:val="center"/>
              <w:outlineLvl w:val="1"/>
              <w:rPr>
                <w:rFonts w:ascii="仿宋" w:eastAsia="仿宋" w:hAnsi="仿宋" w:cs="Times New Roman"/>
                <w:sz w:val="24"/>
                <w:szCs w:val="24"/>
              </w:rPr>
            </w:pPr>
            <w:r w:rsidRPr="007413D8">
              <w:rPr>
                <w:rFonts w:ascii="仿宋" w:eastAsia="仿宋" w:hAnsi="仿宋" w:cs="Times New Roman" w:hint="eastAsia"/>
                <w:sz w:val="24"/>
                <w:szCs w:val="24"/>
              </w:rPr>
              <w:t>数量</w:t>
            </w:r>
          </w:p>
        </w:tc>
      </w:tr>
      <w:tr w:rsidR="007413D8" w:rsidRPr="007413D8" w:rsidTr="003E5387">
        <w:trPr>
          <w:trHeight w:val="374"/>
        </w:trPr>
        <w:tc>
          <w:tcPr>
            <w:tcW w:w="823" w:type="dxa"/>
            <w:vMerge w:val="restart"/>
            <w:vAlign w:val="center"/>
          </w:tcPr>
          <w:p w:rsidR="007413D8" w:rsidRPr="007413D8" w:rsidRDefault="007413D8" w:rsidP="007413D8">
            <w:pPr>
              <w:spacing w:line="400" w:lineRule="exact"/>
              <w:ind w:firstLineChars="100" w:firstLine="210"/>
              <w:rPr>
                <w:rFonts w:ascii="仿宋" w:eastAsia="仿宋" w:hAnsi="仿宋" w:cs="Times New Roman"/>
                <w:sz w:val="24"/>
                <w:szCs w:val="24"/>
              </w:rPr>
            </w:pPr>
            <w:r w:rsidRPr="007413D8">
              <w:rPr>
                <w:rFonts w:ascii="仿宋" w:eastAsia="仿宋" w:hAnsi="仿宋" w:cs="Times New Roman" w:hint="eastAsia"/>
                <w:szCs w:val="24"/>
              </w:rPr>
              <w:t>0</w:t>
            </w:r>
            <w:r w:rsidRPr="007413D8">
              <w:rPr>
                <w:rFonts w:ascii="仿宋" w:eastAsia="仿宋" w:hAnsi="仿宋" w:cs="Times New Roman"/>
                <w:szCs w:val="24"/>
              </w:rPr>
              <w:t>1</w:t>
            </w:r>
          </w:p>
        </w:tc>
        <w:tc>
          <w:tcPr>
            <w:tcW w:w="1417" w:type="dxa"/>
            <w:vAlign w:val="center"/>
          </w:tcPr>
          <w:p w:rsidR="007413D8" w:rsidRPr="007413D8" w:rsidRDefault="007413D8" w:rsidP="007413D8">
            <w:pPr>
              <w:widowControl/>
              <w:spacing w:line="360" w:lineRule="atLeast"/>
              <w:jc w:val="center"/>
              <w:outlineLvl w:val="1"/>
              <w:rPr>
                <w:rFonts w:ascii="仿宋" w:eastAsia="仿宋" w:hAnsi="仿宋" w:cs="Times New Roman"/>
                <w:sz w:val="24"/>
                <w:szCs w:val="24"/>
              </w:rPr>
            </w:pPr>
            <w:r w:rsidRPr="007413D8">
              <w:rPr>
                <w:rFonts w:ascii="仿宋" w:eastAsia="仿宋" w:hAnsi="仿宋" w:cs="Times New Roman" w:hint="eastAsia"/>
                <w:sz w:val="24"/>
                <w:szCs w:val="24"/>
              </w:rPr>
              <w:t>0</w:t>
            </w:r>
            <w:r w:rsidRPr="007413D8">
              <w:rPr>
                <w:rFonts w:ascii="仿宋" w:eastAsia="仿宋" w:hAnsi="仿宋" w:cs="Times New Roman"/>
                <w:sz w:val="24"/>
                <w:szCs w:val="24"/>
              </w:rPr>
              <w:t>1-01</w:t>
            </w:r>
          </w:p>
        </w:tc>
        <w:tc>
          <w:tcPr>
            <w:tcW w:w="2977" w:type="dxa"/>
            <w:vAlign w:val="center"/>
          </w:tcPr>
          <w:p w:rsidR="007413D8" w:rsidRPr="007413D8" w:rsidRDefault="007413D8" w:rsidP="007413D8">
            <w:pPr>
              <w:widowControl/>
              <w:spacing w:line="360" w:lineRule="atLeast"/>
              <w:jc w:val="center"/>
              <w:outlineLvl w:val="1"/>
              <w:rPr>
                <w:rFonts w:ascii="仿宋" w:eastAsia="仿宋" w:hAnsi="仿宋" w:cs="Times New Roman"/>
                <w:sz w:val="24"/>
                <w:szCs w:val="24"/>
              </w:rPr>
            </w:pPr>
            <w:r w:rsidRPr="007413D8">
              <w:rPr>
                <w:rFonts w:ascii="仿宋" w:eastAsia="仿宋" w:hAnsi="仿宋" w:cs="Times New Roman" w:hint="eastAsia"/>
                <w:sz w:val="24"/>
                <w:szCs w:val="24"/>
              </w:rPr>
              <w:t>基层医疗卫生信息系统拓展改造</w:t>
            </w:r>
          </w:p>
        </w:tc>
        <w:tc>
          <w:tcPr>
            <w:tcW w:w="1163" w:type="dxa"/>
            <w:vMerge w:val="restart"/>
            <w:vAlign w:val="center"/>
          </w:tcPr>
          <w:p w:rsidR="007413D8" w:rsidRPr="007413D8" w:rsidRDefault="007413D8" w:rsidP="007413D8">
            <w:pPr>
              <w:widowControl/>
              <w:spacing w:line="360" w:lineRule="atLeast"/>
              <w:outlineLvl w:val="1"/>
              <w:rPr>
                <w:rFonts w:ascii="仿宋" w:eastAsia="仿宋" w:hAnsi="仿宋" w:cs="Times New Roman"/>
                <w:sz w:val="24"/>
                <w:szCs w:val="24"/>
              </w:rPr>
            </w:pPr>
            <w:r w:rsidRPr="007413D8">
              <w:rPr>
                <w:rFonts w:ascii="仿宋" w:eastAsia="仿宋" w:hAnsi="仿宋" w:cs="Times New Roman" w:hint="eastAsia"/>
                <w:sz w:val="24"/>
                <w:szCs w:val="24"/>
              </w:rPr>
              <w:t>其他未列明行业</w:t>
            </w:r>
          </w:p>
        </w:tc>
        <w:tc>
          <w:tcPr>
            <w:tcW w:w="1388" w:type="dxa"/>
          </w:tcPr>
          <w:p w:rsidR="007413D8" w:rsidRPr="007413D8" w:rsidRDefault="007413D8" w:rsidP="007413D8">
            <w:pPr>
              <w:widowControl/>
              <w:spacing w:line="360" w:lineRule="atLeast"/>
              <w:ind w:firstLineChars="196" w:firstLine="412"/>
              <w:jc w:val="center"/>
              <w:outlineLvl w:val="1"/>
              <w:rPr>
                <w:rFonts w:ascii="仿宋" w:eastAsia="仿宋" w:hAnsi="仿宋" w:cs="Times New Roman"/>
                <w:sz w:val="24"/>
                <w:szCs w:val="24"/>
              </w:rPr>
            </w:pPr>
            <w:r w:rsidRPr="007413D8">
              <w:rPr>
                <w:rFonts w:ascii="仿宋" w:eastAsia="仿宋" w:hAnsi="仿宋" w:cs="仿宋" w:hint="eastAsia"/>
                <w:szCs w:val="24"/>
              </w:rPr>
              <w:t>1</w:t>
            </w:r>
          </w:p>
        </w:tc>
      </w:tr>
      <w:tr w:rsidR="007413D8" w:rsidRPr="007413D8" w:rsidTr="003E5387">
        <w:trPr>
          <w:trHeight w:val="718"/>
        </w:trPr>
        <w:tc>
          <w:tcPr>
            <w:tcW w:w="823" w:type="dxa"/>
            <w:vMerge/>
          </w:tcPr>
          <w:p w:rsidR="007413D8" w:rsidRPr="007413D8" w:rsidRDefault="007413D8" w:rsidP="007413D8">
            <w:pPr>
              <w:spacing w:line="400" w:lineRule="exact"/>
              <w:ind w:firstLineChars="200" w:firstLine="480"/>
              <w:jc w:val="center"/>
              <w:rPr>
                <w:rFonts w:ascii="仿宋" w:eastAsia="仿宋" w:hAnsi="仿宋" w:cs="Times New Roman"/>
                <w:sz w:val="24"/>
                <w:szCs w:val="24"/>
              </w:rPr>
            </w:pPr>
          </w:p>
        </w:tc>
        <w:tc>
          <w:tcPr>
            <w:tcW w:w="1417" w:type="dxa"/>
            <w:vAlign w:val="center"/>
          </w:tcPr>
          <w:p w:rsidR="007413D8" w:rsidRPr="007413D8" w:rsidRDefault="007413D8" w:rsidP="007413D8">
            <w:pPr>
              <w:widowControl/>
              <w:spacing w:line="360" w:lineRule="atLeast"/>
              <w:jc w:val="center"/>
              <w:outlineLvl w:val="1"/>
              <w:rPr>
                <w:rFonts w:ascii="仿宋" w:eastAsia="仿宋" w:hAnsi="仿宋" w:cs="Times New Roman"/>
                <w:sz w:val="24"/>
                <w:szCs w:val="24"/>
              </w:rPr>
            </w:pPr>
            <w:r w:rsidRPr="007413D8">
              <w:rPr>
                <w:rFonts w:ascii="仿宋" w:eastAsia="仿宋" w:hAnsi="仿宋" w:cs="Times New Roman" w:hint="eastAsia"/>
                <w:sz w:val="24"/>
                <w:szCs w:val="24"/>
              </w:rPr>
              <w:t>0</w:t>
            </w:r>
            <w:r w:rsidRPr="007413D8">
              <w:rPr>
                <w:rFonts w:ascii="仿宋" w:eastAsia="仿宋" w:hAnsi="仿宋" w:cs="Times New Roman"/>
                <w:sz w:val="24"/>
                <w:szCs w:val="24"/>
              </w:rPr>
              <w:t>1-02</w:t>
            </w:r>
          </w:p>
        </w:tc>
        <w:tc>
          <w:tcPr>
            <w:tcW w:w="2977" w:type="dxa"/>
            <w:vAlign w:val="center"/>
          </w:tcPr>
          <w:p w:rsidR="007413D8" w:rsidRPr="007413D8" w:rsidRDefault="007413D8" w:rsidP="007413D8">
            <w:pPr>
              <w:widowControl/>
              <w:spacing w:line="360" w:lineRule="atLeast"/>
              <w:jc w:val="center"/>
              <w:outlineLvl w:val="1"/>
              <w:rPr>
                <w:rFonts w:ascii="仿宋" w:eastAsia="仿宋" w:hAnsi="仿宋" w:cs="Times New Roman"/>
                <w:sz w:val="24"/>
                <w:szCs w:val="24"/>
              </w:rPr>
            </w:pPr>
            <w:r w:rsidRPr="007413D8">
              <w:rPr>
                <w:rFonts w:ascii="仿宋" w:eastAsia="仿宋" w:hAnsi="仿宋" w:cs="Times New Roman" w:hint="eastAsia"/>
                <w:sz w:val="24"/>
                <w:szCs w:val="24"/>
              </w:rPr>
              <w:t>公共卫生质控系统</w:t>
            </w:r>
          </w:p>
        </w:tc>
        <w:tc>
          <w:tcPr>
            <w:tcW w:w="1163" w:type="dxa"/>
            <w:vMerge/>
          </w:tcPr>
          <w:p w:rsidR="007413D8" w:rsidRPr="007413D8" w:rsidRDefault="007413D8" w:rsidP="007413D8">
            <w:pPr>
              <w:widowControl/>
              <w:spacing w:line="360" w:lineRule="atLeast"/>
              <w:ind w:firstLineChars="196" w:firstLine="470"/>
              <w:jc w:val="left"/>
              <w:outlineLvl w:val="1"/>
              <w:rPr>
                <w:rFonts w:ascii="仿宋" w:eastAsia="仿宋" w:hAnsi="仿宋" w:cs="Times New Roman"/>
                <w:sz w:val="24"/>
                <w:szCs w:val="24"/>
              </w:rPr>
            </w:pPr>
          </w:p>
        </w:tc>
        <w:tc>
          <w:tcPr>
            <w:tcW w:w="1388" w:type="dxa"/>
          </w:tcPr>
          <w:p w:rsidR="007413D8" w:rsidRPr="007413D8" w:rsidRDefault="007413D8" w:rsidP="007413D8">
            <w:pPr>
              <w:widowControl/>
              <w:spacing w:line="360" w:lineRule="atLeast"/>
              <w:ind w:firstLineChars="196" w:firstLine="412"/>
              <w:jc w:val="center"/>
              <w:outlineLvl w:val="1"/>
              <w:rPr>
                <w:rFonts w:ascii="仿宋" w:eastAsia="仿宋" w:hAnsi="仿宋" w:cs="Times New Roman"/>
                <w:sz w:val="24"/>
                <w:szCs w:val="24"/>
              </w:rPr>
            </w:pPr>
            <w:r w:rsidRPr="007413D8">
              <w:rPr>
                <w:rFonts w:ascii="仿宋" w:eastAsia="仿宋" w:hAnsi="仿宋" w:cs="仿宋" w:hint="eastAsia"/>
                <w:szCs w:val="24"/>
              </w:rPr>
              <w:t>1</w:t>
            </w:r>
          </w:p>
        </w:tc>
      </w:tr>
      <w:tr w:rsidR="007413D8" w:rsidRPr="007413D8" w:rsidTr="003E5387">
        <w:trPr>
          <w:trHeight w:val="774"/>
        </w:trPr>
        <w:tc>
          <w:tcPr>
            <w:tcW w:w="823" w:type="dxa"/>
            <w:vMerge/>
          </w:tcPr>
          <w:p w:rsidR="007413D8" w:rsidRPr="007413D8" w:rsidRDefault="007413D8" w:rsidP="007413D8">
            <w:pPr>
              <w:spacing w:line="400" w:lineRule="exact"/>
              <w:ind w:firstLineChars="200" w:firstLine="480"/>
              <w:jc w:val="center"/>
              <w:rPr>
                <w:rFonts w:ascii="仿宋" w:eastAsia="仿宋" w:hAnsi="仿宋" w:cs="Times New Roman"/>
                <w:bCs/>
                <w:sz w:val="24"/>
                <w:szCs w:val="24"/>
              </w:rPr>
            </w:pPr>
          </w:p>
        </w:tc>
        <w:tc>
          <w:tcPr>
            <w:tcW w:w="1417" w:type="dxa"/>
            <w:vAlign w:val="center"/>
          </w:tcPr>
          <w:p w:rsidR="007413D8" w:rsidRPr="007413D8" w:rsidRDefault="007413D8" w:rsidP="007413D8">
            <w:pPr>
              <w:spacing w:line="400" w:lineRule="exact"/>
              <w:jc w:val="center"/>
              <w:rPr>
                <w:rFonts w:ascii="仿宋" w:eastAsia="仿宋" w:hAnsi="仿宋" w:cs="Times New Roman"/>
                <w:sz w:val="24"/>
                <w:szCs w:val="24"/>
              </w:rPr>
            </w:pPr>
            <w:r w:rsidRPr="007413D8">
              <w:rPr>
                <w:rFonts w:ascii="仿宋" w:eastAsia="仿宋" w:hAnsi="仿宋" w:cs="Times New Roman"/>
                <w:sz w:val="24"/>
                <w:szCs w:val="24"/>
              </w:rPr>
              <w:t>01-03</w:t>
            </w:r>
          </w:p>
        </w:tc>
        <w:tc>
          <w:tcPr>
            <w:tcW w:w="2977" w:type="dxa"/>
            <w:vAlign w:val="center"/>
          </w:tcPr>
          <w:p w:rsidR="007413D8" w:rsidRPr="007413D8" w:rsidRDefault="007413D8" w:rsidP="007413D8">
            <w:pPr>
              <w:spacing w:line="400" w:lineRule="exact"/>
              <w:jc w:val="center"/>
              <w:rPr>
                <w:rFonts w:ascii="仿宋" w:eastAsia="仿宋" w:hAnsi="仿宋" w:cs="Times New Roman"/>
                <w:bCs/>
                <w:sz w:val="24"/>
                <w:szCs w:val="24"/>
              </w:rPr>
            </w:pPr>
            <w:r w:rsidRPr="007413D8">
              <w:rPr>
                <w:rFonts w:ascii="仿宋" w:eastAsia="仿宋" w:hAnsi="仿宋" w:cs="Times New Roman" w:hint="eastAsia"/>
                <w:sz w:val="24"/>
                <w:szCs w:val="24"/>
              </w:rPr>
              <w:t>区域慢病协同系统拓展改造</w:t>
            </w:r>
          </w:p>
        </w:tc>
        <w:tc>
          <w:tcPr>
            <w:tcW w:w="1163" w:type="dxa"/>
            <w:vMerge/>
          </w:tcPr>
          <w:p w:rsidR="007413D8" w:rsidRPr="007413D8" w:rsidRDefault="007413D8" w:rsidP="007413D8">
            <w:pPr>
              <w:spacing w:line="400" w:lineRule="exact"/>
              <w:ind w:firstLineChars="200" w:firstLine="420"/>
              <w:jc w:val="center"/>
              <w:rPr>
                <w:rFonts w:ascii="仿宋" w:eastAsia="仿宋" w:hAnsi="仿宋" w:cs="Times New Roman"/>
                <w:szCs w:val="24"/>
              </w:rPr>
            </w:pPr>
          </w:p>
        </w:tc>
        <w:tc>
          <w:tcPr>
            <w:tcW w:w="1388" w:type="dxa"/>
          </w:tcPr>
          <w:p w:rsidR="007413D8" w:rsidRPr="007413D8" w:rsidRDefault="007413D8" w:rsidP="007413D8">
            <w:pPr>
              <w:spacing w:line="400" w:lineRule="exact"/>
              <w:ind w:firstLineChars="200" w:firstLine="420"/>
              <w:jc w:val="center"/>
              <w:rPr>
                <w:rFonts w:ascii="仿宋" w:eastAsia="仿宋" w:hAnsi="仿宋" w:cs="Times New Roman"/>
                <w:bCs/>
                <w:sz w:val="24"/>
                <w:szCs w:val="24"/>
              </w:rPr>
            </w:pPr>
            <w:r w:rsidRPr="007413D8">
              <w:rPr>
                <w:rFonts w:ascii="仿宋" w:eastAsia="仿宋" w:hAnsi="仿宋" w:cs="仿宋" w:hint="eastAsia"/>
                <w:szCs w:val="24"/>
              </w:rPr>
              <w:t>1</w:t>
            </w:r>
          </w:p>
        </w:tc>
      </w:tr>
      <w:tr w:rsidR="007413D8" w:rsidRPr="007413D8" w:rsidTr="003E5387">
        <w:trPr>
          <w:trHeight w:val="390"/>
        </w:trPr>
        <w:tc>
          <w:tcPr>
            <w:tcW w:w="823" w:type="dxa"/>
            <w:vMerge/>
          </w:tcPr>
          <w:p w:rsidR="007413D8" w:rsidRPr="007413D8" w:rsidRDefault="007413D8" w:rsidP="007413D8">
            <w:pPr>
              <w:spacing w:line="400" w:lineRule="exact"/>
              <w:ind w:firstLineChars="200" w:firstLine="420"/>
              <w:jc w:val="center"/>
              <w:rPr>
                <w:rFonts w:ascii="仿宋" w:eastAsia="仿宋" w:hAnsi="仿宋" w:cs="Times New Roman"/>
                <w:szCs w:val="24"/>
              </w:rPr>
            </w:pPr>
          </w:p>
        </w:tc>
        <w:tc>
          <w:tcPr>
            <w:tcW w:w="1417" w:type="dxa"/>
            <w:vAlign w:val="center"/>
          </w:tcPr>
          <w:p w:rsidR="007413D8" w:rsidRPr="007413D8" w:rsidRDefault="007413D8" w:rsidP="007413D8">
            <w:pPr>
              <w:spacing w:line="400" w:lineRule="exact"/>
              <w:jc w:val="center"/>
              <w:rPr>
                <w:rFonts w:ascii="仿宋" w:eastAsia="仿宋" w:hAnsi="仿宋" w:cs="Times New Roman"/>
                <w:sz w:val="24"/>
                <w:szCs w:val="24"/>
              </w:rPr>
            </w:pPr>
            <w:r w:rsidRPr="007413D8">
              <w:rPr>
                <w:rFonts w:ascii="仿宋" w:eastAsia="仿宋" w:hAnsi="仿宋" w:cs="Times New Roman"/>
                <w:sz w:val="24"/>
                <w:szCs w:val="24"/>
              </w:rPr>
              <w:t>01-04</w:t>
            </w:r>
          </w:p>
        </w:tc>
        <w:tc>
          <w:tcPr>
            <w:tcW w:w="2977" w:type="dxa"/>
            <w:vAlign w:val="center"/>
          </w:tcPr>
          <w:p w:rsidR="007413D8" w:rsidRPr="007413D8" w:rsidRDefault="007413D8" w:rsidP="007413D8">
            <w:pPr>
              <w:spacing w:line="400" w:lineRule="exact"/>
              <w:rPr>
                <w:rFonts w:ascii="仿宋" w:eastAsia="仿宋" w:hAnsi="仿宋" w:cs="Times New Roman"/>
                <w:sz w:val="24"/>
                <w:szCs w:val="24"/>
              </w:rPr>
            </w:pPr>
            <w:r w:rsidRPr="007413D8">
              <w:rPr>
                <w:rFonts w:ascii="仿宋" w:eastAsia="仿宋" w:hAnsi="仿宋" w:cs="Times New Roman" w:hint="eastAsia"/>
                <w:sz w:val="24"/>
                <w:szCs w:val="24"/>
              </w:rPr>
              <w:t>基层医疗机构中医馆接入成都市中医馆健康信息平台接口改造</w:t>
            </w:r>
          </w:p>
        </w:tc>
        <w:tc>
          <w:tcPr>
            <w:tcW w:w="1163" w:type="dxa"/>
            <w:vMerge/>
          </w:tcPr>
          <w:p w:rsidR="007413D8" w:rsidRPr="007413D8" w:rsidRDefault="007413D8" w:rsidP="007413D8">
            <w:pPr>
              <w:spacing w:line="400" w:lineRule="exact"/>
              <w:ind w:firstLineChars="200" w:firstLine="420"/>
              <w:jc w:val="center"/>
              <w:rPr>
                <w:rFonts w:ascii="仿宋" w:eastAsia="仿宋" w:hAnsi="仿宋" w:cs="Times New Roman"/>
                <w:szCs w:val="24"/>
              </w:rPr>
            </w:pPr>
          </w:p>
        </w:tc>
        <w:tc>
          <w:tcPr>
            <w:tcW w:w="1388" w:type="dxa"/>
          </w:tcPr>
          <w:p w:rsidR="007413D8" w:rsidRPr="007413D8" w:rsidRDefault="007413D8" w:rsidP="007413D8">
            <w:pPr>
              <w:spacing w:line="400" w:lineRule="exact"/>
              <w:ind w:firstLineChars="200" w:firstLine="420"/>
              <w:jc w:val="center"/>
              <w:rPr>
                <w:rFonts w:ascii="仿宋" w:eastAsia="仿宋" w:hAnsi="仿宋" w:cs="Times New Roman"/>
                <w:szCs w:val="24"/>
              </w:rPr>
            </w:pPr>
            <w:r w:rsidRPr="007413D8">
              <w:rPr>
                <w:rFonts w:ascii="仿宋" w:eastAsia="仿宋" w:hAnsi="仿宋" w:cs="仿宋" w:hint="eastAsia"/>
                <w:szCs w:val="24"/>
              </w:rPr>
              <w:t>1</w:t>
            </w:r>
          </w:p>
        </w:tc>
      </w:tr>
      <w:tr w:rsidR="007413D8" w:rsidRPr="007413D8" w:rsidTr="003E5387">
        <w:trPr>
          <w:trHeight w:val="946"/>
        </w:trPr>
        <w:tc>
          <w:tcPr>
            <w:tcW w:w="823" w:type="dxa"/>
            <w:vMerge/>
          </w:tcPr>
          <w:p w:rsidR="007413D8" w:rsidRPr="007413D8" w:rsidRDefault="007413D8" w:rsidP="007413D8">
            <w:pPr>
              <w:spacing w:line="400" w:lineRule="exact"/>
              <w:ind w:firstLineChars="200" w:firstLine="420"/>
              <w:jc w:val="center"/>
              <w:rPr>
                <w:rFonts w:ascii="仿宋" w:eastAsia="仿宋" w:hAnsi="仿宋" w:cs="Times New Roman"/>
                <w:szCs w:val="24"/>
              </w:rPr>
            </w:pPr>
          </w:p>
        </w:tc>
        <w:tc>
          <w:tcPr>
            <w:tcW w:w="1417" w:type="dxa"/>
            <w:vAlign w:val="center"/>
          </w:tcPr>
          <w:p w:rsidR="007413D8" w:rsidRPr="007413D8" w:rsidRDefault="007413D8" w:rsidP="007413D8">
            <w:pPr>
              <w:spacing w:line="400" w:lineRule="exact"/>
              <w:jc w:val="center"/>
              <w:rPr>
                <w:rFonts w:ascii="仿宋" w:eastAsia="仿宋" w:hAnsi="仿宋" w:cs="Times New Roman"/>
                <w:sz w:val="24"/>
                <w:szCs w:val="24"/>
              </w:rPr>
            </w:pPr>
            <w:r w:rsidRPr="007413D8">
              <w:rPr>
                <w:rFonts w:ascii="仿宋" w:eastAsia="仿宋" w:hAnsi="仿宋" w:cs="Times New Roman"/>
                <w:sz w:val="24"/>
                <w:szCs w:val="24"/>
              </w:rPr>
              <w:t>01-05</w:t>
            </w:r>
          </w:p>
        </w:tc>
        <w:tc>
          <w:tcPr>
            <w:tcW w:w="2977" w:type="dxa"/>
            <w:vAlign w:val="center"/>
          </w:tcPr>
          <w:p w:rsidR="007413D8" w:rsidRPr="007413D8" w:rsidRDefault="007413D8" w:rsidP="007413D8">
            <w:pPr>
              <w:spacing w:line="400" w:lineRule="exact"/>
              <w:rPr>
                <w:rFonts w:ascii="仿宋" w:eastAsia="仿宋" w:hAnsi="仿宋" w:cs="Times New Roman"/>
                <w:sz w:val="24"/>
                <w:szCs w:val="24"/>
              </w:rPr>
            </w:pPr>
            <w:r w:rsidRPr="007413D8">
              <w:rPr>
                <w:rFonts w:ascii="仿宋" w:eastAsia="仿宋" w:hAnsi="仿宋" w:cs="Times New Roman" w:hint="eastAsia"/>
                <w:sz w:val="24"/>
                <w:szCs w:val="24"/>
              </w:rPr>
              <w:t>公卫体检系统</w:t>
            </w:r>
          </w:p>
        </w:tc>
        <w:tc>
          <w:tcPr>
            <w:tcW w:w="1163" w:type="dxa"/>
            <w:vMerge/>
          </w:tcPr>
          <w:p w:rsidR="007413D8" w:rsidRPr="007413D8" w:rsidRDefault="007413D8" w:rsidP="007413D8">
            <w:pPr>
              <w:spacing w:line="400" w:lineRule="exact"/>
              <w:ind w:firstLineChars="200" w:firstLine="420"/>
              <w:jc w:val="center"/>
              <w:rPr>
                <w:rFonts w:ascii="仿宋" w:eastAsia="仿宋" w:hAnsi="仿宋" w:cs="Times New Roman"/>
                <w:szCs w:val="24"/>
              </w:rPr>
            </w:pPr>
          </w:p>
        </w:tc>
        <w:tc>
          <w:tcPr>
            <w:tcW w:w="1388" w:type="dxa"/>
          </w:tcPr>
          <w:p w:rsidR="007413D8" w:rsidRPr="007413D8" w:rsidRDefault="007413D8" w:rsidP="007413D8">
            <w:pPr>
              <w:spacing w:line="400" w:lineRule="exact"/>
              <w:ind w:firstLineChars="200" w:firstLine="420"/>
              <w:jc w:val="center"/>
              <w:rPr>
                <w:rFonts w:ascii="仿宋" w:eastAsia="仿宋" w:hAnsi="仿宋" w:cs="Times New Roman"/>
                <w:szCs w:val="24"/>
              </w:rPr>
            </w:pPr>
            <w:r w:rsidRPr="007413D8">
              <w:rPr>
                <w:rFonts w:ascii="仿宋" w:eastAsia="仿宋" w:hAnsi="仿宋" w:cs="仿宋" w:hint="eastAsia"/>
                <w:szCs w:val="24"/>
              </w:rPr>
              <w:t>1</w:t>
            </w:r>
          </w:p>
        </w:tc>
      </w:tr>
    </w:tbl>
    <w:p w:rsidR="007413D8" w:rsidRPr="007413D8" w:rsidRDefault="007413D8" w:rsidP="007413D8">
      <w:pPr>
        <w:rPr>
          <w:rFonts w:ascii="仿宋" w:eastAsia="仿宋" w:hAnsi="仿宋" w:cs="Times New Roman"/>
          <w:szCs w:val="24"/>
        </w:rPr>
      </w:pPr>
    </w:p>
    <w:p w:rsidR="007413D8" w:rsidRPr="007413D8" w:rsidRDefault="007413D8" w:rsidP="007413D8">
      <w:pPr>
        <w:keepNext/>
        <w:keepLines/>
        <w:spacing w:before="260" w:after="260" w:line="416" w:lineRule="auto"/>
        <w:outlineLvl w:val="1"/>
        <w:rPr>
          <w:rFonts w:ascii="仿宋" w:eastAsia="仿宋" w:hAnsi="仿宋" w:cs="Times New Roman"/>
          <w:b/>
          <w:bCs/>
          <w:sz w:val="24"/>
          <w:szCs w:val="24"/>
        </w:rPr>
      </w:pPr>
      <w:r w:rsidRPr="007413D8">
        <w:rPr>
          <w:rFonts w:ascii="仿宋" w:eastAsia="仿宋" w:hAnsi="仿宋" w:cs="Times New Roman" w:hint="eastAsia"/>
          <w:b/>
          <w:bCs/>
          <w:sz w:val="28"/>
          <w:szCs w:val="28"/>
        </w:rPr>
        <w:t>3.</w:t>
      </w:r>
      <w:r w:rsidRPr="007413D8">
        <w:rPr>
          <w:rFonts w:ascii="仿宋" w:eastAsia="仿宋" w:hAnsi="仿宋" w:cs="Times New Roman"/>
          <w:b/>
          <w:bCs/>
          <w:sz w:val="28"/>
          <w:szCs w:val="28"/>
        </w:rPr>
        <w:t xml:space="preserve"> </w:t>
      </w:r>
      <w:r w:rsidRPr="007413D8">
        <w:rPr>
          <w:rFonts w:ascii="仿宋" w:eastAsia="仿宋" w:hAnsi="仿宋" w:cs="Times New Roman" w:hint="eastAsia"/>
          <w:b/>
          <w:bCs/>
          <w:sz w:val="28"/>
          <w:szCs w:val="28"/>
        </w:rPr>
        <w:t>技术要求</w:t>
      </w:r>
    </w:p>
    <w:p w:rsidR="007413D8" w:rsidRPr="007413D8" w:rsidRDefault="007413D8" w:rsidP="007413D8">
      <w:pPr>
        <w:spacing w:line="400" w:lineRule="exact"/>
        <w:ind w:firstLineChars="100" w:firstLine="281"/>
        <w:outlineLvl w:val="1"/>
        <w:rPr>
          <w:rFonts w:ascii="仿宋" w:eastAsia="仿宋" w:hAnsi="仿宋" w:cs="Times New Roman"/>
          <w:b/>
          <w:bCs/>
          <w:sz w:val="28"/>
          <w:szCs w:val="28"/>
        </w:rPr>
      </w:pPr>
      <w:r w:rsidRPr="007413D8">
        <w:rPr>
          <w:rFonts w:ascii="仿宋" w:eastAsia="仿宋" w:hAnsi="仿宋" w:cs="Times New Roman" w:hint="eastAsia"/>
          <w:b/>
          <w:bCs/>
          <w:sz w:val="28"/>
          <w:szCs w:val="28"/>
        </w:rPr>
        <w:t>3.1.基层医疗卫生信息系统拓展改造</w:t>
      </w:r>
    </w:p>
    <w:p w:rsidR="007413D8" w:rsidRPr="007413D8" w:rsidRDefault="007413D8" w:rsidP="007413D8">
      <w:pPr>
        <w:spacing w:line="400" w:lineRule="exact"/>
        <w:ind w:firstLineChars="100" w:firstLine="281"/>
        <w:outlineLvl w:val="2"/>
        <w:rPr>
          <w:rFonts w:ascii="仿宋" w:eastAsia="仿宋" w:hAnsi="仿宋" w:cs="Times New Roman"/>
          <w:b/>
          <w:bCs/>
          <w:sz w:val="28"/>
          <w:szCs w:val="28"/>
        </w:rPr>
      </w:pPr>
      <w:r w:rsidRPr="007413D8">
        <w:rPr>
          <w:rFonts w:ascii="仿宋" w:eastAsia="仿宋" w:hAnsi="仿宋" w:cs="Times New Roman" w:hint="eastAsia"/>
          <w:b/>
          <w:bCs/>
          <w:sz w:val="28"/>
          <w:szCs w:val="28"/>
        </w:rPr>
        <w:t>3.1.1.登录功能拓展改造</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1、提供医生在登录时CA认证模式进行登录功能接口。提供在各业务开展时CA认证功能接口。</w:t>
      </w:r>
    </w:p>
    <w:p w:rsidR="007413D8" w:rsidRPr="007413D8" w:rsidRDefault="007413D8" w:rsidP="007413D8">
      <w:pPr>
        <w:spacing w:line="400" w:lineRule="exact"/>
        <w:ind w:firstLineChars="100" w:firstLine="281"/>
        <w:outlineLvl w:val="2"/>
        <w:rPr>
          <w:rFonts w:ascii="仿宋" w:eastAsia="仿宋" w:hAnsi="仿宋" w:cs="Times New Roman"/>
          <w:b/>
          <w:bCs/>
          <w:sz w:val="28"/>
          <w:szCs w:val="28"/>
        </w:rPr>
      </w:pPr>
      <w:r w:rsidRPr="007413D8">
        <w:rPr>
          <w:rFonts w:ascii="仿宋" w:eastAsia="仿宋" w:hAnsi="仿宋" w:cs="Times New Roman" w:hint="eastAsia"/>
          <w:b/>
          <w:bCs/>
          <w:sz w:val="28"/>
          <w:szCs w:val="28"/>
        </w:rPr>
        <w:t>3.1.2.全科收费拓展改造</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1、提供病人列表快速精准定位功能。</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2、挂号时能获取“健康龙泉基层公众号”生成的二维码居民基本信息。窗口扫描二维码，后台便可查询到患者的基本信息以进行挂号、缴费，精简人工查询待缴费单据的操作步骤，</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3、改造查询医保的不确定交易功能，提供交易流水号、就诊姓名、日期以及</w:t>
      </w:r>
      <w:r w:rsidRPr="007413D8">
        <w:rPr>
          <w:rFonts w:ascii="仿宋" w:eastAsia="仿宋" w:hAnsi="仿宋" w:cs="Times New Roman" w:hint="eastAsia"/>
          <w:sz w:val="24"/>
          <w:szCs w:val="24"/>
        </w:rPr>
        <w:lastRenderedPageBreak/>
        <w:t>用于支付的社保卡姓名、社保编码显示。</w:t>
      </w:r>
    </w:p>
    <w:p w:rsidR="007413D8" w:rsidRPr="007413D8" w:rsidRDefault="007413D8" w:rsidP="007413D8">
      <w:pPr>
        <w:spacing w:line="400" w:lineRule="exact"/>
        <w:ind w:firstLineChars="100" w:firstLine="281"/>
        <w:outlineLvl w:val="2"/>
        <w:rPr>
          <w:rFonts w:ascii="仿宋" w:eastAsia="仿宋" w:hAnsi="仿宋" w:cs="Times New Roman"/>
          <w:b/>
          <w:bCs/>
          <w:sz w:val="28"/>
          <w:szCs w:val="28"/>
        </w:rPr>
      </w:pPr>
      <w:r w:rsidRPr="007413D8">
        <w:rPr>
          <w:rFonts w:ascii="仿宋" w:eastAsia="仿宋" w:hAnsi="仿宋" w:cs="Times New Roman" w:hint="eastAsia"/>
          <w:b/>
          <w:bCs/>
          <w:sz w:val="28"/>
          <w:szCs w:val="28"/>
        </w:rPr>
        <w:t>3.1.3.门诊医生站拓展改造</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1、根据《中华人民共和国传染病防治法》、《突发公共卫生事件应急条例》、《新型冠状病毒肺炎诊疗方案（试行第八版）》相关要求，提供针对新冠疫情新增问卷表功能。</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2、提供门诊医生站直接进行住院预约、打印住院证功能</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3、门诊诊断为传染病时，提示传染病报卡功能。增加传染病报卡统计报表。</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4、医生进行材料开单时能准确查看到所选材料的名称、厂家、批号、库存等信息</w:t>
      </w:r>
    </w:p>
    <w:p w:rsidR="007413D8" w:rsidRPr="007413D8" w:rsidRDefault="007413D8" w:rsidP="007413D8">
      <w:pPr>
        <w:spacing w:line="400" w:lineRule="exact"/>
        <w:ind w:firstLineChars="100" w:firstLine="281"/>
        <w:outlineLvl w:val="2"/>
        <w:rPr>
          <w:rFonts w:ascii="仿宋" w:eastAsia="仿宋" w:hAnsi="仿宋" w:cs="Times New Roman"/>
          <w:b/>
          <w:bCs/>
          <w:sz w:val="28"/>
          <w:szCs w:val="28"/>
        </w:rPr>
      </w:pPr>
      <w:r w:rsidRPr="007413D8">
        <w:rPr>
          <w:rFonts w:ascii="仿宋" w:eastAsia="仿宋" w:hAnsi="仿宋" w:cs="Times New Roman" w:hint="eastAsia"/>
          <w:b/>
          <w:bCs/>
          <w:sz w:val="28"/>
          <w:szCs w:val="28"/>
        </w:rPr>
        <w:t>3.1.4.门诊特殊病种流程拓展改造</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1、门诊特殊病种开单结算流程改为住院流程，改造流程如下：</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开户--&gt;预交款；方案--&gt;医嘱开单；开方--&gt;医嘱执行；结算--&gt;住院结算</w:t>
      </w:r>
    </w:p>
    <w:p w:rsidR="007413D8" w:rsidRPr="007413D8" w:rsidRDefault="007413D8" w:rsidP="007413D8">
      <w:pPr>
        <w:spacing w:line="400" w:lineRule="exact"/>
        <w:ind w:firstLineChars="100" w:firstLine="281"/>
        <w:outlineLvl w:val="2"/>
        <w:rPr>
          <w:rFonts w:ascii="仿宋" w:eastAsia="仿宋" w:hAnsi="仿宋" w:cs="Times New Roman"/>
          <w:sz w:val="24"/>
          <w:szCs w:val="24"/>
        </w:rPr>
      </w:pPr>
      <w:r w:rsidRPr="007413D8">
        <w:rPr>
          <w:rFonts w:ascii="仿宋" w:eastAsia="仿宋" w:hAnsi="仿宋" w:cs="Times New Roman" w:hint="eastAsia"/>
          <w:b/>
          <w:bCs/>
          <w:sz w:val="28"/>
          <w:szCs w:val="28"/>
        </w:rPr>
        <w:t>3.1.5.住院医生站拓展改造</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1、住院医生站支持草药方录入功能，并提供处方组套功能。</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2、医生进行材料开单时能准确查看到所选材料的名称、厂家、批号、库存等信息</w:t>
      </w:r>
    </w:p>
    <w:p w:rsidR="007413D8" w:rsidRPr="007413D8" w:rsidRDefault="007413D8" w:rsidP="007413D8">
      <w:pPr>
        <w:spacing w:line="400" w:lineRule="exact"/>
        <w:ind w:firstLineChars="100" w:firstLine="281"/>
        <w:outlineLvl w:val="2"/>
        <w:rPr>
          <w:rFonts w:ascii="仿宋" w:eastAsia="仿宋" w:hAnsi="仿宋" w:cs="Times New Roman"/>
          <w:b/>
          <w:bCs/>
          <w:sz w:val="28"/>
          <w:szCs w:val="28"/>
        </w:rPr>
      </w:pPr>
      <w:r w:rsidRPr="007413D8">
        <w:rPr>
          <w:rFonts w:ascii="仿宋" w:eastAsia="仿宋" w:hAnsi="仿宋" w:cs="Times New Roman" w:hint="eastAsia"/>
          <w:b/>
          <w:bCs/>
          <w:sz w:val="28"/>
          <w:szCs w:val="28"/>
        </w:rPr>
        <w:t>3.1.6.护士工作站拓展改造</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1、根据相关标准提供护理风险评估功能。</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2、增加体温单批量录入功能。</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3、门诊护士站、住院护士站分别嵌入皮试管理系统，实现医院针对皮试药品管理功能。</w:t>
      </w:r>
    </w:p>
    <w:p w:rsidR="007413D8" w:rsidRPr="007413D8" w:rsidRDefault="007413D8" w:rsidP="007413D8">
      <w:pPr>
        <w:spacing w:line="400" w:lineRule="exact"/>
        <w:ind w:firstLineChars="100" w:firstLine="281"/>
        <w:outlineLvl w:val="2"/>
        <w:rPr>
          <w:rFonts w:ascii="仿宋" w:eastAsia="仿宋" w:hAnsi="仿宋" w:cs="Times New Roman"/>
          <w:b/>
          <w:bCs/>
          <w:sz w:val="28"/>
          <w:szCs w:val="28"/>
        </w:rPr>
      </w:pPr>
      <w:r w:rsidRPr="007413D8">
        <w:rPr>
          <w:rFonts w:ascii="仿宋" w:eastAsia="仿宋" w:hAnsi="仿宋" w:cs="Times New Roman" w:hint="eastAsia"/>
          <w:b/>
          <w:bCs/>
          <w:sz w:val="28"/>
          <w:szCs w:val="28"/>
        </w:rPr>
        <w:t>3.1.7.物资库房拓展改造</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1、支持按照国家医保材料编码基准库目录设置材料相应的维护属性（例如：一级、二级、三级分类、材质、特征等）</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2、支持院内科室向材料库房申领材料。</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3、销售明细以及出库明细的报表应包含材料的所有维护属性，且能导出excel进行编辑。</w:t>
      </w:r>
    </w:p>
    <w:p w:rsidR="007413D8" w:rsidRPr="007413D8" w:rsidRDefault="007413D8" w:rsidP="007413D8">
      <w:pPr>
        <w:spacing w:line="400" w:lineRule="exact"/>
        <w:ind w:firstLineChars="100" w:firstLine="281"/>
        <w:outlineLvl w:val="2"/>
        <w:rPr>
          <w:rFonts w:ascii="仿宋" w:eastAsia="仿宋" w:hAnsi="仿宋" w:cs="Times New Roman"/>
          <w:b/>
          <w:bCs/>
          <w:sz w:val="28"/>
          <w:szCs w:val="28"/>
        </w:rPr>
      </w:pPr>
      <w:r w:rsidRPr="007413D8">
        <w:rPr>
          <w:rFonts w:ascii="仿宋" w:eastAsia="仿宋" w:hAnsi="仿宋" w:cs="Times New Roman" w:hint="eastAsia"/>
          <w:b/>
          <w:bCs/>
          <w:sz w:val="28"/>
          <w:szCs w:val="28"/>
        </w:rPr>
        <w:t>3.1.8.三级等保安全性改造</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1、基层医疗卫生信息系统根据三级等保要求进行安全性改造</w:t>
      </w:r>
    </w:p>
    <w:p w:rsidR="007413D8" w:rsidRPr="007413D8" w:rsidRDefault="007413D8" w:rsidP="007413D8">
      <w:pPr>
        <w:spacing w:line="400" w:lineRule="exact"/>
        <w:ind w:firstLineChars="100" w:firstLine="281"/>
        <w:outlineLvl w:val="2"/>
        <w:rPr>
          <w:rFonts w:ascii="仿宋" w:eastAsia="仿宋" w:hAnsi="仿宋" w:cs="Times New Roman"/>
          <w:b/>
          <w:bCs/>
          <w:sz w:val="28"/>
          <w:szCs w:val="28"/>
        </w:rPr>
      </w:pPr>
      <w:r w:rsidRPr="007413D8">
        <w:rPr>
          <w:rFonts w:ascii="仿宋" w:eastAsia="仿宋" w:hAnsi="仿宋" w:cs="Times New Roman" w:hint="eastAsia"/>
          <w:b/>
          <w:bCs/>
          <w:sz w:val="28"/>
          <w:szCs w:val="28"/>
        </w:rPr>
        <w:t>3.2.公卫质控系统</w:t>
      </w:r>
    </w:p>
    <w:p w:rsidR="007413D8" w:rsidRPr="007413D8" w:rsidRDefault="007413D8" w:rsidP="007413D8">
      <w:pPr>
        <w:spacing w:line="400" w:lineRule="exact"/>
        <w:ind w:firstLineChars="100" w:firstLine="281"/>
        <w:outlineLvl w:val="2"/>
        <w:rPr>
          <w:rFonts w:ascii="仿宋" w:eastAsia="仿宋" w:hAnsi="仿宋" w:cs="Times New Roman"/>
          <w:b/>
          <w:bCs/>
          <w:sz w:val="28"/>
          <w:szCs w:val="28"/>
        </w:rPr>
      </w:pPr>
      <w:r w:rsidRPr="007413D8">
        <w:rPr>
          <w:rFonts w:ascii="仿宋" w:eastAsia="仿宋" w:hAnsi="仿宋" w:cs="Times New Roman" w:hint="eastAsia"/>
          <w:b/>
          <w:bCs/>
          <w:sz w:val="28"/>
          <w:szCs w:val="28"/>
        </w:rPr>
        <w:t>3.2.1.居民健康档案数据质量控制</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sz w:val="24"/>
          <w:szCs w:val="24"/>
        </w:rPr>
        <w:t>1</w:t>
      </w:r>
      <w:r w:rsidRPr="007413D8">
        <w:rPr>
          <w:rFonts w:ascii="仿宋" w:eastAsia="仿宋" w:hAnsi="仿宋" w:cs="Times New Roman" w:hint="eastAsia"/>
          <w:sz w:val="24"/>
          <w:szCs w:val="24"/>
        </w:rPr>
        <w:t>、按照《国家基本公共卫生服务规范（第三版）》和《成都市基本公共卫生服务绩效考核方案》的要求，对居民健康档案数据进行重复性、完整性、真实性、一致性、逻辑性等方面进行质量质控。并及时反馈数据质量控制异常数据。</w:t>
      </w:r>
    </w:p>
    <w:p w:rsidR="007413D8" w:rsidRPr="007413D8" w:rsidRDefault="007413D8" w:rsidP="007413D8">
      <w:pPr>
        <w:spacing w:line="400" w:lineRule="exact"/>
        <w:ind w:firstLineChars="100" w:firstLine="281"/>
        <w:outlineLvl w:val="2"/>
        <w:rPr>
          <w:rFonts w:ascii="仿宋" w:eastAsia="仿宋" w:hAnsi="仿宋" w:cs="Times New Roman"/>
          <w:b/>
          <w:bCs/>
          <w:sz w:val="28"/>
          <w:szCs w:val="28"/>
        </w:rPr>
      </w:pPr>
      <w:r w:rsidRPr="007413D8">
        <w:rPr>
          <w:rFonts w:ascii="仿宋" w:eastAsia="仿宋" w:hAnsi="仿宋" w:cs="Times New Roman" w:hint="eastAsia"/>
          <w:b/>
          <w:bCs/>
          <w:sz w:val="28"/>
          <w:szCs w:val="28"/>
        </w:rPr>
        <w:lastRenderedPageBreak/>
        <w:t>3.2.2.健康体检数据质量控制</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1、按照《国家基本公共卫生服务规范（第三版）》和《成都市基本公共卫生服务绩效考核方案》的要求，对健康体检信息中的重复性、完整性、一致性、逻辑性进行质量控制，并及时反馈数据质量控制异常数据。</w:t>
      </w:r>
    </w:p>
    <w:p w:rsidR="007413D8" w:rsidRPr="007413D8" w:rsidRDefault="007413D8" w:rsidP="007413D8">
      <w:pPr>
        <w:spacing w:line="400" w:lineRule="exact"/>
        <w:ind w:firstLineChars="100" w:firstLine="281"/>
        <w:outlineLvl w:val="2"/>
        <w:rPr>
          <w:rFonts w:ascii="仿宋" w:eastAsia="仿宋" w:hAnsi="仿宋" w:cs="Times New Roman"/>
          <w:b/>
          <w:bCs/>
          <w:sz w:val="28"/>
          <w:szCs w:val="28"/>
        </w:rPr>
      </w:pPr>
      <w:r w:rsidRPr="007413D8">
        <w:rPr>
          <w:rFonts w:ascii="仿宋" w:eastAsia="仿宋" w:hAnsi="仿宋" w:cs="Times New Roman" w:hint="eastAsia"/>
          <w:b/>
          <w:bCs/>
          <w:sz w:val="28"/>
          <w:szCs w:val="28"/>
        </w:rPr>
        <w:t>3.2.3.高血压患者、2型糖尿病患者、老年人健康管理数据质量控制</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1、按照《国家基本公共卫生服务规范（第三版）》和《成都市基本公共卫生服务绩效考核方案》的要求，对高血压患者、2型糖尿病患者、老年人健康管理数据进行重复性、完整性、一致性、逻辑性进行质量控制，并及时反馈数据质量控制异常数据。</w:t>
      </w:r>
    </w:p>
    <w:p w:rsidR="007413D8" w:rsidRPr="007413D8" w:rsidRDefault="007413D8" w:rsidP="007413D8">
      <w:pPr>
        <w:spacing w:line="400" w:lineRule="exact"/>
        <w:ind w:firstLineChars="100" w:firstLine="281"/>
        <w:outlineLvl w:val="2"/>
        <w:rPr>
          <w:rFonts w:ascii="仿宋" w:eastAsia="仿宋" w:hAnsi="仿宋" w:cs="Times New Roman"/>
          <w:b/>
          <w:bCs/>
          <w:sz w:val="28"/>
          <w:szCs w:val="28"/>
        </w:rPr>
      </w:pPr>
      <w:r w:rsidRPr="007413D8">
        <w:rPr>
          <w:rFonts w:ascii="仿宋" w:eastAsia="仿宋" w:hAnsi="仿宋" w:cs="Times New Roman" w:hint="eastAsia"/>
          <w:b/>
          <w:bCs/>
          <w:sz w:val="28"/>
          <w:szCs w:val="28"/>
        </w:rPr>
        <w:t>3.2.4.老年人中医药健康管理数据质量控制</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1、按照《国家基本公共卫生服务规范（第三版）》和《成都市基本公共卫生服务绩效考核方案》的要求，对老年人中医药健康管理数据完整性、逻辑性、一致性、逻辑性进行质量控制，并及时反馈数据质量控制异常数据。</w:t>
      </w:r>
    </w:p>
    <w:p w:rsidR="007413D8" w:rsidRPr="007413D8" w:rsidRDefault="007413D8" w:rsidP="007413D8">
      <w:pPr>
        <w:spacing w:line="400" w:lineRule="exact"/>
        <w:ind w:firstLineChars="100" w:firstLine="281"/>
        <w:outlineLvl w:val="2"/>
        <w:rPr>
          <w:rFonts w:ascii="仿宋" w:eastAsia="仿宋" w:hAnsi="仿宋" w:cs="Times New Roman"/>
          <w:b/>
          <w:bCs/>
          <w:sz w:val="28"/>
          <w:szCs w:val="28"/>
        </w:rPr>
      </w:pPr>
      <w:r w:rsidRPr="007413D8">
        <w:rPr>
          <w:rFonts w:ascii="仿宋" w:eastAsia="仿宋" w:hAnsi="仿宋" w:cs="Times New Roman" w:hint="eastAsia"/>
          <w:b/>
          <w:bCs/>
          <w:sz w:val="28"/>
          <w:szCs w:val="28"/>
        </w:rPr>
        <w:t>3.3.区域慢病协同系统拓展改造</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1、区域慢病协同系统是基层医疗单位和上级医疗机构互联互通的一个协同系统。上级医疗机构就诊的患者的就诊信息经区全民健康信息平台推送到区域慢病协同系统的共享池中，公卫人员根据系统共享池就诊信息归属关系对居民进行精准的慢病随访管理。同时可将上级机构的检验、检查结果导入居民年检表中。</w:t>
      </w:r>
    </w:p>
    <w:p w:rsidR="007413D8" w:rsidRPr="007413D8" w:rsidRDefault="007413D8" w:rsidP="007413D8">
      <w:pPr>
        <w:spacing w:line="400" w:lineRule="exact"/>
        <w:ind w:firstLineChars="100" w:firstLine="281"/>
        <w:outlineLvl w:val="2"/>
        <w:rPr>
          <w:rFonts w:ascii="仿宋" w:eastAsia="仿宋" w:hAnsi="仿宋" w:cs="Times New Roman"/>
          <w:b/>
          <w:bCs/>
          <w:sz w:val="28"/>
          <w:szCs w:val="28"/>
        </w:rPr>
      </w:pPr>
      <w:r w:rsidRPr="007413D8">
        <w:rPr>
          <w:rFonts w:ascii="仿宋" w:eastAsia="仿宋" w:hAnsi="仿宋" w:cs="Times New Roman" w:hint="eastAsia"/>
          <w:b/>
          <w:bCs/>
          <w:sz w:val="28"/>
          <w:szCs w:val="28"/>
        </w:rPr>
        <w:t>3.4.基层医疗机构中医馆接入成都市中医馆健康信息平台接口改造</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1、基层医疗卫生信息系统接入四川省中医馆健康信息平台。实现与区级中医医院牵头的医联体、医共体内信息互通、共享。能按照国家卫健委和国家中医药管理局要求及时准确上报相关信息及统计数据。</w:t>
      </w:r>
    </w:p>
    <w:p w:rsidR="007413D8" w:rsidRPr="007413D8" w:rsidRDefault="007413D8" w:rsidP="007413D8">
      <w:pPr>
        <w:spacing w:line="400" w:lineRule="exact"/>
        <w:ind w:firstLineChars="100" w:firstLine="240"/>
        <w:rPr>
          <w:rFonts w:ascii="仿宋" w:eastAsia="仿宋" w:hAnsi="仿宋" w:cs="Times New Roman"/>
          <w:sz w:val="24"/>
          <w:szCs w:val="24"/>
        </w:rPr>
      </w:pPr>
    </w:p>
    <w:p w:rsidR="007413D8" w:rsidRPr="007413D8" w:rsidRDefault="007413D8" w:rsidP="007413D8">
      <w:pPr>
        <w:spacing w:line="400" w:lineRule="exact"/>
        <w:ind w:firstLineChars="100" w:firstLine="281"/>
        <w:outlineLvl w:val="2"/>
        <w:rPr>
          <w:rFonts w:ascii="仿宋" w:eastAsia="仿宋" w:hAnsi="仿宋" w:cs="Times New Roman"/>
          <w:b/>
          <w:bCs/>
          <w:sz w:val="28"/>
          <w:szCs w:val="28"/>
        </w:rPr>
      </w:pPr>
      <w:r w:rsidRPr="007413D8">
        <w:rPr>
          <w:rFonts w:ascii="仿宋" w:eastAsia="仿宋" w:hAnsi="仿宋" w:cs="Times New Roman" w:hint="eastAsia"/>
          <w:b/>
          <w:bCs/>
          <w:sz w:val="28"/>
          <w:szCs w:val="28"/>
        </w:rPr>
        <w:t>3.5.公卫体检系统</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1、公卫体检系统实现体检条码全流程管理，公卫系统对接lis、pacs、心电以及彩超系统。</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2、通过扫码识别居民基本信息，自动获取检验检查结果到体检表。</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3、公卫系统拓展改造：体检表中根据操作人员填写项目自动生成健康评价，生成一份完善的体检报告包括检验结果、检查结果、检查影像、心电图、健康评价、健康指导、中医体质辨识。</w:t>
      </w:r>
    </w:p>
    <w:p w:rsidR="007413D8" w:rsidRPr="007413D8" w:rsidRDefault="007413D8" w:rsidP="007413D8">
      <w:pPr>
        <w:spacing w:line="400" w:lineRule="exact"/>
        <w:ind w:firstLineChars="100" w:firstLine="281"/>
        <w:outlineLvl w:val="1"/>
        <w:rPr>
          <w:rFonts w:ascii="仿宋" w:eastAsia="仿宋" w:hAnsi="仿宋" w:cs="Times New Roman"/>
          <w:b/>
          <w:bCs/>
          <w:sz w:val="28"/>
          <w:szCs w:val="28"/>
        </w:rPr>
      </w:pPr>
      <w:r w:rsidRPr="007413D8">
        <w:rPr>
          <w:rFonts w:ascii="仿宋" w:eastAsia="仿宋" w:hAnsi="仿宋" w:cs="Times New Roman"/>
          <w:b/>
          <w:bCs/>
          <w:sz w:val="28"/>
          <w:szCs w:val="28"/>
        </w:rPr>
        <w:t>4</w:t>
      </w:r>
      <w:r w:rsidRPr="007413D8">
        <w:rPr>
          <w:rFonts w:ascii="仿宋" w:eastAsia="仿宋" w:hAnsi="仿宋" w:cs="Times New Roman" w:hint="eastAsia"/>
          <w:b/>
          <w:bCs/>
          <w:sz w:val="28"/>
          <w:szCs w:val="28"/>
        </w:rPr>
        <w:t>．商务要求：</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*1.完成时间：合同</w:t>
      </w:r>
      <w:r w:rsidRPr="007413D8">
        <w:rPr>
          <w:rFonts w:ascii="仿宋" w:eastAsia="仿宋" w:hAnsi="仿宋" w:cs="Times New Roman"/>
          <w:sz w:val="24"/>
          <w:szCs w:val="24"/>
        </w:rPr>
        <w:t>签订后10</w:t>
      </w:r>
      <w:r w:rsidRPr="007413D8">
        <w:rPr>
          <w:rFonts w:ascii="仿宋" w:eastAsia="仿宋" w:hAnsi="仿宋" w:cs="Times New Roman" w:hint="eastAsia"/>
          <w:sz w:val="24"/>
          <w:szCs w:val="24"/>
        </w:rPr>
        <w:t>个</w:t>
      </w:r>
      <w:r w:rsidRPr="007413D8">
        <w:rPr>
          <w:rFonts w:ascii="仿宋" w:eastAsia="仿宋" w:hAnsi="仿宋" w:cs="Times New Roman"/>
          <w:sz w:val="24"/>
          <w:szCs w:val="24"/>
        </w:rPr>
        <w:t>月内完成</w:t>
      </w:r>
      <w:r w:rsidRPr="007413D8">
        <w:rPr>
          <w:rFonts w:ascii="仿宋" w:eastAsia="仿宋" w:hAnsi="仿宋" w:cs="Times New Roman" w:hint="eastAsia"/>
          <w:sz w:val="24"/>
          <w:szCs w:val="24"/>
        </w:rPr>
        <w:t>，因采购人原因导致项目延迟例外。</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lastRenderedPageBreak/>
        <w:t>*2.项目地点：成都市龙泉驿区卫生健康局。</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*3.付款方式：合同签订生效后，采购人收到供应商开具的正式发票后的</w:t>
      </w:r>
      <w:r w:rsidRPr="007413D8">
        <w:rPr>
          <w:rFonts w:ascii="仿宋" w:eastAsia="仿宋" w:hAnsi="仿宋" w:cs="Times New Roman"/>
          <w:sz w:val="24"/>
          <w:szCs w:val="24"/>
        </w:rPr>
        <w:t>15</w:t>
      </w:r>
      <w:r w:rsidRPr="007413D8">
        <w:rPr>
          <w:rFonts w:ascii="仿宋" w:eastAsia="仿宋" w:hAnsi="仿宋" w:cs="Times New Roman" w:hint="eastAsia"/>
          <w:sz w:val="24"/>
          <w:szCs w:val="24"/>
        </w:rPr>
        <w:t>个工作日内向供应商支付合同金额的</w:t>
      </w:r>
      <w:r w:rsidRPr="007413D8">
        <w:rPr>
          <w:rFonts w:ascii="仿宋" w:eastAsia="仿宋" w:hAnsi="仿宋" w:cs="Times New Roman"/>
          <w:sz w:val="24"/>
          <w:szCs w:val="24"/>
        </w:rPr>
        <w:t>50</w:t>
      </w:r>
      <w:r w:rsidRPr="007413D8">
        <w:rPr>
          <w:rFonts w:ascii="仿宋" w:eastAsia="仿宋" w:hAnsi="仿宋" w:cs="Times New Roman" w:hint="eastAsia"/>
          <w:sz w:val="24"/>
          <w:szCs w:val="24"/>
        </w:rPr>
        <w:t>%；实施完成并验收合格后，采购人收到供应商开具的正式发票后的</w:t>
      </w:r>
      <w:r w:rsidRPr="007413D8">
        <w:rPr>
          <w:rFonts w:ascii="仿宋" w:eastAsia="仿宋" w:hAnsi="仿宋" w:cs="Times New Roman"/>
          <w:sz w:val="24"/>
          <w:szCs w:val="24"/>
        </w:rPr>
        <w:t>15</w:t>
      </w:r>
      <w:r w:rsidRPr="007413D8">
        <w:rPr>
          <w:rFonts w:ascii="仿宋" w:eastAsia="仿宋" w:hAnsi="仿宋" w:cs="Times New Roman" w:hint="eastAsia"/>
          <w:sz w:val="24"/>
          <w:szCs w:val="24"/>
        </w:rPr>
        <w:t>个工作日内向供应商支付合同金额的</w:t>
      </w:r>
      <w:r w:rsidRPr="007413D8">
        <w:rPr>
          <w:rFonts w:ascii="仿宋" w:eastAsia="仿宋" w:hAnsi="仿宋" w:cs="Times New Roman"/>
          <w:sz w:val="24"/>
          <w:szCs w:val="24"/>
        </w:rPr>
        <w:t>50</w:t>
      </w:r>
      <w:r w:rsidRPr="007413D8">
        <w:rPr>
          <w:rFonts w:ascii="仿宋" w:eastAsia="仿宋" w:hAnsi="仿宋" w:cs="Times New Roman" w:hint="eastAsia"/>
          <w:sz w:val="24"/>
          <w:szCs w:val="24"/>
        </w:rPr>
        <w:t>%。（若达到付款条件的时间处于财政轧账期间，则采购人在资金下达后的20个工作日内完成付款程序）。</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4.验收要求：本项目采购人将严格参照政府采购相关法律法规以及《财政部关于进一步加强政府采购需求和履约验收管理的指导意见》（财库〔2016〕205号）的要求以及磋商文件和响应文件要求进行验收。</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5、质保要求</w:t>
      </w:r>
    </w:p>
    <w:p w:rsidR="007413D8" w:rsidRPr="007413D8" w:rsidRDefault="007413D8" w:rsidP="007413D8">
      <w:pPr>
        <w:spacing w:line="400" w:lineRule="exact"/>
        <w:ind w:firstLineChars="100" w:firstLine="240"/>
        <w:rPr>
          <w:rFonts w:ascii="仿宋" w:eastAsia="仿宋" w:hAnsi="仿宋" w:cs="Times New Roman"/>
          <w:sz w:val="24"/>
          <w:szCs w:val="24"/>
        </w:rPr>
      </w:pPr>
      <w:r w:rsidRPr="007413D8">
        <w:rPr>
          <w:rFonts w:ascii="仿宋" w:eastAsia="仿宋" w:hAnsi="仿宋" w:cs="Times New Roman" w:hint="eastAsia"/>
          <w:sz w:val="24"/>
          <w:szCs w:val="24"/>
        </w:rPr>
        <w:t>本项目质保期：≥</w:t>
      </w:r>
      <w:r w:rsidRPr="007413D8">
        <w:rPr>
          <w:rFonts w:ascii="仿宋" w:eastAsia="仿宋" w:hAnsi="仿宋" w:cs="Times New Roman"/>
          <w:sz w:val="24"/>
          <w:szCs w:val="24"/>
        </w:rPr>
        <w:t>1</w:t>
      </w:r>
      <w:r w:rsidRPr="007413D8">
        <w:rPr>
          <w:rFonts w:ascii="仿宋" w:eastAsia="仿宋" w:hAnsi="仿宋" w:cs="Times New Roman" w:hint="eastAsia"/>
          <w:sz w:val="24"/>
          <w:szCs w:val="24"/>
        </w:rPr>
        <w:t xml:space="preserve">年，在质保期内出现问题供应商须负责及时进行系统的调试，保障系统的运行。 </w:t>
      </w:r>
    </w:p>
    <w:p w:rsidR="007413D8" w:rsidRPr="007413D8" w:rsidRDefault="007413D8" w:rsidP="007413D8">
      <w:pPr>
        <w:spacing w:line="400" w:lineRule="exact"/>
        <w:rPr>
          <w:rFonts w:ascii="仿宋" w:eastAsia="仿宋" w:hAnsi="仿宋" w:cs="Times New Roman"/>
          <w:sz w:val="24"/>
          <w:szCs w:val="24"/>
        </w:rPr>
      </w:pPr>
    </w:p>
    <w:p w:rsidR="00CD4E4E" w:rsidRDefault="007413D8" w:rsidP="007413D8">
      <w:r w:rsidRPr="007413D8">
        <w:rPr>
          <w:rFonts w:ascii="仿宋" w:eastAsia="仿宋" w:hAnsi="仿宋" w:cs="Times New Roman"/>
          <w:sz w:val="24"/>
          <w:szCs w:val="24"/>
        </w:rPr>
        <w:br w:type="page"/>
      </w:r>
      <w:bookmarkStart w:id="0" w:name="_GoBack"/>
      <w:bookmarkEnd w:id="0"/>
    </w:p>
    <w:sectPr w:rsidR="00CD4E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3D8" w:rsidRDefault="007413D8" w:rsidP="007413D8">
      <w:r>
        <w:separator/>
      </w:r>
    </w:p>
  </w:endnote>
  <w:endnote w:type="continuationSeparator" w:id="0">
    <w:p w:rsidR="007413D8" w:rsidRDefault="007413D8" w:rsidP="0074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3D8" w:rsidRDefault="007413D8" w:rsidP="007413D8">
      <w:r>
        <w:separator/>
      </w:r>
    </w:p>
  </w:footnote>
  <w:footnote w:type="continuationSeparator" w:id="0">
    <w:p w:rsidR="007413D8" w:rsidRDefault="007413D8" w:rsidP="00741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06"/>
    <w:rsid w:val="007413D8"/>
    <w:rsid w:val="00CD4E4E"/>
    <w:rsid w:val="00D21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BD8F08A-2CA0-466F-A520-EA914DF4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1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13D8"/>
    <w:rPr>
      <w:sz w:val="18"/>
      <w:szCs w:val="18"/>
    </w:rPr>
  </w:style>
  <w:style w:type="paragraph" w:styleId="a4">
    <w:name w:val="footer"/>
    <w:basedOn w:val="a"/>
    <w:link w:val="Char0"/>
    <w:uiPriority w:val="99"/>
    <w:unhideWhenUsed/>
    <w:rsid w:val="007413D8"/>
    <w:pPr>
      <w:tabs>
        <w:tab w:val="center" w:pos="4153"/>
        <w:tab w:val="right" w:pos="8306"/>
      </w:tabs>
      <w:snapToGrid w:val="0"/>
      <w:jc w:val="left"/>
    </w:pPr>
    <w:rPr>
      <w:sz w:val="18"/>
      <w:szCs w:val="18"/>
    </w:rPr>
  </w:style>
  <w:style w:type="character" w:customStyle="1" w:styleId="Char0">
    <w:name w:val="页脚 Char"/>
    <w:basedOn w:val="a0"/>
    <w:link w:val="a4"/>
    <w:uiPriority w:val="99"/>
    <w:rsid w:val="007413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362</Words>
  <Characters>2068</Characters>
  <Application>Microsoft Office Word</Application>
  <DocSecurity>0</DocSecurity>
  <Lines>17</Lines>
  <Paragraphs>4</Paragraphs>
  <ScaleCrop>false</ScaleCrop>
  <Company>Microsoft</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2021-11-04T08:42:00Z</dcterms:created>
  <dcterms:modified xsi:type="dcterms:W3CDTF">2021-11-04T08:42:00Z</dcterms:modified>
</cp:coreProperties>
</file>