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B3" w:rsidRPr="00EE5B89" w:rsidRDefault="003348B3" w:rsidP="003348B3">
      <w:pPr>
        <w:spacing w:line="400" w:lineRule="exact"/>
        <w:ind w:firstLineChars="49" w:firstLine="118"/>
        <w:jc w:val="left"/>
        <w:rPr>
          <w:rFonts w:ascii="仿宋" w:eastAsia="仿宋" w:hAnsi="仿宋"/>
          <w:sz w:val="24"/>
        </w:rPr>
      </w:pPr>
      <w:bookmarkStart w:id="0" w:name="PO_默认文件内容_27"/>
      <w:r w:rsidRPr="00EE5B89">
        <w:rPr>
          <w:rFonts w:ascii="仿宋" w:eastAsia="仿宋" w:hAnsi="仿宋" w:hint="eastAsia"/>
          <w:sz w:val="24"/>
        </w:rPr>
        <w:t>前提：</w:t>
      </w:r>
      <w:r w:rsidRPr="00EE5B89">
        <w:rPr>
          <w:rFonts w:ascii="仿宋" w:eastAsia="仿宋" w:hAnsi="仿宋"/>
          <w:sz w:val="24"/>
        </w:rPr>
        <w:t>本章采购需求中标注“*”号的条款为本次磋商采购项目的实质性要求，供应商应全部满足。</w:t>
      </w:r>
    </w:p>
    <w:p w:rsidR="003348B3" w:rsidRPr="00EE5B89" w:rsidRDefault="003348B3" w:rsidP="003348B3">
      <w:pPr>
        <w:pStyle w:val="2"/>
        <w:spacing w:line="400" w:lineRule="exact"/>
        <w:ind w:firstLineChars="98" w:firstLine="236"/>
        <w:rPr>
          <w:rFonts w:ascii="仿宋" w:eastAsia="仿宋" w:hAnsi="仿宋"/>
          <w:sz w:val="24"/>
          <w:szCs w:val="24"/>
        </w:rPr>
      </w:pPr>
      <w:r w:rsidRPr="00EE5B89">
        <w:rPr>
          <w:rFonts w:ascii="仿宋" w:eastAsia="仿宋" w:hAnsi="仿宋" w:hint="eastAsia"/>
          <w:sz w:val="24"/>
          <w:szCs w:val="24"/>
        </w:rPr>
        <w:t>一</w:t>
      </w:r>
      <w:r w:rsidRPr="00EE5B89">
        <w:rPr>
          <w:rFonts w:ascii="仿宋" w:eastAsia="仿宋" w:hAnsi="仿宋"/>
          <w:sz w:val="24"/>
          <w:szCs w:val="24"/>
        </w:rPr>
        <w:t>、</w:t>
      </w:r>
      <w:r w:rsidRPr="00EE5B89">
        <w:rPr>
          <w:rFonts w:ascii="仿宋" w:eastAsia="仿宋" w:hAnsi="仿宋" w:hint="eastAsia"/>
          <w:sz w:val="24"/>
          <w:szCs w:val="24"/>
        </w:rPr>
        <w:t>项目概述</w:t>
      </w:r>
    </w:p>
    <w:p w:rsidR="003348B3" w:rsidRPr="00EE5B89" w:rsidRDefault="003348B3" w:rsidP="003348B3">
      <w:pPr>
        <w:pStyle w:val="a5"/>
        <w:spacing w:line="400" w:lineRule="exact"/>
        <w:ind w:firstLine="480"/>
        <w:rPr>
          <w:rFonts w:ascii="仿宋" w:eastAsia="仿宋" w:hAnsi="仿宋"/>
          <w:bCs/>
          <w:sz w:val="24"/>
        </w:rPr>
      </w:pPr>
      <w:r w:rsidRPr="00EE5B89">
        <w:rPr>
          <w:rFonts w:ascii="仿宋" w:eastAsia="仿宋" w:hAnsi="仿宋" w:hint="eastAsia"/>
          <w:bCs/>
          <w:sz w:val="24"/>
        </w:rPr>
        <w:t>本项目一个包，</w:t>
      </w:r>
      <w:r w:rsidRPr="00EE5B89">
        <w:rPr>
          <w:rFonts w:ascii="仿宋" w:eastAsia="仿宋" w:hAnsi="仿宋"/>
          <w:bCs/>
          <w:sz w:val="24"/>
        </w:rPr>
        <w:t>采购</w:t>
      </w:r>
      <w:r w:rsidRPr="00EE5B89">
        <w:rPr>
          <w:rFonts w:ascii="仿宋" w:eastAsia="仿宋" w:hAnsi="仿宋" w:hint="eastAsia"/>
          <w:bCs/>
          <w:sz w:val="24"/>
        </w:rPr>
        <w:t>成都市金牛区城市管理局汽车队2021—2022年度生活垃圾转运站环境检测服务。</w:t>
      </w:r>
      <w:r w:rsidRPr="00EE5B89">
        <w:rPr>
          <w:rFonts w:ascii="仿宋" w:eastAsia="仿宋" w:hAnsi="仿宋"/>
          <w:bCs/>
          <w:sz w:val="24"/>
        </w:rPr>
        <w:t>具体</w:t>
      </w:r>
      <w:r w:rsidRPr="00EE5B89">
        <w:rPr>
          <w:rFonts w:ascii="仿宋" w:eastAsia="仿宋" w:hAnsi="仿宋" w:hint="eastAsia"/>
          <w:bCs/>
          <w:sz w:val="24"/>
        </w:rPr>
        <w:t>内容</w:t>
      </w:r>
      <w:r w:rsidRPr="00EE5B89">
        <w:rPr>
          <w:rFonts w:ascii="仿宋" w:eastAsia="仿宋" w:hAnsi="仿宋"/>
          <w:bCs/>
          <w:sz w:val="24"/>
        </w:rPr>
        <w:t>如下</w:t>
      </w:r>
      <w:r w:rsidRPr="00EE5B89">
        <w:rPr>
          <w:rFonts w:ascii="仿宋" w:eastAsia="仿宋" w:hAnsi="仿宋" w:hint="eastAsia"/>
          <w:bCs/>
          <w:sz w:val="24"/>
        </w:rPr>
        <w:t>：</w:t>
      </w:r>
    </w:p>
    <w:p w:rsidR="003348B3" w:rsidRPr="00EE5B89" w:rsidRDefault="003348B3" w:rsidP="003348B3">
      <w:pPr>
        <w:pStyle w:val="a5"/>
        <w:spacing w:line="400" w:lineRule="exact"/>
        <w:ind w:firstLine="480"/>
        <w:rPr>
          <w:rFonts w:ascii="仿宋" w:eastAsia="仿宋" w:hAnsi="仿宋"/>
          <w:bCs/>
          <w:sz w:val="24"/>
        </w:rPr>
      </w:pPr>
    </w:p>
    <w:tbl>
      <w:tblPr>
        <w:tblW w:w="700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2551"/>
      </w:tblGrid>
      <w:tr w:rsidR="003348B3" w:rsidRPr="00EE5B89" w:rsidTr="00542697">
        <w:trPr>
          <w:trHeight w:val="633"/>
        </w:trPr>
        <w:tc>
          <w:tcPr>
            <w:tcW w:w="4456" w:type="dxa"/>
            <w:vAlign w:val="center"/>
          </w:tcPr>
          <w:p w:rsidR="003348B3" w:rsidRPr="00EE5B89" w:rsidRDefault="003348B3" w:rsidP="00542697">
            <w:pPr>
              <w:widowControl/>
              <w:spacing w:line="360" w:lineRule="atLeast"/>
              <w:jc w:val="center"/>
              <w:outlineLvl w:val="1"/>
              <w:rPr>
                <w:rFonts w:ascii="仿宋" w:eastAsia="仿宋" w:hAnsi="仿宋"/>
                <w:sz w:val="24"/>
              </w:rPr>
            </w:pPr>
            <w:r w:rsidRPr="00EE5B89">
              <w:rPr>
                <w:rFonts w:ascii="仿宋" w:eastAsia="仿宋" w:hAnsi="仿宋" w:hint="eastAsia"/>
                <w:sz w:val="24"/>
              </w:rPr>
              <w:t>标的名称</w:t>
            </w:r>
          </w:p>
        </w:tc>
        <w:tc>
          <w:tcPr>
            <w:tcW w:w="2551" w:type="dxa"/>
            <w:vAlign w:val="center"/>
          </w:tcPr>
          <w:p w:rsidR="003348B3" w:rsidRPr="00EE5B89" w:rsidRDefault="003348B3" w:rsidP="00542697">
            <w:pPr>
              <w:widowControl/>
              <w:spacing w:line="360" w:lineRule="atLeast"/>
              <w:jc w:val="center"/>
              <w:outlineLvl w:val="1"/>
              <w:rPr>
                <w:rFonts w:ascii="仿宋" w:eastAsia="仿宋" w:hAnsi="仿宋"/>
                <w:sz w:val="24"/>
              </w:rPr>
            </w:pPr>
            <w:r w:rsidRPr="00EE5B89">
              <w:rPr>
                <w:rFonts w:ascii="仿宋" w:eastAsia="仿宋" w:hAnsi="仿宋" w:hint="eastAsia"/>
                <w:sz w:val="24"/>
              </w:rPr>
              <w:t>所属行业</w:t>
            </w:r>
          </w:p>
        </w:tc>
      </w:tr>
      <w:tr w:rsidR="003348B3" w:rsidRPr="00EE5B89" w:rsidTr="00542697">
        <w:trPr>
          <w:trHeight w:val="652"/>
        </w:trPr>
        <w:tc>
          <w:tcPr>
            <w:tcW w:w="4456" w:type="dxa"/>
            <w:vAlign w:val="center"/>
          </w:tcPr>
          <w:p w:rsidR="003348B3" w:rsidRPr="00EE5B89" w:rsidRDefault="003348B3" w:rsidP="00542697">
            <w:pPr>
              <w:widowControl/>
              <w:spacing w:line="360" w:lineRule="atLeast"/>
              <w:ind w:firstLineChars="196" w:firstLine="470"/>
              <w:jc w:val="left"/>
              <w:outlineLvl w:val="1"/>
              <w:rPr>
                <w:rFonts w:ascii="仿宋" w:eastAsia="仿宋" w:hAnsi="仿宋"/>
                <w:sz w:val="24"/>
              </w:rPr>
            </w:pPr>
            <w:r w:rsidRPr="00EE5B89">
              <w:rPr>
                <w:rFonts w:ascii="仿宋" w:eastAsia="仿宋" w:hAnsi="仿宋" w:hint="eastAsia"/>
                <w:bCs/>
                <w:sz w:val="24"/>
              </w:rPr>
              <w:t>生活垃圾转运站环境检测服务</w:t>
            </w:r>
          </w:p>
        </w:tc>
        <w:tc>
          <w:tcPr>
            <w:tcW w:w="2551" w:type="dxa"/>
            <w:vAlign w:val="center"/>
          </w:tcPr>
          <w:p w:rsidR="003348B3" w:rsidRPr="00EE5B89" w:rsidRDefault="003348B3" w:rsidP="00542697">
            <w:pPr>
              <w:widowControl/>
              <w:spacing w:line="360" w:lineRule="atLeast"/>
              <w:ind w:firstLineChars="196" w:firstLine="470"/>
              <w:jc w:val="left"/>
              <w:outlineLvl w:val="1"/>
              <w:rPr>
                <w:rFonts w:ascii="仿宋" w:eastAsia="仿宋" w:hAnsi="仿宋"/>
                <w:sz w:val="24"/>
              </w:rPr>
            </w:pPr>
            <w:r w:rsidRPr="00EE5B89">
              <w:rPr>
                <w:rFonts w:ascii="仿宋" w:eastAsia="仿宋" w:hAnsi="仿宋" w:hint="eastAsia"/>
                <w:bCs/>
                <w:sz w:val="24"/>
              </w:rPr>
              <w:t>其他未列明行业</w:t>
            </w:r>
          </w:p>
        </w:tc>
      </w:tr>
    </w:tbl>
    <w:p w:rsidR="003348B3" w:rsidRPr="00EE5B89" w:rsidRDefault="003348B3" w:rsidP="003348B3">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w:t>
      </w:r>
      <w:r w:rsidRPr="00EE5B89">
        <w:rPr>
          <w:rFonts w:ascii="仿宋" w:eastAsia="仿宋" w:hAnsi="仿宋" w:hint="eastAsia"/>
          <w:sz w:val="24"/>
          <w:szCs w:val="24"/>
        </w:rPr>
        <w:t>二、商务要求</w:t>
      </w:r>
    </w:p>
    <w:p w:rsidR="003348B3" w:rsidRPr="00EE5B89" w:rsidRDefault="003348B3" w:rsidP="003348B3">
      <w:pPr>
        <w:spacing w:line="360" w:lineRule="auto"/>
        <w:rPr>
          <w:rFonts w:ascii="仿宋" w:eastAsia="仿宋" w:hAnsi="仿宋"/>
          <w:sz w:val="24"/>
        </w:rPr>
      </w:pPr>
      <w:r w:rsidRPr="00EE5B89">
        <w:rPr>
          <w:rFonts w:ascii="仿宋" w:eastAsia="仿宋" w:hAnsi="仿宋" w:hint="eastAsia"/>
          <w:sz w:val="24"/>
        </w:rPr>
        <w:t>1、检测点位：金牛区内由采购人所管理的7座生活垃圾转运站。</w:t>
      </w:r>
    </w:p>
    <w:p w:rsidR="003348B3" w:rsidRPr="00EE5B89" w:rsidRDefault="003348B3" w:rsidP="003348B3">
      <w:pPr>
        <w:spacing w:line="360" w:lineRule="auto"/>
        <w:rPr>
          <w:rFonts w:ascii="仿宋" w:eastAsia="仿宋" w:hAnsi="仿宋"/>
          <w:sz w:val="24"/>
        </w:rPr>
      </w:pPr>
      <w:r w:rsidRPr="00EE5B89">
        <w:rPr>
          <w:rFonts w:ascii="仿宋" w:eastAsia="仿宋" w:hAnsi="仿宋" w:hint="eastAsia"/>
          <w:sz w:val="24"/>
        </w:rPr>
        <w:t>2、检测时间：合同签订生效后实施。</w:t>
      </w:r>
    </w:p>
    <w:p w:rsidR="003348B3" w:rsidRPr="00EE5B89" w:rsidRDefault="003348B3" w:rsidP="003348B3">
      <w:pPr>
        <w:spacing w:line="360" w:lineRule="auto"/>
        <w:rPr>
          <w:rFonts w:ascii="仿宋" w:eastAsia="仿宋" w:hAnsi="仿宋"/>
          <w:sz w:val="24"/>
        </w:rPr>
      </w:pPr>
      <w:r w:rsidRPr="00EE5B89">
        <w:rPr>
          <w:rFonts w:ascii="仿宋" w:eastAsia="仿宋" w:hAnsi="仿宋" w:hint="eastAsia"/>
          <w:sz w:val="24"/>
        </w:rPr>
        <w:t>3、服务期限：合同签订生效后一年。</w:t>
      </w:r>
      <w:r>
        <w:rPr>
          <w:rFonts w:ascii="仿宋" w:eastAsia="仿宋" w:hAnsi="仿宋" w:hint="eastAsia"/>
          <w:sz w:val="24"/>
        </w:rPr>
        <w:t xml:space="preserve"> </w:t>
      </w:r>
    </w:p>
    <w:p w:rsidR="003348B3" w:rsidRPr="00EE5B89" w:rsidRDefault="003348B3" w:rsidP="003348B3">
      <w:pPr>
        <w:spacing w:line="360" w:lineRule="auto"/>
        <w:rPr>
          <w:rFonts w:ascii="仿宋" w:eastAsia="仿宋" w:hAnsi="仿宋"/>
          <w:sz w:val="24"/>
        </w:rPr>
      </w:pPr>
      <w:r w:rsidRPr="00EE5B89">
        <w:rPr>
          <w:rFonts w:ascii="仿宋" w:eastAsia="仿宋" w:hAnsi="仿宋" w:hint="eastAsia"/>
          <w:sz w:val="24"/>
        </w:rPr>
        <w:t>4.检测成果：成交供应商按采购人要求的检测频次、检测方法在一个服务年度周期内每个月末或季度末出具书面检测报告，一个服务年度周期届满前45天内出具年度检测汇总报告。</w:t>
      </w:r>
    </w:p>
    <w:p w:rsidR="003348B3" w:rsidRPr="00EE5B89" w:rsidRDefault="003348B3" w:rsidP="003348B3">
      <w:pPr>
        <w:spacing w:line="360" w:lineRule="auto"/>
        <w:rPr>
          <w:rFonts w:ascii="仿宋" w:eastAsia="仿宋" w:hAnsi="仿宋"/>
          <w:sz w:val="24"/>
        </w:rPr>
      </w:pPr>
      <w:r w:rsidRPr="00EE5B89">
        <w:rPr>
          <w:rFonts w:ascii="仿宋" w:eastAsia="仿宋" w:hAnsi="仿宋" w:hint="eastAsia"/>
          <w:sz w:val="24"/>
        </w:rPr>
        <w:t>5、技术指导：针对检测中的异常指标，向采购人提出整改意见，对整改后的异常指标组织复检。</w:t>
      </w:r>
    </w:p>
    <w:p w:rsidR="003348B3" w:rsidRPr="00EE5B89" w:rsidRDefault="003348B3" w:rsidP="003348B3">
      <w:pPr>
        <w:spacing w:line="360" w:lineRule="auto"/>
        <w:rPr>
          <w:rFonts w:ascii="仿宋" w:eastAsia="仿宋" w:hAnsi="仿宋"/>
          <w:sz w:val="24"/>
        </w:rPr>
      </w:pPr>
      <w:r w:rsidRPr="00EE5B89">
        <w:rPr>
          <w:rFonts w:ascii="仿宋" w:eastAsia="仿宋" w:hAnsi="仿宋" w:hint="eastAsia"/>
          <w:sz w:val="24"/>
        </w:rPr>
        <w:t>6、成交供应商自行负责检测人员人身及检测设施财产安全防护工作，检测过程中若发生检测人员人身及检测设施财产安全事故与采购人无关。</w:t>
      </w:r>
    </w:p>
    <w:p w:rsidR="003348B3" w:rsidRPr="00EE5B89" w:rsidRDefault="003348B3" w:rsidP="003348B3">
      <w:pPr>
        <w:spacing w:line="360" w:lineRule="auto"/>
        <w:rPr>
          <w:rFonts w:ascii="仿宋" w:eastAsia="仿宋" w:hAnsi="仿宋"/>
          <w:sz w:val="24"/>
        </w:rPr>
      </w:pPr>
      <w:r w:rsidRPr="00EE5B89">
        <w:rPr>
          <w:rFonts w:ascii="仿宋" w:eastAsia="仿宋" w:hAnsi="仿宋" w:hint="eastAsia"/>
          <w:sz w:val="24"/>
        </w:rPr>
        <w:t>7、资料保密：成交供应商应当保守被检测单位的商业机密和其他秘密，对故意泄漏被检测单位商业机密的成交供应商，一经发现</w:t>
      </w:r>
      <w:r>
        <w:rPr>
          <w:rFonts w:ascii="仿宋" w:eastAsia="仿宋" w:hAnsi="仿宋" w:hint="eastAsia"/>
          <w:sz w:val="24"/>
        </w:rPr>
        <w:t>终止采购合同</w:t>
      </w:r>
      <w:r w:rsidRPr="00EE5B89">
        <w:rPr>
          <w:rFonts w:ascii="仿宋" w:eastAsia="仿宋" w:hAnsi="仿宋" w:hint="eastAsia"/>
          <w:sz w:val="24"/>
        </w:rPr>
        <w:t>。</w:t>
      </w:r>
    </w:p>
    <w:p w:rsidR="003348B3" w:rsidRPr="00EE5B89" w:rsidRDefault="003348B3" w:rsidP="003348B3">
      <w:pPr>
        <w:pStyle w:val="2"/>
        <w:spacing w:line="400" w:lineRule="exact"/>
        <w:ind w:firstLineChars="98" w:firstLine="236"/>
        <w:rPr>
          <w:rFonts w:ascii="仿宋" w:eastAsia="仿宋" w:hAnsi="仿宋"/>
          <w:b w:val="0"/>
          <w:sz w:val="24"/>
          <w:szCs w:val="24"/>
        </w:rPr>
      </w:pPr>
      <w:r w:rsidRPr="00EE5B89">
        <w:rPr>
          <w:rFonts w:ascii="仿宋" w:eastAsia="仿宋" w:hAnsi="仿宋" w:hint="eastAsia"/>
          <w:sz w:val="24"/>
          <w:szCs w:val="24"/>
        </w:rPr>
        <w:t>三</w:t>
      </w:r>
      <w:r w:rsidRPr="00EE5B89">
        <w:rPr>
          <w:rFonts w:ascii="仿宋" w:eastAsia="仿宋" w:hAnsi="仿宋"/>
          <w:sz w:val="24"/>
          <w:szCs w:val="24"/>
        </w:rPr>
        <w:t>、</w:t>
      </w:r>
      <w:r w:rsidRPr="00EE5B89">
        <w:rPr>
          <w:rFonts w:ascii="仿宋" w:eastAsia="仿宋" w:hAnsi="仿宋" w:hint="eastAsia"/>
          <w:sz w:val="24"/>
          <w:szCs w:val="24"/>
        </w:rPr>
        <w:t>技术服务</w:t>
      </w:r>
      <w:r w:rsidRPr="00A71949">
        <w:rPr>
          <w:rFonts w:ascii="仿宋" w:eastAsia="仿宋" w:hAnsi="仿宋" w:hint="eastAsia"/>
          <w:sz w:val="24"/>
          <w:szCs w:val="24"/>
        </w:rPr>
        <w:t>要求</w:t>
      </w:r>
    </w:p>
    <w:p w:rsidR="003348B3" w:rsidRPr="00EE5B89" w:rsidRDefault="003348B3" w:rsidP="003348B3">
      <w:pPr>
        <w:pStyle w:val="a6"/>
        <w:spacing w:line="440" w:lineRule="exact"/>
        <w:ind w:firstLineChars="100" w:firstLine="241"/>
        <w:jc w:val="left"/>
        <w:textAlignment w:val="center"/>
        <w:rPr>
          <w:rFonts w:ascii="仿宋" w:eastAsia="仿宋" w:hAnsi="仿宋"/>
          <w:b/>
          <w:bCs/>
          <w:sz w:val="24"/>
          <w:szCs w:val="24"/>
        </w:rPr>
      </w:pPr>
      <w:r w:rsidRPr="00EE5B89">
        <w:rPr>
          <w:rFonts w:ascii="仿宋" w:eastAsia="仿宋" w:hAnsi="仿宋" w:hint="eastAsia"/>
          <w:b/>
          <w:bCs/>
          <w:sz w:val="24"/>
          <w:szCs w:val="24"/>
        </w:rPr>
        <w:t>（一）.项目检测内容</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2825"/>
        <w:gridCol w:w="2502"/>
        <w:gridCol w:w="2233"/>
      </w:tblGrid>
      <w:tr w:rsidR="003348B3" w:rsidRPr="00EE5B89" w:rsidTr="00542697">
        <w:trPr>
          <w:trHeight w:val="595"/>
          <w:jc w:val="center"/>
        </w:trPr>
        <w:tc>
          <w:tcPr>
            <w:tcW w:w="793" w:type="dxa"/>
            <w:vAlign w:val="center"/>
          </w:tcPr>
          <w:p w:rsidR="003348B3" w:rsidRPr="00EE5B89" w:rsidRDefault="003348B3" w:rsidP="00542697">
            <w:pPr>
              <w:spacing w:line="500" w:lineRule="exact"/>
              <w:jc w:val="center"/>
              <w:rPr>
                <w:rFonts w:ascii="仿宋" w:eastAsia="仿宋" w:hAnsi="仿宋" w:cs="方正黑体_GBK"/>
                <w:bCs/>
                <w:sz w:val="24"/>
              </w:rPr>
            </w:pPr>
            <w:r w:rsidRPr="00EE5B89">
              <w:rPr>
                <w:rFonts w:ascii="仿宋" w:eastAsia="仿宋" w:hAnsi="仿宋" w:cs="方正黑体_GBK" w:hint="eastAsia"/>
                <w:bCs/>
                <w:sz w:val="24"/>
              </w:rPr>
              <w:t>序号</w:t>
            </w:r>
          </w:p>
        </w:tc>
        <w:tc>
          <w:tcPr>
            <w:tcW w:w="2825" w:type="dxa"/>
            <w:vAlign w:val="center"/>
          </w:tcPr>
          <w:p w:rsidR="003348B3" w:rsidRPr="00EE5B89" w:rsidRDefault="003348B3" w:rsidP="00542697">
            <w:pPr>
              <w:spacing w:line="500" w:lineRule="exact"/>
              <w:jc w:val="center"/>
              <w:rPr>
                <w:rFonts w:ascii="仿宋" w:eastAsia="仿宋" w:hAnsi="仿宋" w:cs="方正黑体_GBK"/>
                <w:bCs/>
                <w:sz w:val="24"/>
              </w:rPr>
            </w:pPr>
            <w:r w:rsidRPr="00EE5B89">
              <w:rPr>
                <w:rFonts w:ascii="仿宋" w:eastAsia="仿宋" w:hAnsi="仿宋" w:cs="方正黑体_GBK" w:hint="eastAsia"/>
                <w:bCs/>
                <w:sz w:val="24"/>
              </w:rPr>
              <w:t>监测项目</w:t>
            </w:r>
          </w:p>
        </w:tc>
        <w:tc>
          <w:tcPr>
            <w:tcW w:w="2502" w:type="dxa"/>
            <w:vAlign w:val="center"/>
          </w:tcPr>
          <w:p w:rsidR="003348B3" w:rsidRPr="00EE5B89" w:rsidRDefault="003348B3" w:rsidP="00542697">
            <w:pPr>
              <w:spacing w:line="500" w:lineRule="exact"/>
              <w:jc w:val="center"/>
              <w:rPr>
                <w:rFonts w:ascii="仿宋" w:eastAsia="仿宋" w:hAnsi="仿宋" w:cs="方正黑体_GBK"/>
                <w:bCs/>
                <w:sz w:val="24"/>
              </w:rPr>
            </w:pPr>
            <w:r w:rsidRPr="00EE5B89">
              <w:rPr>
                <w:rFonts w:ascii="仿宋" w:eastAsia="仿宋" w:hAnsi="仿宋" w:cs="方正黑体_GBK" w:hint="eastAsia"/>
                <w:bCs/>
                <w:sz w:val="24"/>
              </w:rPr>
              <w:t>监测点位</w:t>
            </w:r>
          </w:p>
        </w:tc>
        <w:tc>
          <w:tcPr>
            <w:tcW w:w="2233" w:type="dxa"/>
            <w:vAlign w:val="center"/>
          </w:tcPr>
          <w:p w:rsidR="003348B3" w:rsidRPr="00EE5B89" w:rsidRDefault="003348B3" w:rsidP="00542697">
            <w:pPr>
              <w:spacing w:line="500" w:lineRule="exact"/>
              <w:jc w:val="center"/>
              <w:rPr>
                <w:rFonts w:ascii="仿宋" w:eastAsia="仿宋" w:hAnsi="仿宋" w:cs="方正黑体_GBK"/>
                <w:bCs/>
                <w:sz w:val="24"/>
              </w:rPr>
            </w:pPr>
            <w:r w:rsidRPr="00EE5B89">
              <w:rPr>
                <w:rFonts w:ascii="仿宋" w:eastAsia="仿宋" w:hAnsi="仿宋" w:cs="方正黑体_GBK" w:hint="eastAsia"/>
                <w:bCs/>
                <w:sz w:val="24"/>
              </w:rPr>
              <w:t>监测频次</w:t>
            </w:r>
          </w:p>
        </w:tc>
      </w:tr>
      <w:tr w:rsidR="003348B3" w:rsidRPr="00EE5B89" w:rsidTr="00542697">
        <w:trPr>
          <w:trHeight w:val="595"/>
          <w:jc w:val="center"/>
        </w:trPr>
        <w:tc>
          <w:tcPr>
            <w:tcW w:w="8353" w:type="dxa"/>
            <w:gridSpan w:val="4"/>
            <w:vAlign w:val="center"/>
          </w:tcPr>
          <w:p w:rsidR="003348B3" w:rsidRPr="00EE5B89" w:rsidRDefault="003348B3" w:rsidP="00542697">
            <w:pPr>
              <w:spacing w:line="500" w:lineRule="exact"/>
              <w:jc w:val="center"/>
              <w:rPr>
                <w:rFonts w:ascii="仿宋" w:eastAsia="仿宋" w:hAnsi="仿宋" w:cs="方正仿宋_GBK"/>
                <w:b/>
                <w:sz w:val="24"/>
              </w:rPr>
            </w:pPr>
            <w:r w:rsidRPr="00EE5B89">
              <w:rPr>
                <w:rFonts w:ascii="仿宋" w:eastAsia="仿宋" w:hAnsi="仿宋" w:cs="方正仿宋_GBK" w:hint="eastAsia"/>
                <w:b/>
                <w:sz w:val="24"/>
              </w:rPr>
              <w:t>污水监测</w:t>
            </w:r>
          </w:p>
        </w:tc>
      </w:tr>
      <w:tr w:rsidR="003348B3" w:rsidRPr="00EE5B89" w:rsidTr="00542697">
        <w:trPr>
          <w:trHeight w:val="550"/>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PH</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9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lastRenderedPageBreak/>
              <w:t>2</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化学需氧量（COD）</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50"/>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3</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五日生化需氧量（BOD5）</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80"/>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4</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悬浮物（SS）</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5</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动植物油类</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6</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氨氮</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6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7</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总磷</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6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8</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总氮</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污水总排口</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6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9</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总汞</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渗沥液处理设施排口</w:t>
            </w:r>
          </w:p>
        </w:tc>
        <w:tc>
          <w:tcPr>
            <w:tcW w:w="2233" w:type="dxa"/>
          </w:tcPr>
          <w:p w:rsidR="003348B3" w:rsidRPr="00EE5B89" w:rsidRDefault="003348B3" w:rsidP="00542697">
            <w:pPr>
              <w:spacing w:line="500" w:lineRule="exact"/>
              <w:jc w:val="center"/>
              <w:rPr>
                <w:rFonts w:ascii="仿宋" w:eastAsia="仿宋" w:hAnsi="仿宋" w:cs="方正仿宋_GBK"/>
                <w:sz w:val="24"/>
              </w:rPr>
            </w:pPr>
            <w:r w:rsidRPr="00A71949">
              <w:rPr>
                <w:rFonts w:ascii="仿宋" w:eastAsia="仿宋" w:hAnsi="仿宋" w:cs="方正仿宋_GBK" w:hint="eastAsia"/>
                <w:sz w:val="24"/>
              </w:rPr>
              <w:t>每季度</w:t>
            </w:r>
            <w:r w:rsidRPr="00EE5B89">
              <w:rPr>
                <w:rFonts w:ascii="仿宋" w:eastAsia="仿宋" w:hAnsi="仿宋" w:cs="方正仿宋_GBK" w:hint="eastAsia"/>
                <w:sz w:val="24"/>
              </w:rPr>
              <w:t>一次</w:t>
            </w:r>
          </w:p>
        </w:tc>
      </w:tr>
      <w:tr w:rsidR="003348B3" w:rsidRPr="00EE5B89" w:rsidTr="00542697">
        <w:trPr>
          <w:trHeight w:val="56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10</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总镉</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渗沥液处理设施排口</w:t>
            </w:r>
          </w:p>
        </w:tc>
        <w:tc>
          <w:tcPr>
            <w:tcW w:w="2233" w:type="dxa"/>
          </w:tcPr>
          <w:p w:rsidR="003348B3" w:rsidRPr="00EE5B89" w:rsidRDefault="003348B3" w:rsidP="00542697">
            <w:pPr>
              <w:spacing w:line="500" w:lineRule="exact"/>
              <w:jc w:val="center"/>
              <w:rPr>
                <w:rFonts w:ascii="仿宋" w:eastAsia="仿宋" w:hAnsi="仿宋" w:cs="方正仿宋_GBK"/>
                <w:sz w:val="24"/>
              </w:rPr>
            </w:pPr>
            <w:r w:rsidRPr="00A71949">
              <w:rPr>
                <w:rFonts w:ascii="仿宋" w:eastAsia="仿宋" w:hAnsi="仿宋" w:cs="方正仿宋_GBK" w:hint="eastAsia"/>
                <w:sz w:val="24"/>
              </w:rPr>
              <w:t>每季度</w:t>
            </w:r>
            <w:r w:rsidRPr="00EE5B89">
              <w:rPr>
                <w:rFonts w:ascii="仿宋" w:eastAsia="仿宋" w:hAnsi="仿宋" w:cs="方正仿宋_GBK" w:hint="eastAsia"/>
                <w:sz w:val="24"/>
              </w:rPr>
              <w:t>一次</w:t>
            </w:r>
          </w:p>
        </w:tc>
      </w:tr>
      <w:tr w:rsidR="003348B3" w:rsidRPr="00EE5B89" w:rsidTr="00542697">
        <w:trPr>
          <w:trHeight w:val="59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11</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总铬</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渗沥液处理设施排口</w:t>
            </w:r>
          </w:p>
        </w:tc>
        <w:tc>
          <w:tcPr>
            <w:tcW w:w="2233" w:type="dxa"/>
          </w:tcPr>
          <w:p w:rsidR="003348B3" w:rsidRPr="00EE5B89" w:rsidRDefault="003348B3" w:rsidP="00542697">
            <w:pPr>
              <w:spacing w:line="500" w:lineRule="exact"/>
              <w:jc w:val="center"/>
              <w:rPr>
                <w:rFonts w:ascii="仿宋" w:eastAsia="仿宋" w:hAnsi="仿宋" w:cs="方正仿宋_GBK"/>
                <w:sz w:val="24"/>
              </w:rPr>
            </w:pPr>
            <w:r w:rsidRPr="00A71949">
              <w:rPr>
                <w:rFonts w:ascii="仿宋" w:eastAsia="仿宋" w:hAnsi="仿宋" w:cs="方正仿宋_GBK" w:hint="eastAsia"/>
                <w:sz w:val="24"/>
              </w:rPr>
              <w:t>每季度</w:t>
            </w:r>
            <w:r w:rsidRPr="00EE5B89">
              <w:rPr>
                <w:rFonts w:ascii="仿宋" w:eastAsia="仿宋" w:hAnsi="仿宋" w:cs="方正仿宋_GBK" w:hint="eastAsia"/>
                <w:sz w:val="24"/>
              </w:rPr>
              <w:t>一次</w:t>
            </w:r>
          </w:p>
        </w:tc>
      </w:tr>
      <w:tr w:rsidR="003348B3" w:rsidRPr="00EE5B89" w:rsidTr="00542697">
        <w:trPr>
          <w:trHeight w:val="59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12</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六价铬</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渗沥液处理设施排口</w:t>
            </w:r>
          </w:p>
        </w:tc>
        <w:tc>
          <w:tcPr>
            <w:tcW w:w="2233" w:type="dxa"/>
          </w:tcPr>
          <w:p w:rsidR="003348B3" w:rsidRPr="00EE5B89" w:rsidRDefault="003348B3" w:rsidP="00542697">
            <w:pPr>
              <w:spacing w:line="500" w:lineRule="exact"/>
              <w:jc w:val="center"/>
              <w:rPr>
                <w:rFonts w:ascii="仿宋" w:eastAsia="仿宋" w:hAnsi="仿宋" w:cs="方正仿宋_GBK"/>
                <w:sz w:val="24"/>
              </w:rPr>
            </w:pPr>
            <w:r w:rsidRPr="00A71949">
              <w:rPr>
                <w:rFonts w:ascii="仿宋" w:eastAsia="仿宋" w:hAnsi="仿宋" w:cs="方正仿宋_GBK" w:hint="eastAsia"/>
                <w:sz w:val="24"/>
              </w:rPr>
              <w:t>每季度</w:t>
            </w:r>
            <w:r w:rsidRPr="00EE5B89">
              <w:rPr>
                <w:rFonts w:ascii="仿宋" w:eastAsia="仿宋" w:hAnsi="仿宋" w:cs="方正仿宋_GBK" w:hint="eastAsia"/>
                <w:sz w:val="24"/>
              </w:rPr>
              <w:t>一次</w:t>
            </w:r>
          </w:p>
        </w:tc>
      </w:tr>
      <w:tr w:rsidR="003348B3" w:rsidRPr="00EE5B89" w:rsidTr="00542697">
        <w:trPr>
          <w:trHeight w:val="56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13</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总砷</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渗沥液处理设施排口</w:t>
            </w:r>
          </w:p>
        </w:tc>
        <w:tc>
          <w:tcPr>
            <w:tcW w:w="2233" w:type="dxa"/>
          </w:tcPr>
          <w:p w:rsidR="003348B3" w:rsidRPr="00EE5B89" w:rsidRDefault="003348B3" w:rsidP="00542697">
            <w:pPr>
              <w:spacing w:line="500" w:lineRule="exact"/>
              <w:jc w:val="center"/>
              <w:rPr>
                <w:rFonts w:ascii="仿宋" w:eastAsia="仿宋" w:hAnsi="仿宋" w:cs="方正仿宋_GBK"/>
                <w:sz w:val="24"/>
              </w:rPr>
            </w:pPr>
            <w:r w:rsidRPr="00A71949">
              <w:rPr>
                <w:rFonts w:ascii="仿宋" w:eastAsia="仿宋" w:hAnsi="仿宋" w:cs="方正仿宋_GBK" w:hint="eastAsia"/>
                <w:sz w:val="24"/>
              </w:rPr>
              <w:t>每季度</w:t>
            </w:r>
            <w:r w:rsidRPr="00EE5B89">
              <w:rPr>
                <w:rFonts w:ascii="仿宋" w:eastAsia="仿宋" w:hAnsi="仿宋" w:cs="方正仿宋_GBK" w:hint="eastAsia"/>
                <w:sz w:val="24"/>
              </w:rPr>
              <w:t>一次</w:t>
            </w:r>
          </w:p>
        </w:tc>
      </w:tr>
      <w:tr w:rsidR="003348B3" w:rsidRPr="00EE5B89" w:rsidTr="00542697">
        <w:trPr>
          <w:trHeight w:val="50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14</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总铅</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渗沥液处理设施排口</w:t>
            </w:r>
          </w:p>
        </w:tc>
        <w:tc>
          <w:tcPr>
            <w:tcW w:w="2233" w:type="dxa"/>
          </w:tcPr>
          <w:p w:rsidR="003348B3" w:rsidRPr="00EE5B89" w:rsidRDefault="003348B3" w:rsidP="00542697">
            <w:pPr>
              <w:spacing w:line="500" w:lineRule="exact"/>
              <w:jc w:val="center"/>
              <w:rPr>
                <w:rFonts w:ascii="仿宋" w:eastAsia="仿宋" w:hAnsi="仿宋" w:cs="方正仿宋_GBK"/>
                <w:sz w:val="24"/>
              </w:rPr>
            </w:pPr>
            <w:r w:rsidRPr="00A71949">
              <w:rPr>
                <w:rFonts w:ascii="仿宋" w:eastAsia="仿宋" w:hAnsi="仿宋" w:cs="方正仿宋_GBK" w:hint="eastAsia"/>
                <w:sz w:val="24"/>
              </w:rPr>
              <w:t>每季度</w:t>
            </w:r>
            <w:r w:rsidRPr="00EE5B89">
              <w:rPr>
                <w:rFonts w:ascii="仿宋" w:eastAsia="仿宋" w:hAnsi="仿宋" w:cs="方正仿宋_GBK" w:hint="eastAsia"/>
                <w:sz w:val="24"/>
              </w:rPr>
              <w:t>一次</w:t>
            </w:r>
          </w:p>
        </w:tc>
      </w:tr>
      <w:tr w:rsidR="003348B3" w:rsidRPr="00EE5B89" w:rsidTr="00542697">
        <w:trPr>
          <w:trHeight w:val="535"/>
          <w:jc w:val="center"/>
        </w:trPr>
        <w:tc>
          <w:tcPr>
            <w:tcW w:w="8353" w:type="dxa"/>
            <w:gridSpan w:val="4"/>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b/>
                <w:sz w:val="24"/>
              </w:rPr>
              <w:t>恶臭监测</w:t>
            </w:r>
          </w:p>
        </w:tc>
      </w:tr>
      <w:tr w:rsidR="003348B3" w:rsidRPr="00EE5B89" w:rsidTr="00542697">
        <w:trPr>
          <w:trHeight w:val="550"/>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氨</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废气排放口和厂界</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6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2</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硫化氢</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废气排放口和厂界</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9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3</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甲硫醇</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废气排放口和厂界</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80"/>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4</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臭气浓度（无量纲）</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废气排放口和厂界</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95"/>
          <w:jc w:val="center"/>
        </w:trPr>
        <w:tc>
          <w:tcPr>
            <w:tcW w:w="8353" w:type="dxa"/>
            <w:gridSpan w:val="4"/>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b/>
                <w:sz w:val="24"/>
              </w:rPr>
              <w:t>粉尘监测</w:t>
            </w:r>
          </w:p>
        </w:tc>
      </w:tr>
      <w:tr w:rsidR="003348B3" w:rsidRPr="00EE5B89" w:rsidTr="00542697">
        <w:trPr>
          <w:trHeight w:val="565"/>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颗粒物</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厂界</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615"/>
          <w:jc w:val="center"/>
        </w:trPr>
        <w:tc>
          <w:tcPr>
            <w:tcW w:w="8353" w:type="dxa"/>
            <w:gridSpan w:val="4"/>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b/>
                <w:sz w:val="24"/>
              </w:rPr>
              <w:t>噪音监测</w:t>
            </w:r>
          </w:p>
        </w:tc>
      </w:tr>
      <w:tr w:rsidR="003348B3" w:rsidRPr="00EE5B89" w:rsidTr="00542697">
        <w:trPr>
          <w:trHeight w:val="590"/>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厂界噪音</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厂界</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每季度一次</w:t>
            </w:r>
          </w:p>
        </w:tc>
      </w:tr>
      <w:tr w:rsidR="003348B3" w:rsidRPr="00EE5B89" w:rsidTr="00542697">
        <w:trPr>
          <w:trHeight w:val="590"/>
          <w:jc w:val="center"/>
        </w:trPr>
        <w:tc>
          <w:tcPr>
            <w:tcW w:w="8353" w:type="dxa"/>
            <w:gridSpan w:val="4"/>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苍蝇密度</w:t>
            </w:r>
          </w:p>
        </w:tc>
      </w:tr>
      <w:tr w:rsidR="003348B3" w:rsidRPr="00EE5B89" w:rsidTr="00542697">
        <w:trPr>
          <w:trHeight w:val="590"/>
          <w:jc w:val="center"/>
        </w:trPr>
        <w:tc>
          <w:tcPr>
            <w:tcW w:w="79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1</w:t>
            </w:r>
          </w:p>
        </w:tc>
        <w:tc>
          <w:tcPr>
            <w:tcW w:w="2825"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苍蝇密度</w:t>
            </w:r>
          </w:p>
        </w:tc>
        <w:tc>
          <w:tcPr>
            <w:tcW w:w="2502"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站内</w:t>
            </w:r>
          </w:p>
        </w:tc>
        <w:tc>
          <w:tcPr>
            <w:tcW w:w="2233" w:type="dxa"/>
            <w:vAlign w:val="center"/>
          </w:tcPr>
          <w:p w:rsidR="003348B3" w:rsidRPr="00EE5B89" w:rsidRDefault="003348B3" w:rsidP="00542697">
            <w:pPr>
              <w:spacing w:line="500" w:lineRule="exact"/>
              <w:jc w:val="center"/>
              <w:rPr>
                <w:rFonts w:ascii="仿宋" w:eastAsia="仿宋" w:hAnsi="仿宋" w:cs="方正仿宋_GBK"/>
                <w:sz w:val="24"/>
              </w:rPr>
            </w:pPr>
            <w:r w:rsidRPr="00EE5B89">
              <w:rPr>
                <w:rFonts w:ascii="仿宋" w:eastAsia="仿宋" w:hAnsi="仿宋" w:cs="方正仿宋_GBK" w:hint="eastAsia"/>
                <w:sz w:val="24"/>
              </w:rPr>
              <w:t>4--10月每月一次</w:t>
            </w:r>
          </w:p>
        </w:tc>
      </w:tr>
    </w:tbl>
    <w:p w:rsidR="003348B3" w:rsidRDefault="003348B3" w:rsidP="003348B3">
      <w:pPr>
        <w:spacing w:line="360" w:lineRule="auto"/>
        <w:ind w:firstLineChars="250" w:firstLine="602"/>
        <w:rPr>
          <w:rFonts w:ascii="仿宋" w:eastAsia="仿宋" w:hAnsi="仿宋" w:cs="宋体"/>
          <w:b/>
          <w:bCs/>
          <w:sz w:val="24"/>
          <w:lang w:val="zh-CN"/>
        </w:rPr>
      </w:pPr>
      <w:r>
        <w:rPr>
          <w:rFonts w:ascii="仿宋" w:eastAsia="仿宋" w:hAnsi="仿宋" w:cs="宋体" w:hint="eastAsia"/>
          <w:b/>
          <w:bCs/>
          <w:sz w:val="24"/>
          <w:lang w:val="zh-CN"/>
        </w:rPr>
        <w:t>其他要求</w:t>
      </w:r>
      <w:r w:rsidRPr="00EE5B89">
        <w:rPr>
          <w:rFonts w:ascii="仿宋" w:eastAsia="仿宋" w:hAnsi="仿宋" w:cs="宋体" w:hint="eastAsia"/>
          <w:b/>
          <w:bCs/>
          <w:sz w:val="24"/>
          <w:lang w:val="zh-CN"/>
        </w:rPr>
        <w:t>：</w:t>
      </w:r>
    </w:p>
    <w:p w:rsidR="003348B3" w:rsidRDefault="003348B3" w:rsidP="003348B3">
      <w:pPr>
        <w:spacing w:line="360" w:lineRule="auto"/>
        <w:ind w:firstLineChars="250" w:firstLine="600"/>
        <w:rPr>
          <w:rFonts w:ascii="仿宋" w:eastAsia="仿宋" w:hAnsi="仿宋" w:cs="宋体"/>
          <w:sz w:val="24"/>
        </w:rPr>
      </w:pPr>
      <w:r w:rsidRPr="00EE5B89">
        <w:rPr>
          <w:rFonts w:ascii="仿宋" w:eastAsia="仿宋" w:hAnsi="仿宋" w:cs="宋体" w:hint="eastAsia"/>
          <w:sz w:val="24"/>
        </w:rPr>
        <w:t>1.当属地生态环境主管部门或项目环境影响评价报告（表）载明监测项目和监测频次高于本表的，应按属地生态环境主管部门或项目环境影响评价的要求执行。</w:t>
      </w:r>
    </w:p>
    <w:p w:rsidR="003348B3" w:rsidRPr="00EE5B89" w:rsidRDefault="003348B3" w:rsidP="003348B3">
      <w:pPr>
        <w:spacing w:line="360" w:lineRule="auto"/>
        <w:ind w:firstLineChars="250" w:firstLine="600"/>
        <w:rPr>
          <w:rFonts w:ascii="仿宋" w:eastAsia="仿宋" w:hAnsi="仿宋" w:cs="宋体"/>
          <w:sz w:val="24"/>
        </w:rPr>
      </w:pPr>
      <w:r w:rsidRPr="00EE5B89">
        <w:rPr>
          <w:rFonts w:ascii="仿宋" w:eastAsia="仿宋" w:hAnsi="仿宋" w:cs="宋体" w:hint="eastAsia"/>
          <w:sz w:val="24"/>
        </w:rPr>
        <w:t>2.</w:t>
      </w:r>
      <w:r w:rsidRPr="00EE5B89">
        <w:rPr>
          <w:rFonts w:ascii="仿宋" w:eastAsia="仿宋" w:hAnsi="仿宋" w:cs="宋体" w:hint="eastAsia"/>
          <w:sz w:val="24"/>
          <w:lang w:val="zh-CN"/>
        </w:rPr>
        <w:t>恶臭监测每年7、8、9月产污强度较高时，</w:t>
      </w:r>
      <w:r w:rsidRPr="00EE5B89">
        <w:rPr>
          <w:rFonts w:ascii="仿宋" w:eastAsia="仿宋" w:hAnsi="仿宋" w:cs="宋体" w:hint="eastAsia"/>
          <w:sz w:val="24"/>
        </w:rPr>
        <w:t>每月检测一次。</w:t>
      </w:r>
    </w:p>
    <w:p w:rsidR="003348B3" w:rsidRPr="00EE5B89" w:rsidRDefault="003348B3" w:rsidP="003348B3">
      <w:pPr>
        <w:pStyle w:val="a6"/>
        <w:spacing w:line="440" w:lineRule="exact"/>
        <w:ind w:firstLineChars="100" w:firstLine="241"/>
        <w:jc w:val="left"/>
        <w:textAlignment w:val="center"/>
        <w:rPr>
          <w:rFonts w:ascii="仿宋" w:eastAsia="仿宋" w:hAnsi="仿宋"/>
          <w:b/>
          <w:bCs/>
          <w:sz w:val="24"/>
          <w:szCs w:val="24"/>
        </w:rPr>
      </w:pPr>
      <w:r w:rsidRPr="00EE5B89">
        <w:rPr>
          <w:rFonts w:ascii="仿宋" w:eastAsia="仿宋" w:hAnsi="仿宋" w:hint="eastAsia"/>
          <w:b/>
          <w:bCs/>
          <w:sz w:val="24"/>
          <w:szCs w:val="24"/>
        </w:rPr>
        <w:t>（二）.技术检测方法及标准</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025"/>
        <w:gridCol w:w="3907"/>
      </w:tblGrid>
      <w:tr w:rsidR="003348B3" w:rsidRPr="00EE5B89" w:rsidTr="00542697">
        <w:trPr>
          <w:trHeight w:val="616"/>
          <w:jc w:val="center"/>
        </w:trPr>
        <w:tc>
          <w:tcPr>
            <w:tcW w:w="867" w:type="dxa"/>
            <w:noWrap/>
            <w:vAlign w:val="center"/>
          </w:tcPr>
          <w:p w:rsidR="003348B3" w:rsidRPr="00EE5B89" w:rsidRDefault="003348B3" w:rsidP="00542697">
            <w:pPr>
              <w:spacing w:line="500" w:lineRule="exact"/>
              <w:jc w:val="center"/>
              <w:rPr>
                <w:rFonts w:ascii="仿宋" w:eastAsia="仿宋" w:hAnsi="仿宋"/>
                <w:bCs/>
                <w:sz w:val="24"/>
              </w:rPr>
            </w:pPr>
            <w:r w:rsidRPr="00EE5B89">
              <w:rPr>
                <w:rFonts w:ascii="仿宋" w:eastAsia="仿宋" w:hAnsi="仿宋"/>
                <w:bCs/>
                <w:sz w:val="24"/>
              </w:rPr>
              <w:t>序号</w:t>
            </w:r>
          </w:p>
        </w:tc>
        <w:tc>
          <w:tcPr>
            <w:tcW w:w="2025" w:type="dxa"/>
            <w:noWrap/>
            <w:vAlign w:val="center"/>
          </w:tcPr>
          <w:p w:rsidR="003348B3" w:rsidRPr="00EE5B89" w:rsidRDefault="003348B3" w:rsidP="00542697">
            <w:pPr>
              <w:spacing w:line="500" w:lineRule="exact"/>
              <w:jc w:val="center"/>
              <w:rPr>
                <w:rFonts w:ascii="仿宋" w:eastAsia="仿宋" w:hAnsi="仿宋"/>
                <w:bCs/>
                <w:sz w:val="24"/>
              </w:rPr>
            </w:pPr>
            <w:r w:rsidRPr="00EE5B89">
              <w:rPr>
                <w:rFonts w:ascii="仿宋" w:eastAsia="仿宋" w:hAnsi="仿宋"/>
                <w:bCs/>
                <w:sz w:val="24"/>
              </w:rPr>
              <w:t>污染物项目</w:t>
            </w:r>
          </w:p>
        </w:tc>
        <w:tc>
          <w:tcPr>
            <w:tcW w:w="3907" w:type="dxa"/>
            <w:noWrap/>
            <w:vAlign w:val="center"/>
          </w:tcPr>
          <w:p w:rsidR="003348B3" w:rsidRPr="00EE5B89" w:rsidRDefault="003348B3" w:rsidP="00542697">
            <w:pPr>
              <w:spacing w:line="500" w:lineRule="exact"/>
              <w:jc w:val="center"/>
              <w:rPr>
                <w:rFonts w:ascii="仿宋" w:eastAsia="仿宋" w:hAnsi="仿宋"/>
                <w:bCs/>
                <w:sz w:val="24"/>
              </w:rPr>
            </w:pPr>
            <w:r w:rsidRPr="00EE5B89">
              <w:rPr>
                <w:rFonts w:ascii="仿宋" w:eastAsia="仿宋" w:hAnsi="仿宋"/>
                <w:bCs/>
                <w:sz w:val="24"/>
              </w:rPr>
              <w:t>检测方法名称</w:t>
            </w:r>
          </w:p>
        </w:tc>
      </w:tr>
      <w:tr w:rsidR="003348B3" w:rsidRPr="00EE5B89" w:rsidTr="00542697">
        <w:trPr>
          <w:trHeight w:val="546"/>
          <w:jc w:val="center"/>
        </w:trPr>
        <w:tc>
          <w:tcPr>
            <w:tcW w:w="6799" w:type="dxa"/>
            <w:gridSpan w:val="3"/>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hint="eastAsia"/>
                <w:b/>
                <w:bCs/>
                <w:sz w:val="24"/>
              </w:rPr>
              <w:t>污水检测</w:t>
            </w:r>
          </w:p>
        </w:tc>
      </w:tr>
      <w:tr w:rsidR="003348B3" w:rsidRPr="00EE5B89" w:rsidTr="00542697">
        <w:trPr>
          <w:trHeight w:val="546"/>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1</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PH</w:t>
            </w:r>
          </w:p>
        </w:tc>
        <w:tc>
          <w:tcPr>
            <w:tcW w:w="390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玻璃电极法</w:t>
            </w:r>
          </w:p>
        </w:tc>
      </w:tr>
      <w:tr w:rsidR="003348B3" w:rsidRPr="00EE5B89" w:rsidTr="00542697">
        <w:trPr>
          <w:trHeight w:val="561"/>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500" w:lineRule="exact"/>
              <w:jc w:val="center"/>
              <w:rPr>
                <w:rFonts w:ascii="仿宋" w:eastAsia="仿宋" w:hAnsi="仿宋"/>
                <w:sz w:val="24"/>
              </w:rPr>
            </w:pPr>
          </w:p>
        </w:tc>
      </w:tr>
      <w:tr w:rsidR="003348B3" w:rsidRPr="00EE5B89" w:rsidTr="00542697">
        <w:trPr>
          <w:trHeight w:val="610"/>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2</w:t>
            </w:r>
          </w:p>
        </w:tc>
        <w:tc>
          <w:tcPr>
            <w:tcW w:w="2025"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化学需氧量（COD）</w:t>
            </w:r>
          </w:p>
        </w:tc>
        <w:tc>
          <w:tcPr>
            <w:tcW w:w="3907" w:type="dxa"/>
            <w:vMerge w:val="restart"/>
            <w:noWrap/>
            <w:vAlign w:val="center"/>
          </w:tcPr>
          <w:p w:rsidR="003348B3" w:rsidRPr="00EE5B89" w:rsidRDefault="003348B3" w:rsidP="00542697">
            <w:pPr>
              <w:snapToGrid w:val="0"/>
              <w:spacing w:beforeLines="50" w:before="156"/>
              <w:ind w:firstLineChars="500" w:firstLine="1200"/>
              <w:rPr>
                <w:rFonts w:ascii="仿宋" w:eastAsia="仿宋" w:hAnsi="仿宋"/>
                <w:sz w:val="24"/>
              </w:rPr>
            </w:pPr>
            <w:r w:rsidRPr="00EE5B89">
              <w:rPr>
                <w:rFonts w:ascii="仿宋" w:eastAsia="仿宋" w:hAnsi="仿宋"/>
                <w:sz w:val="24"/>
              </w:rPr>
              <w:t>重铬酸钾法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4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565"/>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4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快速消解分光光度法</w:t>
            </w:r>
          </w:p>
        </w:tc>
      </w:tr>
      <w:tr w:rsidR="003348B3" w:rsidRPr="00EE5B89" w:rsidTr="00542697">
        <w:trPr>
          <w:trHeight w:val="545"/>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4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真空检测管-电子比色法</w:t>
            </w:r>
          </w:p>
        </w:tc>
      </w:tr>
      <w:tr w:rsidR="003348B3" w:rsidRPr="00EE5B89" w:rsidTr="00542697">
        <w:trPr>
          <w:trHeight w:val="595"/>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3</w:t>
            </w:r>
          </w:p>
        </w:tc>
        <w:tc>
          <w:tcPr>
            <w:tcW w:w="2025"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五日生化需氧量（BOD5）</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稀释与培养法</w:t>
            </w:r>
          </w:p>
        </w:tc>
      </w:tr>
      <w:tr w:rsidR="003348B3" w:rsidRPr="00EE5B89" w:rsidTr="00542697">
        <w:trPr>
          <w:trHeight w:val="62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4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微生物传感器快速测定法</w:t>
            </w:r>
          </w:p>
        </w:tc>
      </w:tr>
      <w:tr w:rsidR="003348B3" w:rsidRPr="00EE5B89" w:rsidTr="00542697">
        <w:trPr>
          <w:trHeight w:val="58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4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稀释与接种法</w:t>
            </w:r>
          </w:p>
        </w:tc>
      </w:tr>
      <w:tr w:rsidR="003348B3" w:rsidRPr="00EE5B89" w:rsidTr="00542697">
        <w:trPr>
          <w:trHeight w:val="505"/>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4</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悬浮物（SS）</w:t>
            </w:r>
          </w:p>
        </w:tc>
        <w:tc>
          <w:tcPr>
            <w:tcW w:w="390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重量法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500" w:lineRule="exact"/>
              <w:jc w:val="center"/>
              <w:rPr>
                <w:rFonts w:ascii="仿宋" w:eastAsia="仿宋" w:hAnsi="仿宋"/>
                <w:sz w:val="24"/>
              </w:rPr>
            </w:pPr>
          </w:p>
        </w:tc>
      </w:tr>
      <w:tr w:rsidR="003348B3" w:rsidRPr="00EE5B89" w:rsidTr="00542697">
        <w:trPr>
          <w:trHeight w:val="565"/>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5</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动植物油</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红外分光光度法</w:t>
            </w:r>
          </w:p>
        </w:tc>
      </w:tr>
      <w:tr w:rsidR="003348B3" w:rsidRPr="00EE5B89" w:rsidTr="00542697">
        <w:trPr>
          <w:trHeight w:val="500"/>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6</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氨氮</w:t>
            </w:r>
          </w:p>
        </w:tc>
        <w:tc>
          <w:tcPr>
            <w:tcW w:w="3907"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钠试剂分光光度法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蒸馏-中和滴定法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55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水杨酸分光光度法</w:t>
            </w:r>
          </w:p>
        </w:tc>
      </w:tr>
      <w:tr w:rsidR="003348B3" w:rsidRPr="00EE5B89" w:rsidTr="00542697">
        <w:trPr>
          <w:trHeight w:val="56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真空检测管-电子比色法</w:t>
            </w:r>
          </w:p>
        </w:tc>
      </w:tr>
      <w:tr w:rsidR="003348B3" w:rsidRPr="00EE5B89" w:rsidTr="00542697">
        <w:trPr>
          <w:trHeight w:val="58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连续流动-水杨酸分光光度法</w:t>
            </w:r>
          </w:p>
        </w:tc>
      </w:tr>
      <w:tr w:rsidR="003348B3" w:rsidRPr="00EE5B89" w:rsidTr="00542697">
        <w:trPr>
          <w:trHeight w:val="55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流动注射-水杨酸分光光度法</w:t>
            </w:r>
          </w:p>
        </w:tc>
      </w:tr>
      <w:tr w:rsidR="003348B3" w:rsidRPr="00EE5B89" w:rsidTr="00542697">
        <w:trPr>
          <w:trHeight w:val="565"/>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气相分子吸收光谱法</w:t>
            </w:r>
          </w:p>
        </w:tc>
      </w:tr>
      <w:tr w:rsidR="003348B3" w:rsidRPr="00EE5B89" w:rsidTr="00542697">
        <w:trPr>
          <w:trHeight w:val="505"/>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hint="eastAsia"/>
                <w:sz w:val="24"/>
              </w:rPr>
              <w:t>7</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总磷</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钼酸铵分光光度法</w:t>
            </w:r>
          </w:p>
        </w:tc>
      </w:tr>
      <w:tr w:rsidR="003348B3" w:rsidRPr="00EE5B89" w:rsidTr="00542697">
        <w:trPr>
          <w:trHeight w:val="505"/>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hint="eastAsia"/>
                <w:sz w:val="24"/>
              </w:rPr>
              <w:t>8</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总氮</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碱性过硫酸钾消解紫外分光光度法</w:t>
            </w:r>
          </w:p>
        </w:tc>
      </w:tr>
      <w:tr w:rsidR="003348B3" w:rsidRPr="00EE5B89" w:rsidTr="00542697">
        <w:trPr>
          <w:trHeight w:val="505"/>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sz w:val="24"/>
              </w:rPr>
              <w:t>9</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总汞</w:t>
            </w:r>
          </w:p>
        </w:tc>
        <w:tc>
          <w:tcPr>
            <w:tcW w:w="3907"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原子荧光法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51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双硫腙分光光度法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冷原子吸收分光光度法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550"/>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sz w:val="24"/>
              </w:rPr>
              <w:t>10</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总镉</w:t>
            </w:r>
          </w:p>
        </w:tc>
        <w:tc>
          <w:tcPr>
            <w:tcW w:w="390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双硫腙分光光度法</w:t>
            </w:r>
          </w:p>
        </w:tc>
      </w:tr>
      <w:tr w:rsidR="003348B3" w:rsidRPr="00EE5B89" w:rsidTr="00542697">
        <w:trPr>
          <w:trHeight w:val="525"/>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原子吸收分光光度法</w:t>
            </w:r>
          </w:p>
        </w:tc>
      </w:tr>
      <w:tr w:rsidR="003348B3" w:rsidRPr="00EE5B89" w:rsidTr="00542697">
        <w:trPr>
          <w:trHeight w:val="555"/>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500" w:lineRule="exact"/>
              <w:jc w:val="center"/>
              <w:rPr>
                <w:rFonts w:ascii="仿宋" w:eastAsia="仿宋" w:hAnsi="仿宋"/>
                <w:sz w:val="24"/>
              </w:rPr>
            </w:pPr>
          </w:p>
        </w:tc>
      </w:tr>
      <w:tr w:rsidR="003348B3" w:rsidRPr="00EE5B89" w:rsidTr="00542697">
        <w:trPr>
          <w:trHeight w:val="56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电感耦合等离子体发射光谱法</w:t>
            </w:r>
          </w:p>
        </w:tc>
      </w:tr>
      <w:tr w:rsidR="003348B3" w:rsidRPr="00EE5B89" w:rsidTr="00542697">
        <w:trPr>
          <w:trHeight w:val="515"/>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500" w:lineRule="exact"/>
              <w:jc w:val="center"/>
              <w:rPr>
                <w:rFonts w:ascii="仿宋" w:eastAsia="仿宋" w:hAnsi="仿宋"/>
                <w:sz w:val="24"/>
              </w:rPr>
            </w:pPr>
          </w:p>
        </w:tc>
      </w:tr>
      <w:tr w:rsidR="003348B3" w:rsidRPr="00EE5B89" w:rsidTr="00542697">
        <w:trPr>
          <w:trHeight w:val="505"/>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sz w:val="24"/>
              </w:rPr>
              <w:t>11</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总铬</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总铬的测定</w:t>
            </w:r>
          </w:p>
        </w:tc>
      </w:tr>
      <w:tr w:rsidR="003348B3" w:rsidRPr="00EE5B89" w:rsidTr="00542697">
        <w:trPr>
          <w:trHeight w:val="51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火焰原子吸收分光光度法</w:t>
            </w:r>
          </w:p>
        </w:tc>
      </w:tr>
      <w:tr w:rsidR="003348B3" w:rsidRPr="00EE5B89" w:rsidTr="00542697">
        <w:trPr>
          <w:trHeight w:val="52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电感耦合等离子体发射光谱法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495"/>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sz w:val="24"/>
              </w:rPr>
              <w:t>12</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六价铬</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二苯碳酰二肼分光光度法</w:t>
            </w:r>
          </w:p>
        </w:tc>
      </w:tr>
      <w:tr w:rsidR="003348B3" w:rsidRPr="00EE5B89" w:rsidTr="00542697">
        <w:trPr>
          <w:trHeight w:val="51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真空检测管-电子比色法</w:t>
            </w:r>
          </w:p>
        </w:tc>
      </w:tr>
      <w:tr w:rsidR="003348B3" w:rsidRPr="00EE5B89" w:rsidTr="00542697">
        <w:trPr>
          <w:trHeight w:val="500"/>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sz w:val="24"/>
              </w:rPr>
              <w:t>13</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总砷</w:t>
            </w:r>
          </w:p>
        </w:tc>
        <w:tc>
          <w:tcPr>
            <w:tcW w:w="3907"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二乙基二硫代氨基甲酸银分光光度法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原子荧光法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400" w:lineRule="exact"/>
              <w:jc w:val="center"/>
              <w:rPr>
                <w:rFonts w:ascii="仿宋" w:eastAsia="仿宋" w:hAnsi="仿宋"/>
                <w:sz w:val="24"/>
              </w:rPr>
            </w:pPr>
          </w:p>
        </w:tc>
      </w:tr>
      <w:tr w:rsidR="003348B3" w:rsidRPr="00EE5B89" w:rsidTr="00542697">
        <w:trPr>
          <w:trHeight w:val="415"/>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电感耦合等离子体发射光谱法</w:t>
            </w:r>
          </w:p>
        </w:tc>
      </w:tr>
      <w:tr w:rsidR="003348B3" w:rsidRPr="00EE5B89" w:rsidTr="00542697">
        <w:trPr>
          <w:trHeight w:val="460"/>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sz w:val="24"/>
              </w:rPr>
              <w:t>14</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总铅</w:t>
            </w:r>
          </w:p>
        </w:tc>
        <w:tc>
          <w:tcPr>
            <w:tcW w:w="390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双硫腙分光光度法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原子吸收分光光度法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500" w:lineRule="exact"/>
              <w:jc w:val="center"/>
              <w:rPr>
                <w:rFonts w:ascii="仿宋" w:eastAsia="仿宋" w:hAnsi="仿宋"/>
                <w:sz w:val="24"/>
              </w:rPr>
            </w:pP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电感耦合等离子体发射光谱法</w:t>
            </w:r>
          </w:p>
        </w:tc>
      </w:tr>
      <w:tr w:rsidR="003348B3" w:rsidRPr="00EE5B89" w:rsidTr="00542697">
        <w:trPr>
          <w:trHeight w:val="50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vMerge/>
            <w:noWrap/>
            <w:vAlign w:val="center"/>
          </w:tcPr>
          <w:p w:rsidR="003348B3" w:rsidRPr="00EE5B89" w:rsidRDefault="003348B3" w:rsidP="00542697">
            <w:pPr>
              <w:spacing w:line="500" w:lineRule="exact"/>
              <w:jc w:val="center"/>
              <w:rPr>
                <w:rFonts w:ascii="仿宋" w:eastAsia="仿宋" w:hAnsi="仿宋"/>
                <w:sz w:val="24"/>
              </w:rPr>
            </w:pPr>
          </w:p>
        </w:tc>
      </w:tr>
      <w:tr w:rsidR="003348B3" w:rsidRPr="00EE5B89" w:rsidTr="00542697">
        <w:trPr>
          <w:trHeight w:val="445"/>
          <w:jc w:val="center"/>
        </w:trPr>
        <w:tc>
          <w:tcPr>
            <w:tcW w:w="6799" w:type="dxa"/>
            <w:gridSpan w:val="3"/>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hint="eastAsia"/>
                <w:b/>
                <w:bCs/>
                <w:sz w:val="24"/>
              </w:rPr>
              <w:t>恶臭</w:t>
            </w:r>
            <w:r w:rsidRPr="00A71949">
              <w:rPr>
                <w:rFonts w:ascii="仿宋" w:eastAsia="仿宋" w:hAnsi="仿宋" w:hint="eastAsia"/>
                <w:b/>
                <w:bCs/>
                <w:sz w:val="24"/>
              </w:rPr>
              <w:t>监测</w:t>
            </w:r>
          </w:p>
        </w:tc>
      </w:tr>
      <w:tr w:rsidR="003348B3" w:rsidRPr="00EE5B89" w:rsidTr="00542697">
        <w:trPr>
          <w:trHeight w:val="445"/>
          <w:jc w:val="center"/>
        </w:trPr>
        <w:tc>
          <w:tcPr>
            <w:tcW w:w="867"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1</w:t>
            </w:r>
          </w:p>
        </w:tc>
        <w:tc>
          <w:tcPr>
            <w:tcW w:w="2025" w:type="dxa"/>
            <w:vMerge w:val="restart"/>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氨</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 xml:space="preserve">纳氏试剂分光光度法 </w:t>
            </w:r>
          </w:p>
        </w:tc>
      </w:tr>
      <w:tr w:rsidR="003348B3" w:rsidRPr="00EE5B89" w:rsidTr="00542697">
        <w:trPr>
          <w:trHeight w:val="450"/>
          <w:jc w:val="center"/>
        </w:trPr>
        <w:tc>
          <w:tcPr>
            <w:tcW w:w="867" w:type="dxa"/>
            <w:vMerge/>
            <w:noWrap/>
            <w:vAlign w:val="center"/>
          </w:tcPr>
          <w:p w:rsidR="003348B3" w:rsidRPr="00EE5B89" w:rsidRDefault="003348B3" w:rsidP="00542697">
            <w:pPr>
              <w:spacing w:line="500" w:lineRule="exact"/>
              <w:jc w:val="center"/>
              <w:rPr>
                <w:rFonts w:ascii="仿宋" w:eastAsia="仿宋" w:hAnsi="仿宋"/>
                <w:sz w:val="24"/>
              </w:rPr>
            </w:pPr>
          </w:p>
        </w:tc>
        <w:tc>
          <w:tcPr>
            <w:tcW w:w="2025" w:type="dxa"/>
            <w:vMerge/>
            <w:noWrap/>
            <w:vAlign w:val="center"/>
          </w:tcPr>
          <w:p w:rsidR="003348B3" w:rsidRPr="00EE5B89" w:rsidRDefault="003348B3" w:rsidP="00542697">
            <w:pPr>
              <w:spacing w:line="500" w:lineRule="exact"/>
              <w:jc w:val="center"/>
              <w:rPr>
                <w:rFonts w:ascii="仿宋" w:eastAsia="仿宋" w:hAnsi="仿宋"/>
                <w:sz w:val="24"/>
              </w:rPr>
            </w:pP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次氯酸钠-水杨酸分光光度法</w:t>
            </w:r>
          </w:p>
        </w:tc>
      </w:tr>
      <w:tr w:rsidR="003348B3" w:rsidRPr="00EE5B89" w:rsidTr="00542697">
        <w:trPr>
          <w:trHeight w:val="560"/>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2</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硫化氢</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 xml:space="preserve"> 分光光度法</w:t>
            </w:r>
          </w:p>
        </w:tc>
      </w:tr>
      <w:tr w:rsidR="003348B3" w:rsidRPr="00EE5B89" w:rsidTr="00542697">
        <w:trPr>
          <w:trHeight w:val="490"/>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3</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甲硫醇</w:t>
            </w:r>
          </w:p>
        </w:tc>
        <w:tc>
          <w:tcPr>
            <w:tcW w:w="3907"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气相色谱法</w:t>
            </w:r>
          </w:p>
        </w:tc>
      </w:tr>
      <w:tr w:rsidR="003348B3" w:rsidRPr="00EE5B89" w:rsidTr="00542697">
        <w:trPr>
          <w:trHeight w:val="520"/>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4</w:t>
            </w:r>
          </w:p>
        </w:tc>
        <w:tc>
          <w:tcPr>
            <w:tcW w:w="2025" w:type="dxa"/>
            <w:noWrap/>
            <w:vAlign w:val="center"/>
          </w:tcPr>
          <w:p w:rsidR="003348B3" w:rsidRPr="00EE5B89" w:rsidRDefault="003348B3" w:rsidP="00542697">
            <w:pPr>
              <w:spacing w:line="400" w:lineRule="exact"/>
              <w:jc w:val="center"/>
              <w:rPr>
                <w:rFonts w:ascii="仿宋" w:eastAsia="仿宋" w:hAnsi="仿宋"/>
                <w:sz w:val="24"/>
              </w:rPr>
            </w:pPr>
            <w:r w:rsidRPr="00EE5B89">
              <w:rPr>
                <w:rFonts w:ascii="仿宋" w:eastAsia="仿宋" w:hAnsi="仿宋"/>
                <w:sz w:val="24"/>
              </w:rPr>
              <w:t>恶臭浓度</w:t>
            </w:r>
          </w:p>
        </w:tc>
        <w:tc>
          <w:tcPr>
            <w:tcW w:w="390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三点比较式臭袋法</w:t>
            </w:r>
          </w:p>
        </w:tc>
      </w:tr>
      <w:tr w:rsidR="003348B3" w:rsidRPr="00EE5B89" w:rsidTr="00542697">
        <w:trPr>
          <w:trHeight w:val="520"/>
          <w:jc w:val="center"/>
        </w:trPr>
        <w:tc>
          <w:tcPr>
            <w:tcW w:w="6799" w:type="dxa"/>
            <w:gridSpan w:val="3"/>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hint="eastAsia"/>
                <w:sz w:val="24"/>
              </w:rPr>
              <w:t>粉尘检测</w:t>
            </w:r>
          </w:p>
        </w:tc>
      </w:tr>
      <w:tr w:rsidR="003348B3" w:rsidRPr="00EE5B89" w:rsidTr="00542697">
        <w:trPr>
          <w:trHeight w:val="520"/>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1</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颗粒物</w:t>
            </w:r>
          </w:p>
        </w:tc>
        <w:tc>
          <w:tcPr>
            <w:tcW w:w="390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重量法</w:t>
            </w:r>
          </w:p>
        </w:tc>
      </w:tr>
      <w:tr w:rsidR="003348B3" w:rsidRPr="00EE5B89" w:rsidTr="00542697">
        <w:trPr>
          <w:trHeight w:val="545"/>
          <w:jc w:val="center"/>
        </w:trPr>
        <w:tc>
          <w:tcPr>
            <w:tcW w:w="6799" w:type="dxa"/>
            <w:gridSpan w:val="3"/>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hint="eastAsia"/>
                <w:b/>
                <w:bCs/>
                <w:sz w:val="24"/>
              </w:rPr>
              <w:t>噪音检测</w:t>
            </w:r>
          </w:p>
        </w:tc>
      </w:tr>
      <w:tr w:rsidR="003348B3" w:rsidRPr="00EE5B89" w:rsidTr="00542697">
        <w:trPr>
          <w:trHeight w:val="545"/>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1</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噪音</w:t>
            </w:r>
          </w:p>
        </w:tc>
        <w:tc>
          <w:tcPr>
            <w:tcW w:w="390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hint="eastAsia"/>
                <w:sz w:val="24"/>
              </w:rPr>
              <w:t>工业企业厂界环境噪声排放标准</w:t>
            </w:r>
            <w:r w:rsidRPr="00EE5B89">
              <w:rPr>
                <w:rFonts w:ascii="仿宋" w:eastAsia="仿宋" w:hAnsi="仿宋"/>
                <w:sz w:val="24"/>
              </w:rPr>
              <w:t xml:space="preserve"> </w:t>
            </w:r>
          </w:p>
        </w:tc>
      </w:tr>
      <w:tr w:rsidR="003348B3" w:rsidRPr="00EE5B89" w:rsidTr="00542697">
        <w:trPr>
          <w:trHeight w:val="545"/>
          <w:jc w:val="center"/>
        </w:trPr>
        <w:tc>
          <w:tcPr>
            <w:tcW w:w="6799" w:type="dxa"/>
            <w:gridSpan w:val="3"/>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b/>
                <w:bCs/>
                <w:sz w:val="24"/>
              </w:rPr>
              <w:t>苍蝇密度</w:t>
            </w:r>
          </w:p>
        </w:tc>
      </w:tr>
      <w:tr w:rsidR="003348B3" w:rsidRPr="00EE5B89" w:rsidTr="00542697">
        <w:trPr>
          <w:trHeight w:val="545"/>
          <w:jc w:val="center"/>
        </w:trPr>
        <w:tc>
          <w:tcPr>
            <w:tcW w:w="867" w:type="dxa"/>
            <w:noWrap/>
            <w:vAlign w:val="center"/>
          </w:tcPr>
          <w:p w:rsidR="003348B3" w:rsidRPr="00EE5B89" w:rsidRDefault="003348B3" w:rsidP="00542697">
            <w:pPr>
              <w:spacing w:line="500" w:lineRule="exact"/>
              <w:jc w:val="center"/>
              <w:rPr>
                <w:rFonts w:ascii="仿宋" w:eastAsia="仿宋" w:hAnsi="仿宋"/>
                <w:sz w:val="24"/>
              </w:rPr>
            </w:pPr>
            <w:r>
              <w:rPr>
                <w:rFonts w:ascii="仿宋" w:eastAsia="仿宋" w:hAnsi="仿宋" w:hint="eastAsia"/>
                <w:sz w:val="24"/>
              </w:rPr>
              <w:t>1</w:t>
            </w:r>
          </w:p>
        </w:tc>
        <w:tc>
          <w:tcPr>
            <w:tcW w:w="2025"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成蝇密度</w:t>
            </w:r>
          </w:p>
        </w:tc>
        <w:tc>
          <w:tcPr>
            <w:tcW w:w="3907" w:type="dxa"/>
            <w:noWrap/>
            <w:vAlign w:val="center"/>
          </w:tcPr>
          <w:p w:rsidR="003348B3" w:rsidRPr="00EE5B89" w:rsidRDefault="003348B3" w:rsidP="00542697">
            <w:pPr>
              <w:spacing w:line="500" w:lineRule="exact"/>
              <w:jc w:val="center"/>
              <w:rPr>
                <w:rFonts w:ascii="仿宋" w:eastAsia="仿宋" w:hAnsi="仿宋"/>
                <w:sz w:val="24"/>
              </w:rPr>
            </w:pPr>
            <w:r w:rsidRPr="00EE5B89">
              <w:rPr>
                <w:rFonts w:ascii="仿宋" w:eastAsia="仿宋" w:hAnsi="仿宋"/>
                <w:sz w:val="24"/>
              </w:rPr>
              <w:t>笼诱法、粘捕法、格栅法</w:t>
            </w:r>
          </w:p>
        </w:tc>
      </w:tr>
    </w:tbl>
    <w:p w:rsidR="003348B3" w:rsidRPr="00EE5B89" w:rsidRDefault="003348B3" w:rsidP="003348B3">
      <w:pPr>
        <w:spacing w:line="500" w:lineRule="exact"/>
        <w:ind w:firstLineChars="200" w:firstLine="482"/>
        <w:jc w:val="left"/>
        <w:rPr>
          <w:rFonts w:ascii="仿宋" w:eastAsia="仿宋" w:hAnsi="仿宋"/>
          <w:b/>
          <w:bCs/>
          <w:sz w:val="24"/>
        </w:rPr>
      </w:pPr>
      <w:r w:rsidRPr="00EE5B89">
        <w:rPr>
          <w:rFonts w:ascii="仿宋" w:eastAsia="仿宋" w:hAnsi="仿宋" w:hint="eastAsia"/>
          <w:b/>
          <w:bCs/>
          <w:sz w:val="24"/>
        </w:rPr>
        <w:t>（三）.专业检测人员配置</w:t>
      </w:r>
    </w:p>
    <w:p w:rsidR="003348B3" w:rsidRPr="00EE5B89" w:rsidRDefault="003348B3" w:rsidP="003348B3">
      <w:pPr>
        <w:spacing w:line="500" w:lineRule="exact"/>
        <w:ind w:firstLineChars="200" w:firstLine="480"/>
        <w:rPr>
          <w:rFonts w:ascii="仿宋" w:eastAsia="仿宋" w:hAnsi="仿宋"/>
          <w:bCs/>
          <w:sz w:val="24"/>
        </w:rPr>
      </w:pPr>
      <w:r>
        <w:rPr>
          <w:rFonts w:ascii="仿宋" w:eastAsia="仿宋" w:hAnsi="仿宋" w:hint="eastAsia"/>
          <w:sz w:val="24"/>
        </w:rPr>
        <w:t>1、</w:t>
      </w:r>
      <w:r w:rsidRPr="00EE5B89">
        <w:rPr>
          <w:rFonts w:ascii="仿宋" w:eastAsia="仿宋" w:hAnsi="仿宋" w:hint="eastAsia"/>
          <w:sz w:val="24"/>
        </w:rPr>
        <w:t>成交供应商应配备专业检测服务团队，人数</w:t>
      </w:r>
      <w:r w:rsidRPr="00EE5B89">
        <w:rPr>
          <w:rFonts w:ascii="仿宋" w:eastAsia="仿宋" w:hAnsi="仿宋"/>
          <w:sz w:val="24"/>
        </w:rPr>
        <w:t>在8人或以上(</w:t>
      </w:r>
      <w:r>
        <w:rPr>
          <w:rFonts w:ascii="仿宋" w:eastAsia="仿宋" w:hAnsi="仿宋" w:hint="eastAsia"/>
          <w:sz w:val="24"/>
        </w:rPr>
        <w:t>至少</w:t>
      </w:r>
      <w:r w:rsidRPr="00EE5B89">
        <w:rPr>
          <w:rFonts w:ascii="仿宋" w:eastAsia="仿宋" w:hAnsi="仿宋"/>
          <w:sz w:val="24"/>
        </w:rPr>
        <w:t>包含1名项目负责人、1名技术负责人、1名质量负责人、</w:t>
      </w:r>
      <w:bookmarkStart w:id="1" w:name="_GoBack"/>
      <w:bookmarkEnd w:id="1"/>
      <w:r w:rsidRPr="00EE5B89">
        <w:rPr>
          <w:rFonts w:ascii="仿宋" w:eastAsia="仿宋" w:hAnsi="仿宋"/>
          <w:sz w:val="24"/>
        </w:rPr>
        <w:t>5名检测技术人员)</w:t>
      </w:r>
      <w:r w:rsidRPr="00EE5B89">
        <w:rPr>
          <w:rFonts w:ascii="仿宋" w:eastAsia="仿宋" w:hAnsi="仿宋" w:hint="eastAsia"/>
          <w:sz w:val="24"/>
        </w:rPr>
        <w:t>，</w:t>
      </w:r>
      <w:r w:rsidRPr="00EE5B89">
        <w:rPr>
          <w:rFonts w:ascii="仿宋" w:eastAsia="仿宋" w:hAnsi="仿宋"/>
          <w:sz w:val="24"/>
        </w:rPr>
        <w:t>人员</w:t>
      </w:r>
      <w:r>
        <w:rPr>
          <w:rFonts w:ascii="仿宋" w:eastAsia="仿宋" w:hAnsi="仿宋" w:hint="eastAsia"/>
          <w:sz w:val="24"/>
        </w:rPr>
        <w:t>应</w:t>
      </w:r>
      <w:r w:rsidRPr="00EE5B89">
        <w:rPr>
          <w:rFonts w:ascii="仿宋" w:eastAsia="仿宋" w:hAnsi="仿宋"/>
          <w:sz w:val="24"/>
        </w:rPr>
        <w:t>固定，专人专岗。</w:t>
      </w:r>
    </w:p>
    <w:bookmarkEnd w:id="0"/>
    <w:p w:rsidR="00826476" w:rsidRPr="003348B3" w:rsidRDefault="00826476"/>
    <w:sectPr w:rsidR="00826476" w:rsidRPr="00334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B3" w:rsidRDefault="003348B3" w:rsidP="003348B3">
      <w:r>
        <w:separator/>
      </w:r>
    </w:p>
  </w:endnote>
  <w:endnote w:type="continuationSeparator" w:id="0">
    <w:p w:rsidR="003348B3" w:rsidRDefault="003348B3" w:rsidP="0033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B3" w:rsidRDefault="003348B3" w:rsidP="003348B3">
      <w:r>
        <w:separator/>
      </w:r>
    </w:p>
  </w:footnote>
  <w:footnote w:type="continuationSeparator" w:id="0">
    <w:p w:rsidR="003348B3" w:rsidRDefault="003348B3" w:rsidP="00334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29"/>
    <w:rsid w:val="003348B3"/>
    <w:rsid w:val="00387929"/>
    <w:rsid w:val="0082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2A1C01-1775-4DA1-99E1-5F53A0A5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8B3"/>
    <w:pPr>
      <w:widowControl w:val="0"/>
      <w:jc w:val="both"/>
    </w:pPr>
    <w:rPr>
      <w:rFonts w:ascii="Times New Roman" w:eastAsia="宋体" w:hAnsi="Times New Roman" w:cs="Times New Roman"/>
      <w:szCs w:val="24"/>
    </w:rPr>
  </w:style>
  <w:style w:type="paragraph" w:styleId="2">
    <w:name w:val="heading 2"/>
    <w:basedOn w:val="a"/>
    <w:next w:val="a"/>
    <w:link w:val="2Char"/>
    <w:qFormat/>
    <w:rsid w:val="003348B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8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8B3"/>
    <w:rPr>
      <w:sz w:val="18"/>
      <w:szCs w:val="18"/>
    </w:rPr>
  </w:style>
  <w:style w:type="paragraph" w:styleId="a4">
    <w:name w:val="footer"/>
    <w:basedOn w:val="a"/>
    <w:link w:val="Char0"/>
    <w:uiPriority w:val="99"/>
    <w:unhideWhenUsed/>
    <w:rsid w:val="003348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48B3"/>
    <w:rPr>
      <w:sz w:val="18"/>
      <w:szCs w:val="18"/>
    </w:rPr>
  </w:style>
  <w:style w:type="character" w:customStyle="1" w:styleId="2Char">
    <w:name w:val="标题 2 Char"/>
    <w:basedOn w:val="a0"/>
    <w:link w:val="2"/>
    <w:qFormat/>
    <w:rsid w:val="003348B3"/>
    <w:rPr>
      <w:rFonts w:ascii="Arial" w:eastAsia="黑体" w:hAnsi="Arial" w:cs="Times New Roman"/>
      <w:b/>
      <w:bCs/>
      <w:sz w:val="32"/>
      <w:szCs w:val="32"/>
    </w:rPr>
  </w:style>
  <w:style w:type="paragraph" w:styleId="a5">
    <w:name w:val="Normal Indent"/>
    <w:basedOn w:val="a"/>
    <w:link w:val="Char1"/>
    <w:qFormat/>
    <w:rsid w:val="003348B3"/>
    <w:pPr>
      <w:ind w:firstLineChars="200" w:firstLine="420"/>
    </w:pPr>
  </w:style>
  <w:style w:type="paragraph" w:styleId="a6">
    <w:name w:val="Plain Text"/>
    <w:basedOn w:val="a"/>
    <w:link w:val="Char10"/>
    <w:qFormat/>
    <w:rsid w:val="003348B3"/>
    <w:pPr>
      <w:autoSpaceDE w:val="0"/>
      <w:autoSpaceDN w:val="0"/>
      <w:adjustRightInd w:val="0"/>
    </w:pPr>
    <w:rPr>
      <w:rFonts w:ascii="宋体" w:hAnsi="Tms Rmn" w:cstheme="minorBidi"/>
      <w:szCs w:val="22"/>
    </w:rPr>
  </w:style>
  <w:style w:type="character" w:customStyle="1" w:styleId="Char2">
    <w:name w:val="纯文本 Char"/>
    <w:basedOn w:val="a0"/>
    <w:uiPriority w:val="99"/>
    <w:semiHidden/>
    <w:rsid w:val="003348B3"/>
    <w:rPr>
      <w:rFonts w:ascii="宋体" w:eastAsia="宋体" w:hAnsi="Courier New" w:cs="Courier New"/>
      <w:szCs w:val="21"/>
    </w:rPr>
  </w:style>
  <w:style w:type="character" w:customStyle="1" w:styleId="Char1">
    <w:name w:val="正文缩进 Char"/>
    <w:link w:val="a5"/>
    <w:qFormat/>
    <w:rsid w:val="003348B3"/>
    <w:rPr>
      <w:rFonts w:ascii="Times New Roman" w:eastAsia="宋体" w:hAnsi="Times New Roman" w:cs="Times New Roman"/>
      <w:szCs w:val="24"/>
    </w:rPr>
  </w:style>
  <w:style w:type="character" w:customStyle="1" w:styleId="Char10">
    <w:name w:val="纯文本 Char1"/>
    <w:basedOn w:val="a0"/>
    <w:link w:val="a6"/>
    <w:qFormat/>
    <w:rsid w:val="003348B3"/>
    <w:rPr>
      <w:rFonts w:ascii="宋体" w:eastAsia="宋体"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295</Words>
  <Characters>1688</Characters>
  <Application>Microsoft Office Word</Application>
  <DocSecurity>0</DocSecurity>
  <Lines>14</Lines>
  <Paragraphs>3</Paragraphs>
  <ScaleCrop>false</ScaleCrop>
  <Company>微软中国</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2022-03-23T06:24:00Z</dcterms:created>
  <dcterms:modified xsi:type="dcterms:W3CDTF">2022-03-23T06:24:00Z</dcterms:modified>
</cp:coreProperties>
</file>