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FAB" w:rsidRDefault="00804FAB" w:rsidP="00804FAB">
      <w:pPr>
        <w:pStyle w:val="a6"/>
        <w:rPr>
          <w:rFonts w:asciiTheme="minorEastAsia" w:eastAsiaTheme="minorEastAsia" w:hAnsiTheme="minorEastAsia"/>
        </w:rPr>
      </w:pPr>
      <w:r>
        <w:rPr>
          <w:rFonts w:asciiTheme="minorEastAsia" w:eastAsiaTheme="minorEastAsia" w:hAnsiTheme="minorEastAsia" w:hint="eastAsia"/>
        </w:rPr>
        <w:t>采购项目技术、服务、政府采购合同内容条款及其他商务要求</w:t>
      </w:r>
    </w:p>
    <w:p w:rsidR="00804FAB" w:rsidRDefault="00804FAB" w:rsidP="00804FAB">
      <w:pPr>
        <w:spacing w:line="400" w:lineRule="exact"/>
        <w:ind w:firstLineChars="49" w:firstLine="118"/>
        <w:jc w:val="left"/>
        <w:rPr>
          <w:rFonts w:asciiTheme="minorEastAsia" w:eastAsiaTheme="minorEastAsia" w:hAnsiTheme="minorEastAsia"/>
          <w:sz w:val="24"/>
        </w:rPr>
      </w:pPr>
    </w:p>
    <w:p w:rsidR="00804FAB" w:rsidRDefault="00804FAB" w:rsidP="00804FAB">
      <w:pPr>
        <w:spacing w:line="400" w:lineRule="exact"/>
        <w:ind w:firstLineChars="49" w:firstLine="118"/>
        <w:jc w:val="left"/>
        <w:rPr>
          <w:rFonts w:asciiTheme="minorEastAsia" w:eastAsiaTheme="minorEastAsia" w:hAnsiTheme="minorEastAsia"/>
          <w:b/>
          <w:bCs/>
          <w:sz w:val="24"/>
        </w:rPr>
      </w:pPr>
      <w:r>
        <w:rPr>
          <w:rFonts w:asciiTheme="minorEastAsia" w:eastAsiaTheme="minorEastAsia" w:hAnsiTheme="minorEastAsia" w:hint="eastAsia"/>
          <w:b/>
          <w:bCs/>
          <w:sz w:val="24"/>
        </w:rPr>
        <w:t>前提：</w:t>
      </w:r>
      <w:r>
        <w:rPr>
          <w:rFonts w:asciiTheme="minorEastAsia" w:eastAsiaTheme="minorEastAsia" w:hAnsiTheme="minorEastAsia"/>
          <w:b/>
          <w:bCs/>
          <w:sz w:val="24"/>
        </w:rPr>
        <w:t>本章采购需求中标注“*”号的条款为本次磋商采购项目的实质性要求，供应商应全部满足。</w:t>
      </w:r>
    </w:p>
    <w:p w:rsidR="00804FAB" w:rsidRDefault="00804FAB" w:rsidP="00804FAB">
      <w:pPr>
        <w:pStyle w:val="2"/>
        <w:spacing w:line="400" w:lineRule="exact"/>
        <w:ind w:firstLineChars="98" w:firstLine="236"/>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1. 项目概述</w:t>
      </w:r>
    </w:p>
    <w:p w:rsidR="00804FAB" w:rsidRDefault="00804FAB" w:rsidP="00804FAB">
      <w:pPr>
        <w:pStyle w:val="2"/>
        <w:spacing w:line="360" w:lineRule="auto"/>
        <w:ind w:firstLineChars="200" w:firstLine="480"/>
        <w:rPr>
          <w:rFonts w:asciiTheme="minorEastAsia" w:eastAsiaTheme="minorEastAsia" w:hAnsiTheme="minorEastAsia" w:cs="仿宋"/>
          <w:b w:val="0"/>
          <w:sz w:val="24"/>
          <w:szCs w:val="24"/>
        </w:rPr>
      </w:pPr>
      <w:r>
        <w:rPr>
          <w:rFonts w:asciiTheme="minorEastAsia" w:eastAsiaTheme="minorEastAsia" w:hAnsiTheme="minorEastAsia" w:cs="仿宋" w:hint="eastAsia"/>
          <w:b w:val="0"/>
          <w:sz w:val="24"/>
          <w:szCs w:val="24"/>
        </w:rPr>
        <w:t>为深入贯彻省委省政府、市委市政府关于统筹推进乡村国土空间规划编制和两项改革“后半篇”文章的工作部署，探索推进经济区和行政区适度分离的片区国土空间规划编制、实施，以乡村国土空间规划为总牵引和主抓手，纵深推进青白江区两项改革“后半篇”文章工作，全面提升青白江区基层应急管理能力，切实防范化解“青新都市农业发展片区”、“欧洲产业城城乡融合发展片区”重大安全风险，为加快构建“一港引领、双核共兴、四片协同”空间发展格局，打造现代化、国际化的成都北部中心建设提供坚实的应急体系保障。</w:t>
      </w:r>
    </w:p>
    <w:p w:rsidR="00804FAB" w:rsidRDefault="00804FAB" w:rsidP="00804FAB">
      <w:pPr>
        <w:pStyle w:val="2"/>
        <w:spacing w:line="400" w:lineRule="exact"/>
        <w:ind w:firstLineChars="98" w:firstLine="236"/>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2.项目清单</w:t>
      </w:r>
    </w:p>
    <w:tbl>
      <w:tblPr>
        <w:tblW w:w="795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056"/>
        <w:gridCol w:w="1086"/>
        <w:gridCol w:w="2451"/>
        <w:gridCol w:w="1613"/>
        <w:gridCol w:w="945"/>
      </w:tblGrid>
      <w:tr w:rsidR="00804FAB" w:rsidTr="003B2B70">
        <w:trPr>
          <w:trHeight w:val="390"/>
        </w:trPr>
        <w:tc>
          <w:tcPr>
            <w:tcW w:w="808" w:type="dxa"/>
            <w:vAlign w:val="center"/>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序号</w:t>
            </w:r>
          </w:p>
        </w:tc>
        <w:tc>
          <w:tcPr>
            <w:tcW w:w="1056" w:type="dxa"/>
            <w:vAlign w:val="center"/>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包号</w:t>
            </w:r>
          </w:p>
        </w:tc>
        <w:tc>
          <w:tcPr>
            <w:tcW w:w="1086" w:type="dxa"/>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品目号</w:t>
            </w:r>
          </w:p>
        </w:tc>
        <w:tc>
          <w:tcPr>
            <w:tcW w:w="2451" w:type="dxa"/>
            <w:vAlign w:val="center"/>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标的名称</w:t>
            </w:r>
          </w:p>
        </w:tc>
        <w:tc>
          <w:tcPr>
            <w:tcW w:w="1613" w:type="dxa"/>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所属行业</w:t>
            </w:r>
          </w:p>
        </w:tc>
        <w:tc>
          <w:tcPr>
            <w:tcW w:w="945" w:type="dxa"/>
            <w:vAlign w:val="center"/>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数量</w:t>
            </w:r>
          </w:p>
        </w:tc>
      </w:tr>
      <w:tr w:rsidR="00804FAB" w:rsidTr="003B2B70">
        <w:trPr>
          <w:trHeight w:val="374"/>
        </w:trPr>
        <w:tc>
          <w:tcPr>
            <w:tcW w:w="808" w:type="dxa"/>
          </w:tcPr>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sz w:val="24"/>
              </w:rPr>
              <w:t>1</w:t>
            </w:r>
          </w:p>
        </w:tc>
        <w:tc>
          <w:tcPr>
            <w:tcW w:w="1056" w:type="dxa"/>
          </w:tcPr>
          <w:p w:rsidR="00804FAB" w:rsidRDefault="00804FAB" w:rsidP="003B2B70">
            <w:pPr>
              <w:widowControl/>
              <w:spacing w:line="360" w:lineRule="atLeast"/>
              <w:ind w:firstLineChars="196" w:firstLine="470"/>
              <w:jc w:val="left"/>
              <w:outlineLvl w:val="1"/>
              <w:rPr>
                <w:rFonts w:asciiTheme="minorEastAsia" w:eastAsiaTheme="minorEastAsia" w:hAnsiTheme="minorEastAsia" w:cs="仿宋"/>
                <w:sz w:val="24"/>
              </w:rPr>
            </w:pPr>
            <w:r>
              <w:rPr>
                <w:rFonts w:asciiTheme="minorEastAsia" w:eastAsiaTheme="minorEastAsia" w:hAnsiTheme="minorEastAsia" w:cs="仿宋" w:hint="eastAsia"/>
                <w:sz w:val="24"/>
              </w:rPr>
              <w:t>1</w:t>
            </w:r>
          </w:p>
        </w:tc>
        <w:tc>
          <w:tcPr>
            <w:tcW w:w="1086" w:type="dxa"/>
          </w:tcPr>
          <w:p w:rsidR="00804FAB" w:rsidRDefault="00804FAB" w:rsidP="003B2B70">
            <w:pPr>
              <w:widowControl/>
              <w:spacing w:line="360" w:lineRule="atLeast"/>
              <w:ind w:firstLineChars="196" w:firstLine="470"/>
              <w:jc w:val="left"/>
              <w:outlineLvl w:val="1"/>
              <w:rPr>
                <w:rFonts w:asciiTheme="minorEastAsia" w:eastAsiaTheme="minorEastAsia" w:hAnsiTheme="minorEastAsia" w:cs="仿宋"/>
                <w:sz w:val="24"/>
              </w:rPr>
            </w:pPr>
            <w:r>
              <w:rPr>
                <w:rFonts w:asciiTheme="minorEastAsia" w:eastAsiaTheme="minorEastAsia" w:hAnsiTheme="minorEastAsia" w:cs="仿宋" w:hint="eastAsia"/>
                <w:sz w:val="24"/>
              </w:rPr>
              <w:t>1</w:t>
            </w:r>
          </w:p>
        </w:tc>
        <w:tc>
          <w:tcPr>
            <w:tcW w:w="2451" w:type="dxa"/>
          </w:tcPr>
          <w:p w:rsidR="00804FAB" w:rsidRDefault="00804FAB" w:rsidP="003B2B70">
            <w:pPr>
              <w:widowControl/>
              <w:spacing w:line="360" w:lineRule="atLeast"/>
              <w:jc w:val="left"/>
              <w:outlineLvl w:val="1"/>
              <w:rPr>
                <w:rFonts w:asciiTheme="minorEastAsia" w:eastAsiaTheme="minorEastAsia" w:hAnsiTheme="minorEastAsia" w:cs="仿宋"/>
                <w:sz w:val="24"/>
              </w:rPr>
            </w:pPr>
            <w:r>
              <w:rPr>
                <w:rFonts w:asciiTheme="minorEastAsia" w:eastAsiaTheme="minorEastAsia" w:hAnsiTheme="minorEastAsia" w:cs="仿宋" w:hint="eastAsia"/>
                <w:sz w:val="24"/>
              </w:rPr>
              <w:t>青白江区镇级片区应急体系专项规划编制服务项目（第二次）</w:t>
            </w:r>
          </w:p>
        </w:tc>
        <w:tc>
          <w:tcPr>
            <w:tcW w:w="1613" w:type="dxa"/>
          </w:tcPr>
          <w:p w:rsidR="00804FAB" w:rsidRDefault="00804FAB" w:rsidP="003B2B70">
            <w:pPr>
              <w:widowControl/>
              <w:spacing w:line="360" w:lineRule="atLeast"/>
              <w:jc w:val="center"/>
              <w:outlineLvl w:val="1"/>
              <w:rPr>
                <w:rFonts w:asciiTheme="minorEastAsia" w:eastAsiaTheme="minorEastAsia" w:hAnsiTheme="minorEastAsia" w:cs="仿宋"/>
                <w:color w:val="000000" w:themeColor="text1"/>
                <w:sz w:val="24"/>
              </w:rPr>
            </w:pPr>
            <w:r>
              <w:rPr>
                <w:rFonts w:asciiTheme="minorEastAsia" w:eastAsiaTheme="minorEastAsia" w:hAnsiTheme="minorEastAsia" w:cs="仿宋" w:hint="eastAsia"/>
                <w:color w:val="000000" w:themeColor="text1"/>
                <w:sz w:val="24"/>
              </w:rPr>
              <w:t>其他未列明</w:t>
            </w:r>
          </w:p>
          <w:p w:rsidR="00804FAB" w:rsidRDefault="00804FAB" w:rsidP="003B2B70">
            <w:pPr>
              <w:widowControl/>
              <w:spacing w:line="360" w:lineRule="atLeast"/>
              <w:jc w:val="center"/>
              <w:outlineLvl w:val="1"/>
              <w:rPr>
                <w:rFonts w:asciiTheme="minorEastAsia" w:eastAsiaTheme="minorEastAsia" w:hAnsiTheme="minorEastAsia" w:cs="仿宋"/>
                <w:sz w:val="24"/>
              </w:rPr>
            </w:pPr>
            <w:r>
              <w:rPr>
                <w:rFonts w:asciiTheme="minorEastAsia" w:eastAsiaTheme="minorEastAsia" w:hAnsiTheme="minorEastAsia" w:cs="仿宋" w:hint="eastAsia"/>
                <w:color w:val="000000" w:themeColor="text1"/>
                <w:sz w:val="24"/>
              </w:rPr>
              <w:t>行业</w:t>
            </w:r>
          </w:p>
        </w:tc>
        <w:tc>
          <w:tcPr>
            <w:tcW w:w="945" w:type="dxa"/>
          </w:tcPr>
          <w:p w:rsidR="00804FAB" w:rsidRDefault="00804FAB" w:rsidP="003B2B70">
            <w:pPr>
              <w:widowControl/>
              <w:spacing w:line="360" w:lineRule="atLeast"/>
              <w:ind w:firstLineChars="196" w:firstLine="470"/>
              <w:jc w:val="left"/>
              <w:outlineLvl w:val="1"/>
              <w:rPr>
                <w:rFonts w:asciiTheme="minorEastAsia" w:eastAsiaTheme="minorEastAsia" w:hAnsiTheme="minorEastAsia" w:cs="仿宋"/>
                <w:sz w:val="24"/>
              </w:rPr>
            </w:pPr>
            <w:r>
              <w:rPr>
                <w:rFonts w:asciiTheme="minorEastAsia" w:eastAsiaTheme="minorEastAsia" w:hAnsiTheme="minorEastAsia" w:cs="仿宋" w:hint="eastAsia"/>
                <w:sz w:val="24"/>
              </w:rPr>
              <w:t>1</w:t>
            </w:r>
          </w:p>
        </w:tc>
      </w:tr>
    </w:tbl>
    <w:p w:rsidR="00804FAB" w:rsidRDefault="00804FAB" w:rsidP="00804FAB">
      <w:pPr>
        <w:rPr>
          <w:rFonts w:asciiTheme="minorEastAsia" w:eastAsiaTheme="minorEastAsia" w:hAnsiTheme="minorEastAsia" w:cs="仿宋"/>
        </w:rPr>
      </w:pPr>
    </w:p>
    <w:p w:rsidR="00804FAB" w:rsidRDefault="00804FAB" w:rsidP="00804FAB">
      <w:pPr>
        <w:pStyle w:val="2"/>
        <w:spacing w:line="400" w:lineRule="exact"/>
        <w:ind w:firstLineChars="98" w:firstLine="236"/>
        <w:rPr>
          <w:rFonts w:asciiTheme="minorEastAsia" w:eastAsiaTheme="minorEastAsia" w:hAnsiTheme="minorEastAsia" w:cs="仿宋"/>
          <w:sz w:val="24"/>
          <w:szCs w:val="24"/>
        </w:rPr>
      </w:pPr>
      <w:r>
        <w:rPr>
          <w:rFonts w:asciiTheme="minorEastAsia" w:eastAsiaTheme="minorEastAsia" w:hAnsiTheme="minorEastAsia" w:cs="仿宋" w:hint="eastAsia"/>
          <w:sz w:val="24"/>
          <w:szCs w:val="24"/>
        </w:rPr>
        <w:t>3.服务内容及要求</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编制青白江区“青新都市农业发展片区”、“欧洲产业城城乡融合发展片区”应急体系专项规划。主要工作内容及要求如下：</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（1）基础调研：开展现场踏勘、实地调研、座谈交流等多种方式调研，摸清片区自然灾害、安全生产、应急救援和防灾减灾救灾的底数。</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2）需求分析：基于调研成果，全面分析片区存在的“主灾种、主风险”，评估片区现有应急管理体系、应急救援能力和防灾减灾救灾能力，针对存在的短板和不足，结合区域经济社会发展实际，提出健全完善应急管理体系意见，提升安全生产风险防控能力、应急救援能力和防灾减灾能力的需求。</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lastRenderedPageBreak/>
        <w:t>（3）规划框架编制：根据需求分析结果，编制两个片区应急体系规划基本框架，框架内容应包含：现状概况、分析评估、主要任务与重点工程、保障措施。</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4）规划文本编制：在规划基本框架的基础上，按照上位规划明确的发展战略、空间布局和管控要求，理清片区应急体系专项规划的定位、目标和发展思路，在优化空间布局、统筹应急资源、细化管控措施的基础，起草规划文本。</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（5）形成应急体系专项规划图纸及矢量数据库：编制片区灾害事故防范工程规划图、应急救援能力提升规划图、防灾减灾救灾能力提升规划图、应急管理信息工程规划图，建设应急体系规划矢量数据库。</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（6）论证：组织专家研讨、开展规划主要任务和重大工程项目论证、修订完善，形成最终的专项规划。协助完上报、复审及后续修订事项，确保通过审核工作。</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（7）为保障项目的顺利执行，供应商须为本项目配备相关专业技术服务团队人员不少于25人（包括项目组组长、项目组副组长等）。</w:t>
      </w:r>
    </w:p>
    <w:p w:rsidR="00804FAB" w:rsidRDefault="00804FAB" w:rsidP="00804FAB">
      <w:pPr>
        <w:pStyle w:val="2"/>
        <w:spacing w:line="400" w:lineRule="exact"/>
        <w:ind w:firstLineChars="98" w:firstLine="236"/>
        <w:rPr>
          <w:rFonts w:asciiTheme="minorEastAsia" w:eastAsiaTheme="minorEastAsia" w:hAnsiTheme="minorEastAsia" w:cs="仿宋"/>
          <w:b w:val="0"/>
          <w:sz w:val="24"/>
          <w:szCs w:val="24"/>
        </w:rPr>
      </w:pPr>
      <w:r>
        <w:rPr>
          <w:rFonts w:asciiTheme="minorEastAsia" w:eastAsiaTheme="minorEastAsia" w:hAnsiTheme="minorEastAsia" w:cs="仿宋" w:hint="eastAsia"/>
          <w:sz w:val="24"/>
          <w:szCs w:val="24"/>
        </w:rPr>
        <w:t>*4.商务要求</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1、完成时间：合同签订之日起至2022年10月30日。</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2、完成地点：成都市。</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3、付款方式：第一次支付：双方签订本合同之日起 5 个工作日内，支付编制服务费总额的30%作为本项目的预付款；第二次支付：2022年5月31日前，支付编制服务费总额的40%；第三次支付：剩余的编制服务费在供应商完成合同范围内所有工作服务内容并验收合格后 5 个工作日内，采购人向供应商一次性全部付清。</w:t>
      </w:r>
    </w:p>
    <w:p w:rsidR="00804FAB" w:rsidRDefault="00804FAB" w:rsidP="00804FAB">
      <w:pPr>
        <w:pStyle w:val="a5"/>
        <w:spacing w:line="400" w:lineRule="exact"/>
        <w:ind w:firstLine="480"/>
        <w:rPr>
          <w:rFonts w:asciiTheme="minorEastAsia" w:eastAsiaTheme="minorEastAsia" w:hAnsiTheme="minorEastAsia" w:cs="仿宋"/>
          <w:sz w:val="24"/>
        </w:rPr>
      </w:pPr>
      <w:r>
        <w:rPr>
          <w:rFonts w:asciiTheme="minorEastAsia" w:eastAsiaTheme="minorEastAsia" w:hAnsiTheme="minorEastAsia" w:cs="仿宋" w:hint="eastAsia"/>
          <w:sz w:val="24"/>
        </w:rPr>
        <w:t>4、验收：严格按照《财政部关于进一步加强政府采购需求和履约验收管理的指导意见》（财库〔2016〕205号）等政府采购相关法律法规的要求进行。</w:t>
      </w:r>
    </w:p>
    <w:p w:rsidR="000D02A7" w:rsidRPr="00804FAB" w:rsidRDefault="000D02A7">
      <w:bookmarkStart w:id="0" w:name="_GoBack"/>
      <w:bookmarkEnd w:id="0"/>
    </w:p>
    <w:sectPr w:rsidR="000D02A7" w:rsidRPr="00804F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AB" w:rsidRDefault="00804FAB" w:rsidP="00804FAB">
      <w:r>
        <w:separator/>
      </w:r>
    </w:p>
  </w:endnote>
  <w:endnote w:type="continuationSeparator" w:id="0">
    <w:p w:rsidR="00804FAB" w:rsidRDefault="00804FAB" w:rsidP="0080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AB" w:rsidRDefault="00804FAB" w:rsidP="00804FAB">
      <w:r>
        <w:separator/>
      </w:r>
    </w:p>
  </w:footnote>
  <w:footnote w:type="continuationSeparator" w:id="0">
    <w:p w:rsidR="00804FAB" w:rsidRDefault="00804FAB" w:rsidP="00804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70"/>
    <w:rsid w:val="000D02A7"/>
    <w:rsid w:val="000E5470"/>
    <w:rsid w:val="0080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2FE17A-0FBE-40F8-A7A7-01C7B445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FAB"/>
    <w:pPr>
      <w:widowControl w:val="0"/>
      <w:jc w:val="both"/>
    </w:pPr>
    <w:rPr>
      <w:rFonts w:ascii="Times New Roman" w:eastAsia="宋体" w:hAnsi="Times New Roman" w:cs="Times New Roman"/>
      <w:szCs w:val="24"/>
    </w:rPr>
  </w:style>
  <w:style w:type="paragraph" w:styleId="2">
    <w:name w:val="heading 2"/>
    <w:basedOn w:val="a"/>
    <w:next w:val="a"/>
    <w:link w:val="2Char"/>
    <w:qFormat/>
    <w:rsid w:val="00804FA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F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4FAB"/>
    <w:rPr>
      <w:sz w:val="18"/>
      <w:szCs w:val="18"/>
    </w:rPr>
  </w:style>
  <w:style w:type="paragraph" w:styleId="a4">
    <w:name w:val="footer"/>
    <w:basedOn w:val="a"/>
    <w:link w:val="Char0"/>
    <w:uiPriority w:val="99"/>
    <w:unhideWhenUsed/>
    <w:rsid w:val="00804F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4FAB"/>
    <w:rPr>
      <w:sz w:val="18"/>
      <w:szCs w:val="18"/>
    </w:rPr>
  </w:style>
  <w:style w:type="character" w:customStyle="1" w:styleId="2Char">
    <w:name w:val="标题 2 Char"/>
    <w:basedOn w:val="a0"/>
    <w:link w:val="2"/>
    <w:qFormat/>
    <w:rsid w:val="00804FAB"/>
    <w:rPr>
      <w:rFonts w:ascii="Arial" w:eastAsia="黑体" w:hAnsi="Arial" w:cs="Times New Roman"/>
      <w:b/>
      <w:bCs/>
      <w:sz w:val="32"/>
      <w:szCs w:val="32"/>
    </w:rPr>
  </w:style>
  <w:style w:type="paragraph" w:styleId="a5">
    <w:name w:val="Normal Indent"/>
    <w:basedOn w:val="a"/>
    <w:link w:val="Char1"/>
    <w:qFormat/>
    <w:rsid w:val="00804FAB"/>
    <w:pPr>
      <w:ind w:firstLineChars="200" w:firstLine="420"/>
    </w:pPr>
  </w:style>
  <w:style w:type="paragraph" w:styleId="a6">
    <w:name w:val="Title"/>
    <w:basedOn w:val="a"/>
    <w:next w:val="a"/>
    <w:link w:val="Char2"/>
    <w:uiPriority w:val="10"/>
    <w:qFormat/>
    <w:rsid w:val="00804FAB"/>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804FAB"/>
    <w:rPr>
      <w:rFonts w:asciiTheme="majorHAnsi" w:eastAsia="宋体" w:hAnsiTheme="majorHAnsi" w:cstheme="majorBidi"/>
      <w:b/>
      <w:bCs/>
      <w:sz w:val="32"/>
      <w:szCs w:val="32"/>
    </w:rPr>
  </w:style>
  <w:style w:type="character" w:customStyle="1" w:styleId="Char1">
    <w:name w:val="正文缩进 Char"/>
    <w:link w:val="a5"/>
    <w:qFormat/>
    <w:rsid w:val="00804FA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2</cp:revision>
  <dcterms:created xsi:type="dcterms:W3CDTF">2022-04-01T02:35:00Z</dcterms:created>
  <dcterms:modified xsi:type="dcterms:W3CDTF">2022-04-01T02:35:00Z</dcterms:modified>
</cp:coreProperties>
</file>