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9D" w:rsidRPr="00CF45BF" w:rsidRDefault="00B3319D" w:rsidP="00B3319D">
      <w:pPr>
        <w:pStyle w:val="2"/>
        <w:spacing w:line="400" w:lineRule="exact"/>
        <w:ind w:firstLineChars="98" w:firstLine="236"/>
        <w:rPr>
          <w:rFonts w:ascii="宋体" w:hAnsi="宋体"/>
          <w:sz w:val="24"/>
        </w:rPr>
      </w:pPr>
      <w:r w:rsidRPr="00CF45BF">
        <w:rPr>
          <w:rFonts w:ascii="宋体" w:hAnsi="宋体" w:hint="eastAsia"/>
          <w:sz w:val="24"/>
        </w:rPr>
        <w:t>一、</w:t>
      </w:r>
      <w:r w:rsidRPr="00CF45BF">
        <w:rPr>
          <w:rFonts w:ascii="宋体" w:hAnsi="宋体"/>
          <w:sz w:val="24"/>
        </w:rPr>
        <w:t xml:space="preserve"> </w:t>
      </w:r>
      <w:r w:rsidRPr="00CF45BF">
        <w:rPr>
          <w:rFonts w:ascii="宋体" w:hAnsi="宋体" w:hint="eastAsia"/>
          <w:sz w:val="24"/>
        </w:rPr>
        <w:t>项目概述</w:t>
      </w:r>
    </w:p>
    <w:p w:rsidR="00B3319D" w:rsidRPr="00CF45BF" w:rsidRDefault="00B3319D" w:rsidP="00B3319D">
      <w:pPr>
        <w:pStyle w:val="a3"/>
        <w:spacing w:line="400" w:lineRule="exact"/>
        <w:ind w:firstLine="480"/>
        <w:rPr>
          <w:rFonts w:ascii="宋体" w:hAnsi="宋体"/>
          <w:sz w:val="24"/>
        </w:rPr>
      </w:pPr>
      <w:bookmarkStart w:id="0" w:name="_Toc217446095"/>
      <w:r w:rsidRPr="00CF45BF">
        <w:rPr>
          <w:rFonts w:ascii="宋体" w:hAnsi="宋体" w:hint="eastAsia"/>
          <w:sz w:val="24"/>
        </w:rPr>
        <w:t>（一）项目</w:t>
      </w:r>
      <w:r w:rsidRPr="00CF45BF">
        <w:rPr>
          <w:rFonts w:ascii="宋体" w:hAnsi="宋体"/>
          <w:sz w:val="24"/>
        </w:rPr>
        <w:t>概况</w:t>
      </w:r>
      <w:r w:rsidRPr="00CF45BF">
        <w:rPr>
          <w:rFonts w:ascii="宋体" w:hAnsi="宋体" w:hint="eastAsia"/>
          <w:sz w:val="24"/>
        </w:rPr>
        <w:t>：本项目</w:t>
      </w:r>
      <w:r w:rsidRPr="00CF45BF">
        <w:rPr>
          <w:rFonts w:ascii="宋体" w:hAnsi="宋体" w:cs="宋体" w:hint="eastAsia"/>
          <w:sz w:val="24"/>
          <w:szCs w:val="28"/>
        </w:rPr>
        <w:t>1</w:t>
      </w:r>
      <w:r w:rsidRPr="00CF45BF">
        <w:rPr>
          <w:rFonts w:ascii="宋体" w:hAnsi="宋体" w:hint="eastAsia"/>
          <w:sz w:val="24"/>
        </w:rPr>
        <w:t>个包，采购成都市中西医结合医院肿瘤基因检测外包服务商</w:t>
      </w:r>
      <w:r w:rsidRPr="00CF45BF">
        <w:rPr>
          <w:rFonts w:ascii="宋体" w:hAnsi="宋体" w:cs="宋体" w:hint="eastAsia"/>
          <w:sz w:val="24"/>
          <w:szCs w:val="28"/>
        </w:rPr>
        <w:t>一名</w:t>
      </w:r>
      <w:r w:rsidRPr="00CF45BF">
        <w:rPr>
          <w:rFonts w:ascii="宋体" w:hAnsi="宋体" w:hint="eastAsia"/>
          <w:sz w:val="24"/>
        </w:rPr>
        <w:t>。</w:t>
      </w:r>
    </w:p>
    <w:tbl>
      <w:tblPr>
        <w:tblStyle w:val="a4"/>
        <w:tblW w:w="6886" w:type="dxa"/>
        <w:tblLayout w:type="fixed"/>
        <w:tblLook w:val="04A0" w:firstRow="1" w:lastRow="0" w:firstColumn="1" w:lastColumn="0" w:noHBand="0" w:noVBand="1"/>
      </w:tblPr>
      <w:tblGrid>
        <w:gridCol w:w="1141"/>
        <w:gridCol w:w="3150"/>
        <w:gridCol w:w="2595"/>
      </w:tblGrid>
      <w:tr w:rsidR="00B3319D" w:rsidRPr="00CF45BF" w:rsidTr="009B41E5">
        <w:tc>
          <w:tcPr>
            <w:tcW w:w="1141" w:type="dxa"/>
          </w:tcPr>
          <w:p w:rsidR="00B3319D" w:rsidRPr="00CF45BF" w:rsidRDefault="00B3319D" w:rsidP="009B41E5">
            <w:pPr>
              <w:pStyle w:val="a3"/>
              <w:spacing w:line="400" w:lineRule="exact"/>
              <w:ind w:firstLineChars="0" w:firstLine="0"/>
              <w:jc w:val="center"/>
              <w:rPr>
                <w:rFonts w:ascii="宋体" w:hAnsi="宋体" w:cs="宋体"/>
                <w:sz w:val="24"/>
                <w:szCs w:val="28"/>
              </w:rPr>
            </w:pPr>
            <w:r w:rsidRPr="00CF45BF">
              <w:rPr>
                <w:rFonts w:ascii="宋体" w:hAnsi="宋体" w:cs="宋体" w:hint="eastAsia"/>
                <w:sz w:val="24"/>
                <w:szCs w:val="28"/>
              </w:rPr>
              <w:t>序号</w:t>
            </w:r>
          </w:p>
        </w:tc>
        <w:tc>
          <w:tcPr>
            <w:tcW w:w="3150" w:type="dxa"/>
          </w:tcPr>
          <w:p w:rsidR="00B3319D" w:rsidRPr="00CF45BF" w:rsidRDefault="00B3319D" w:rsidP="009B41E5">
            <w:pPr>
              <w:pStyle w:val="a3"/>
              <w:spacing w:line="400" w:lineRule="exact"/>
              <w:ind w:firstLineChars="0" w:firstLine="0"/>
              <w:jc w:val="center"/>
              <w:rPr>
                <w:rFonts w:ascii="宋体" w:hAnsi="宋体" w:cs="宋体"/>
                <w:sz w:val="24"/>
                <w:szCs w:val="28"/>
              </w:rPr>
            </w:pPr>
            <w:r w:rsidRPr="00CF45BF">
              <w:rPr>
                <w:rFonts w:ascii="宋体" w:hAnsi="宋体" w:cs="宋体" w:hint="eastAsia"/>
                <w:sz w:val="24"/>
                <w:szCs w:val="28"/>
              </w:rPr>
              <w:t>检测内容</w:t>
            </w:r>
          </w:p>
        </w:tc>
        <w:tc>
          <w:tcPr>
            <w:tcW w:w="2595" w:type="dxa"/>
          </w:tcPr>
          <w:p w:rsidR="00B3319D" w:rsidRPr="00CF45BF" w:rsidRDefault="00B3319D" w:rsidP="009B41E5">
            <w:pPr>
              <w:pStyle w:val="a3"/>
              <w:spacing w:line="400" w:lineRule="exact"/>
              <w:ind w:firstLineChars="0" w:firstLine="0"/>
              <w:jc w:val="center"/>
              <w:rPr>
                <w:rFonts w:ascii="宋体" w:hAnsi="宋体" w:cs="宋体"/>
                <w:sz w:val="24"/>
                <w:szCs w:val="28"/>
              </w:rPr>
            </w:pPr>
            <w:r w:rsidRPr="00CF45BF">
              <w:rPr>
                <w:rFonts w:ascii="宋体" w:hAnsi="宋体" w:cs="宋体" w:hint="eastAsia"/>
                <w:sz w:val="24"/>
                <w:szCs w:val="28"/>
              </w:rPr>
              <w:t>单价限价（万元/项）</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1</w:t>
            </w:r>
          </w:p>
        </w:tc>
        <w:tc>
          <w:tcPr>
            <w:tcW w:w="3150"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bCs/>
                <w:sz w:val="24"/>
              </w:rPr>
              <w:t>泛实体瘤治疗靶点及肿瘤突变负荷检测（组织、</w:t>
            </w:r>
            <w:proofErr w:type="spellStart"/>
            <w:r w:rsidRPr="00CF45BF">
              <w:rPr>
                <w:rFonts w:ascii="宋体" w:hAnsi="宋体" w:cs="宋体" w:hint="eastAsia"/>
                <w:bCs/>
                <w:sz w:val="24"/>
              </w:rPr>
              <w:t>ctDNA</w:t>
            </w:r>
            <w:proofErr w:type="spellEnd"/>
            <w:r w:rsidRPr="00CF45BF">
              <w:rPr>
                <w:rFonts w:ascii="宋体" w:hAnsi="宋体" w:cs="宋体" w:hint="eastAsia"/>
                <w:bCs/>
                <w:sz w:val="24"/>
              </w:rPr>
              <w:t>）＞500基因</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1.5</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2</w:t>
            </w:r>
          </w:p>
        </w:tc>
        <w:tc>
          <w:tcPr>
            <w:tcW w:w="3150" w:type="dxa"/>
          </w:tcPr>
          <w:p w:rsidR="00B3319D" w:rsidRPr="00CF45BF" w:rsidRDefault="00B3319D" w:rsidP="009B41E5">
            <w:pPr>
              <w:pStyle w:val="a3"/>
              <w:spacing w:line="400" w:lineRule="exact"/>
              <w:ind w:firstLineChars="0" w:firstLine="0"/>
              <w:rPr>
                <w:rFonts w:ascii="宋体" w:hAnsi="宋体" w:cs="宋体"/>
                <w:bCs/>
                <w:sz w:val="24"/>
              </w:rPr>
            </w:pPr>
            <w:r w:rsidRPr="00CF45BF">
              <w:rPr>
                <w:rFonts w:ascii="宋体" w:hAnsi="宋体" w:cs="宋体" w:hint="eastAsia"/>
                <w:bCs/>
                <w:sz w:val="24"/>
              </w:rPr>
              <w:t>肺癌治疗NCCN指南靶点检测</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0.65</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3</w:t>
            </w:r>
          </w:p>
        </w:tc>
        <w:tc>
          <w:tcPr>
            <w:tcW w:w="3150"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bCs/>
                <w:sz w:val="24"/>
              </w:rPr>
              <w:t>肺癌相关基因检测60-100基因</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0.8</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4</w:t>
            </w:r>
          </w:p>
        </w:tc>
        <w:tc>
          <w:tcPr>
            <w:tcW w:w="3150" w:type="dxa"/>
          </w:tcPr>
          <w:p w:rsidR="00B3319D" w:rsidRPr="00CF45BF" w:rsidRDefault="00B3319D" w:rsidP="009B41E5">
            <w:pPr>
              <w:pStyle w:val="a3"/>
              <w:spacing w:line="400" w:lineRule="exact"/>
              <w:ind w:firstLineChars="0" w:firstLine="0"/>
              <w:rPr>
                <w:rFonts w:ascii="宋体" w:hAnsi="宋体" w:cs="宋体"/>
                <w:bCs/>
                <w:sz w:val="24"/>
              </w:rPr>
            </w:pPr>
            <w:proofErr w:type="gramStart"/>
            <w:r w:rsidRPr="00CF45BF">
              <w:rPr>
                <w:rFonts w:ascii="宋体" w:hAnsi="宋体" w:cs="宋体" w:hint="eastAsia"/>
                <w:bCs/>
                <w:sz w:val="24"/>
              </w:rPr>
              <w:t>胃结直肠癌</w:t>
            </w:r>
            <w:proofErr w:type="gramEnd"/>
            <w:r w:rsidRPr="00CF45BF">
              <w:rPr>
                <w:rFonts w:ascii="宋体" w:hAnsi="宋体" w:cs="宋体" w:hint="eastAsia"/>
                <w:bCs/>
                <w:sz w:val="24"/>
              </w:rPr>
              <w:t>NCCN指南+MSI靶点检测</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0.65</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5</w:t>
            </w:r>
          </w:p>
        </w:tc>
        <w:tc>
          <w:tcPr>
            <w:tcW w:w="3150" w:type="dxa"/>
          </w:tcPr>
          <w:p w:rsidR="00B3319D" w:rsidRPr="00CF45BF" w:rsidRDefault="00B3319D" w:rsidP="009B41E5">
            <w:pPr>
              <w:pStyle w:val="a3"/>
              <w:spacing w:line="400" w:lineRule="exact"/>
              <w:ind w:firstLineChars="0" w:firstLine="0"/>
              <w:rPr>
                <w:rFonts w:ascii="宋体" w:hAnsi="宋体" w:cs="宋体"/>
                <w:sz w:val="24"/>
                <w:szCs w:val="28"/>
              </w:rPr>
            </w:pPr>
            <w:proofErr w:type="gramStart"/>
            <w:r w:rsidRPr="00CF45BF">
              <w:rPr>
                <w:rFonts w:ascii="宋体" w:hAnsi="宋体" w:cs="宋体" w:hint="eastAsia"/>
                <w:bCs/>
                <w:sz w:val="24"/>
              </w:rPr>
              <w:t>胃结直肠癌</w:t>
            </w:r>
            <w:proofErr w:type="gramEnd"/>
            <w:r w:rsidRPr="00CF45BF">
              <w:rPr>
                <w:rFonts w:ascii="宋体" w:hAnsi="宋体" w:cs="宋体" w:hint="eastAsia"/>
                <w:bCs/>
                <w:sz w:val="24"/>
              </w:rPr>
              <w:t>相关基因检测</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sz w:val="24"/>
                <w:szCs w:val="28"/>
              </w:rPr>
              <w:t>1.2</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6</w:t>
            </w:r>
          </w:p>
        </w:tc>
        <w:tc>
          <w:tcPr>
            <w:tcW w:w="3150"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bCs/>
                <w:sz w:val="24"/>
              </w:rPr>
              <w:t>遗传性肿瘤及遗传性肿瘤综合征</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2</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7</w:t>
            </w:r>
          </w:p>
        </w:tc>
        <w:tc>
          <w:tcPr>
            <w:tcW w:w="3150"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bCs/>
                <w:sz w:val="24"/>
              </w:rPr>
              <w:t>卵巢癌治疗靶点检测</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1.2</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8</w:t>
            </w:r>
          </w:p>
        </w:tc>
        <w:tc>
          <w:tcPr>
            <w:tcW w:w="3150"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bCs/>
                <w:sz w:val="24"/>
              </w:rPr>
              <w:t>甲状腺癌治疗靶点检测</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0.8</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9</w:t>
            </w:r>
          </w:p>
        </w:tc>
        <w:tc>
          <w:tcPr>
            <w:tcW w:w="3150" w:type="dxa"/>
          </w:tcPr>
          <w:p w:rsidR="00B3319D" w:rsidRPr="00CF45BF" w:rsidRDefault="00B3319D" w:rsidP="009B41E5">
            <w:pPr>
              <w:pStyle w:val="a3"/>
              <w:spacing w:line="400" w:lineRule="exact"/>
              <w:ind w:firstLineChars="0" w:firstLine="0"/>
              <w:rPr>
                <w:rFonts w:ascii="宋体" w:hAnsi="宋体" w:cs="宋体"/>
                <w:bCs/>
                <w:sz w:val="24"/>
              </w:rPr>
            </w:pPr>
            <w:r w:rsidRPr="00CF45BF">
              <w:rPr>
                <w:rFonts w:ascii="宋体" w:hAnsi="宋体" w:cs="宋体" w:hint="eastAsia"/>
                <w:bCs/>
                <w:sz w:val="24"/>
              </w:rPr>
              <w:t>PD-L1免疫组化检测</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0.2</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10</w:t>
            </w:r>
          </w:p>
        </w:tc>
        <w:tc>
          <w:tcPr>
            <w:tcW w:w="3150" w:type="dxa"/>
          </w:tcPr>
          <w:p w:rsidR="00B3319D" w:rsidRPr="00CF45BF" w:rsidRDefault="00B3319D" w:rsidP="009B41E5">
            <w:pPr>
              <w:pStyle w:val="a3"/>
              <w:spacing w:line="400" w:lineRule="exact"/>
              <w:ind w:firstLineChars="0" w:firstLine="0"/>
              <w:rPr>
                <w:rFonts w:ascii="宋体" w:hAnsi="宋体" w:cs="宋体"/>
                <w:bCs/>
                <w:sz w:val="24"/>
              </w:rPr>
            </w:pPr>
            <w:r w:rsidRPr="00CF45BF">
              <w:rPr>
                <w:rFonts w:ascii="宋体" w:hAnsi="宋体" w:cs="宋体" w:hint="eastAsia"/>
                <w:sz w:val="24"/>
                <w:shd w:val="clear" w:color="auto" w:fill="FFFFFF"/>
              </w:rPr>
              <w:t>乳腺肿瘤FISH</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0.2</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11</w:t>
            </w:r>
          </w:p>
        </w:tc>
        <w:tc>
          <w:tcPr>
            <w:tcW w:w="3150" w:type="dxa"/>
          </w:tcPr>
          <w:p w:rsidR="00B3319D" w:rsidRPr="00CF45BF" w:rsidRDefault="00B3319D" w:rsidP="009B41E5">
            <w:pPr>
              <w:pStyle w:val="a3"/>
              <w:spacing w:line="400" w:lineRule="exact"/>
              <w:ind w:firstLineChars="0" w:firstLine="0"/>
              <w:rPr>
                <w:rFonts w:ascii="宋体" w:hAnsi="宋体" w:cs="宋体"/>
                <w:bCs/>
                <w:sz w:val="24"/>
              </w:rPr>
            </w:pPr>
            <w:r w:rsidRPr="00CF45BF">
              <w:rPr>
                <w:rFonts w:ascii="宋体" w:hAnsi="宋体" w:cs="宋体" w:hint="eastAsia"/>
                <w:bCs/>
                <w:sz w:val="24"/>
              </w:rPr>
              <w:t>肺癌治疗靶点检测（EGFR单位点/EGFR三位点）</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0.3</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12</w:t>
            </w:r>
          </w:p>
        </w:tc>
        <w:tc>
          <w:tcPr>
            <w:tcW w:w="3150" w:type="dxa"/>
          </w:tcPr>
          <w:p w:rsidR="00B3319D" w:rsidRPr="00CF45BF" w:rsidRDefault="00B3319D" w:rsidP="009B41E5">
            <w:pPr>
              <w:pStyle w:val="a3"/>
              <w:spacing w:line="400" w:lineRule="exact"/>
              <w:ind w:firstLineChars="0" w:firstLine="0"/>
              <w:rPr>
                <w:rFonts w:ascii="宋体" w:hAnsi="宋体" w:cs="宋体"/>
                <w:bCs/>
                <w:sz w:val="24"/>
              </w:rPr>
            </w:pPr>
            <w:r w:rsidRPr="00CF45BF">
              <w:rPr>
                <w:rFonts w:ascii="宋体" w:hAnsi="宋体" w:cs="宋体" w:hint="eastAsia"/>
                <w:sz w:val="24"/>
              </w:rPr>
              <w:t>BRAF靶点检测</w:t>
            </w:r>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0.28</w:t>
            </w:r>
          </w:p>
        </w:tc>
      </w:tr>
      <w:tr w:rsidR="00B3319D" w:rsidRPr="00CF45BF" w:rsidTr="009B41E5">
        <w:tc>
          <w:tcPr>
            <w:tcW w:w="1141"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13</w:t>
            </w:r>
          </w:p>
        </w:tc>
        <w:tc>
          <w:tcPr>
            <w:tcW w:w="3150" w:type="dxa"/>
          </w:tcPr>
          <w:p w:rsidR="00B3319D" w:rsidRPr="00CF45BF" w:rsidRDefault="00B3319D" w:rsidP="009B41E5">
            <w:pPr>
              <w:pStyle w:val="a3"/>
              <w:spacing w:line="400" w:lineRule="exact"/>
              <w:ind w:firstLineChars="0" w:firstLine="0"/>
              <w:rPr>
                <w:rFonts w:ascii="宋体" w:hAnsi="宋体" w:cs="宋体"/>
                <w:bCs/>
                <w:sz w:val="24"/>
              </w:rPr>
            </w:pPr>
            <w:r w:rsidRPr="00CF45BF">
              <w:rPr>
                <w:rFonts w:ascii="宋体" w:hAnsi="宋体" w:cs="宋体" w:hint="eastAsia"/>
                <w:sz w:val="24"/>
              </w:rPr>
              <w:t>肿瘤液体活检</w:t>
            </w:r>
            <w:proofErr w:type="spellStart"/>
            <w:r w:rsidRPr="00CF45BF">
              <w:rPr>
                <w:rFonts w:ascii="宋体" w:hAnsi="宋体" w:cs="宋体" w:hint="eastAsia"/>
                <w:sz w:val="24"/>
              </w:rPr>
              <w:t>ctc</w:t>
            </w:r>
            <w:proofErr w:type="spellEnd"/>
          </w:p>
        </w:tc>
        <w:tc>
          <w:tcPr>
            <w:tcW w:w="2595" w:type="dxa"/>
          </w:tcPr>
          <w:p w:rsidR="00B3319D" w:rsidRPr="00CF45BF" w:rsidRDefault="00B3319D" w:rsidP="009B41E5">
            <w:pPr>
              <w:pStyle w:val="a3"/>
              <w:spacing w:line="400" w:lineRule="exact"/>
              <w:ind w:firstLineChars="0" w:firstLine="0"/>
              <w:rPr>
                <w:rFonts w:ascii="宋体" w:hAnsi="宋体" w:cs="宋体"/>
                <w:sz w:val="24"/>
                <w:szCs w:val="28"/>
              </w:rPr>
            </w:pPr>
            <w:r w:rsidRPr="00CF45BF">
              <w:rPr>
                <w:rFonts w:ascii="宋体" w:hAnsi="宋体" w:cs="宋体" w:hint="eastAsia"/>
                <w:sz w:val="24"/>
                <w:szCs w:val="28"/>
              </w:rPr>
              <w:t>0.38</w:t>
            </w:r>
          </w:p>
        </w:tc>
      </w:tr>
    </w:tbl>
    <w:p w:rsidR="00B3319D" w:rsidRPr="00CF45BF" w:rsidRDefault="00B3319D" w:rsidP="00B3319D">
      <w:pPr>
        <w:pStyle w:val="a3"/>
        <w:spacing w:line="400" w:lineRule="exact"/>
        <w:ind w:firstLine="480"/>
        <w:rPr>
          <w:rFonts w:ascii="宋体" w:hAnsi="宋体" w:cs="宋体"/>
          <w:sz w:val="24"/>
          <w:szCs w:val="28"/>
        </w:rPr>
      </w:pPr>
    </w:p>
    <w:p w:rsidR="00B3319D" w:rsidRPr="00CF45BF" w:rsidRDefault="00B3319D" w:rsidP="00B3319D">
      <w:pPr>
        <w:pStyle w:val="a3"/>
        <w:spacing w:line="400" w:lineRule="exact"/>
        <w:ind w:firstLine="480"/>
        <w:rPr>
          <w:rFonts w:ascii="宋体" w:hAnsi="宋体"/>
          <w:sz w:val="24"/>
        </w:rPr>
      </w:pPr>
      <w:r w:rsidRPr="00CF45BF">
        <w:rPr>
          <w:rFonts w:ascii="宋体" w:hAnsi="宋体" w:hint="eastAsia"/>
          <w:sz w:val="24"/>
        </w:rPr>
        <w:t>（二）标的名称及</w:t>
      </w:r>
      <w:r w:rsidRPr="00CF45BF">
        <w:rPr>
          <w:rFonts w:ascii="宋体" w:hAnsi="宋体"/>
          <w:sz w:val="24"/>
        </w:rPr>
        <w:t>所属行业</w:t>
      </w:r>
      <w:r w:rsidRPr="00CF45BF">
        <w:rPr>
          <w:rFonts w:ascii="宋体" w:hAnsi="宋体" w:hint="eastAsia"/>
          <w:sz w:val="24"/>
        </w:rPr>
        <w:t>：</w:t>
      </w:r>
    </w:p>
    <w:tbl>
      <w:tblPr>
        <w:tblStyle w:val="a4"/>
        <w:tblW w:w="7531" w:type="dxa"/>
        <w:jc w:val="center"/>
        <w:tblLayout w:type="fixed"/>
        <w:tblLook w:val="04A0" w:firstRow="1" w:lastRow="0" w:firstColumn="1" w:lastColumn="0" w:noHBand="0" w:noVBand="1"/>
      </w:tblPr>
      <w:tblGrid>
        <w:gridCol w:w="1320"/>
        <w:gridCol w:w="1185"/>
        <w:gridCol w:w="3049"/>
        <w:gridCol w:w="1977"/>
      </w:tblGrid>
      <w:tr w:rsidR="00B3319D" w:rsidRPr="00CF45BF" w:rsidTr="009B41E5">
        <w:trPr>
          <w:jc w:val="center"/>
        </w:trPr>
        <w:tc>
          <w:tcPr>
            <w:tcW w:w="1320" w:type="dxa"/>
            <w:vMerge w:val="restart"/>
          </w:tcPr>
          <w:p w:rsidR="00B3319D" w:rsidRPr="00CF45BF" w:rsidRDefault="00B3319D" w:rsidP="009B41E5">
            <w:pPr>
              <w:pStyle w:val="a3"/>
              <w:spacing w:line="400" w:lineRule="exact"/>
              <w:ind w:firstLineChars="0" w:firstLine="0"/>
              <w:jc w:val="center"/>
              <w:rPr>
                <w:rFonts w:ascii="宋体" w:hAnsi="宋体"/>
                <w:sz w:val="24"/>
              </w:rPr>
            </w:pPr>
          </w:p>
          <w:p w:rsidR="00B3319D" w:rsidRPr="00CF45BF" w:rsidRDefault="00B3319D" w:rsidP="009B41E5">
            <w:pPr>
              <w:pStyle w:val="a3"/>
              <w:spacing w:line="400" w:lineRule="exact"/>
              <w:ind w:firstLineChars="0" w:firstLine="0"/>
              <w:jc w:val="center"/>
              <w:rPr>
                <w:rFonts w:ascii="宋体" w:hAnsi="宋体"/>
                <w:sz w:val="24"/>
              </w:rPr>
            </w:pPr>
            <w:r w:rsidRPr="00CF45BF">
              <w:rPr>
                <w:rFonts w:ascii="宋体" w:hAnsi="宋体" w:hint="eastAsia"/>
                <w:sz w:val="24"/>
              </w:rPr>
              <w:t>包号：</w:t>
            </w:r>
            <w:r w:rsidRPr="00CF45BF">
              <w:rPr>
                <w:rFonts w:ascii="宋体" w:hAnsi="宋体"/>
                <w:sz w:val="24"/>
              </w:rPr>
              <w:t>01</w:t>
            </w:r>
          </w:p>
        </w:tc>
        <w:tc>
          <w:tcPr>
            <w:tcW w:w="1185" w:type="dxa"/>
          </w:tcPr>
          <w:p w:rsidR="00B3319D" w:rsidRPr="00CF45BF" w:rsidRDefault="00B3319D" w:rsidP="009B41E5">
            <w:pPr>
              <w:pStyle w:val="a3"/>
              <w:spacing w:line="400" w:lineRule="exact"/>
              <w:ind w:firstLineChars="0" w:firstLine="0"/>
              <w:rPr>
                <w:rFonts w:ascii="宋体" w:hAnsi="宋体"/>
                <w:sz w:val="24"/>
              </w:rPr>
            </w:pPr>
            <w:r w:rsidRPr="00CF45BF">
              <w:rPr>
                <w:rFonts w:ascii="宋体" w:hAnsi="宋体" w:hint="eastAsia"/>
                <w:sz w:val="24"/>
              </w:rPr>
              <w:t>品目号</w:t>
            </w:r>
          </w:p>
        </w:tc>
        <w:tc>
          <w:tcPr>
            <w:tcW w:w="3049" w:type="dxa"/>
          </w:tcPr>
          <w:p w:rsidR="00B3319D" w:rsidRPr="00CF45BF" w:rsidRDefault="00B3319D" w:rsidP="009B41E5">
            <w:pPr>
              <w:pStyle w:val="a3"/>
              <w:spacing w:line="400" w:lineRule="exact"/>
              <w:ind w:firstLineChars="0" w:firstLine="0"/>
              <w:rPr>
                <w:rFonts w:ascii="宋体" w:hAnsi="宋体"/>
                <w:sz w:val="24"/>
              </w:rPr>
            </w:pPr>
            <w:r w:rsidRPr="00CF45BF">
              <w:rPr>
                <w:rFonts w:ascii="宋体" w:hAnsi="宋体" w:hint="eastAsia"/>
                <w:sz w:val="24"/>
              </w:rPr>
              <w:t>标的</w:t>
            </w:r>
            <w:r w:rsidRPr="00CF45BF">
              <w:rPr>
                <w:rFonts w:ascii="宋体" w:hAnsi="宋体"/>
                <w:sz w:val="24"/>
              </w:rPr>
              <w:t>名称</w:t>
            </w:r>
          </w:p>
        </w:tc>
        <w:tc>
          <w:tcPr>
            <w:tcW w:w="1977" w:type="dxa"/>
          </w:tcPr>
          <w:p w:rsidR="00B3319D" w:rsidRPr="00CF45BF" w:rsidRDefault="00B3319D" w:rsidP="009B41E5">
            <w:pPr>
              <w:pStyle w:val="a3"/>
              <w:spacing w:line="400" w:lineRule="exact"/>
              <w:ind w:firstLineChars="0" w:firstLine="0"/>
              <w:rPr>
                <w:rFonts w:ascii="宋体" w:hAnsi="宋体"/>
                <w:sz w:val="24"/>
              </w:rPr>
            </w:pPr>
            <w:r w:rsidRPr="00CF45BF">
              <w:rPr>
                <w:rFonts w:ascii="宋体" w:hAnsi="宋体" w:hint="eastAsia"/>
                <w:sz w:val="24"/>
              </w:rPr>
              <w:t>所属行业</w:t>
            </w:r>
          </w:p>
        </w:tc>
      </w:tr>
      <w:tr w:rsidR="00B3319D" w:rsidRPr="00CF45BF" w:rsidTr="009B41E5">
        <w:trPr>
          <w:jc w:val="center"/>
        </w:trPr>
        <w:tc>
          <w:tcPr>
            <w:tcW w:w="1320" w:type="dxa"/>
            <w:vMerge/>
          </w:tcPr>
          <w:p w:rsidR="00B3319D" w:rsidRPr="00CF45BF" w:rsidRDefault="00B3319D" w:rsidP="009B41E5">
            <w:pPr>
              <w:pStyle w:val="a3"/>
              <w:spacing w:line="400" w:lineRule="exact"/>
              <w:ind w:firstLineChars="0" w:firstLine="0"/>
              <w:rPr>
                <w:rFonts w:ascii="宋体" w:hAnsi="宋体"/>
                <w:sz w:val="24"/>
              </w:rPr>
            </w:pPr>
          </w:p>
        </w:tc>
        <w:tc>
          <w:tcPr>
            <w:tcW w:w="1185" w:type="dxa"/>
          </w:tcPr>
          <w:p w:rsidR="00B3319D" w:rsidRPr="00CF45BF" w:rsidRDefault="00B3319D" w:rsidP="009B41E5">
            <w:pPr>
              <w:pStyle w:val="a3"/>
              <w:spacing w:line="400" w:lineRule="exact"/>
              <w:ind w:firstLineChars="0" w:firstLine="0"/>
              <w:rPr>
                <w:rFonts w:ascii="宋体" w:hAnsi="宋体"/>
                <w:sz w:val="24"/>
              </w:rPr>
            </w:pPr>
            <w:r w:rsidRPr="00CF45BF">
              <w:rPr>
                <w:rFonts w:ascii="宋体" w:hAnsi="宋体"/>
                <w:sz w:val="24"/>
              </w:rPr>
              <w:t>1-1</w:t>
            </w:r>
          </w:p>
        </w:tc>
        <w:tc>
          <w:tcPr>
            <w:tcW w:w="3049" w:type="dxa"/>
          </w:tcPr>
          <w:p w:rsidR="00B3319D" w:rsidRPr="00CF45BF" w:rsidRDefault="00B3319D" w:rsidP="009B41E5">
            <w:pPr>
              <w:pStyle w:val="a3"/>
              <w:spacing w:line="400" w:lineRule="exact"/>
              <w:ind w:firstLineChars="0" w:firstLine="0"/>
              <w:rPr>
                <w:rFonts w:ascii="宋体" w:hAnsi="宋体"/>
                <w:sz w:val="24"/>
              </w:rPr>
            </w:pPr>
            <w:r w:rsidRPr="00CF45BF">
              <w:rPr>
                <w:rFonts w:ascii="宋体" w:hAnsi="宋体" w:hint="eastAsia"/>
                <w:sz w:val="24"/>
              </w:rPr>
              <w:t>肿瘤</w:t>
            </w:r>
            <w:r w:rsidRPr="00CF45BF">
              <w:rPr>
                <w:rFonts w:ascii="宋体" w:hAnsi="宋体" w:cs="宋体" w:hint="eastAsia"/>
                <w:sz w:val="24"/>
                <w:szCs w:val="28"/>
              </w:rPr>
              <w:t>基因</w:t>
            </w:r>
            <w:r w:rsidRPr="00CF45BF">
              <w:rPr>
                <w:rFonts w:ascii="宋体" w:hAnsi="宋体" w:hint="eastAsia"/>
                <w:sz w:val="24"/>
              </w:rPr>
              <w:t>检测</w:t>
            </w:r>
            <w:r w:rsidRPr="00CF45BF">
              <w:rPr>
                <w:rFonts w:ascii="宋体" w:hAnsi="宋体" w:cs="宋体" w:hint="eastAsia"/>
                <w:sz w:val="24"/>
                <w:szCs w:val="28"/>
              </w:rPr>
              <w:t>外包服务</w:t>
            </w:r>
          </w:p>
        </w:tc>
        <w:tc>
          <w:tcPr>
            <w:tcW w:w="1977" w:type="dxa"/>
          </w:tcPr>
          <w:p w:rsidR="00B3319D" w:rsidRPr="00CF45BF" w:rsidRDefault="00B3319D" w:rsidP="009B41E5">
            <w:pPr>
              <w:pStyle w:val="a3"/>
              <w:spacing w:line="400" w:lineRule="exact"/>
              <w:ind w:firstLineChars="0" w:firstLine="0"/>
              <w:rPr>
                <w:rFonts w:ascii="宋体" w:hAnsi="宋体"/>
                <w:sz w:val="24"/>
              </w:rPr>
            </w:pPr>
            <w:r w:rsidRPr="00CF45BF">
              <w:rPr>
                <w:rFonts w:ascii="宋体" w:hAnsi="宋体" w:hint="eastAsia"/>
                <w:sz w:val="24"/>
              </w:rPr>
              <w:t>其他未列明行业</w:t>
            </w:r>
          </w:p>
        </w:tc>
      </w:tr>
    </w:tbl>
    <w:p w:rsidR="00B3319D" w:rsidRPr="00CF45BF" w:rsidRDefault="00B3319D" w:rsidP="00B3319D">
      <w:pPr>
        <w:pStyle w:val="2"/>
        <w:spacing w:line="400" w:lineRule="exact"/>
        <w:ind w:firstLineChars="98" w:firstLine="236"/>
        <w:rPr>
          <w:rFonts w:ascii="宋体" w:hAnsi="宋体"/>
          <w:sz w:val="24"/>
        </w:rPr>
      </w:pPr>
      <w:r w:rsidRPr="00CF45BF">
        <w:rPr>
          <w:rFonts w:ascii="宋体" w:hAnsi="宋体"/>
          <w:sz w:val="24"/>
        </w:rPr>
        <w:t>*</w:t>
      </w:r>
      <w:r w:rsidRPr="00CF45BF">
        <w:rPr>
          <w:rFonts w:ascii="宋体" w:hAnsi="宋体" w:hint="eastAsia"/>
          <w:sz w:val="24"/>
        </w:rPr>
        <w:t>二、商务要求</w:t>
      </w:r>
    </w:p>
    <w:p w:rsidR="00B3319D" w:rsidRPr="00CF45BF" w:rsidRDefault="00B3319D" w:rsidP="00B3319D">
      <w:pPr>
        <w:spacing w:line="500" w:lineRule="exact"/>
        <w:rPr>
          <w:rFonts w:ascii="宋体" w:hAnsi="宋体"/>
          <w:sz w:val="24"/>
        </w:rPr>
      </w:pPr>
      <w:r w:rsidRPr="00CF45BF">
        <w:rPr>
          <w:rFonts w:ascii="宋体" w:hAnsi="宋体"/>
          <w:sz w:val="24"/>
        </w:rPr>
        <w:t>1．服务年限：本次采购合同时效拟定为</w:t>
      </w:r>
      <w:r w:rsidRPr="00CF45BF">
        <w:rPr>
          <w:rFonts w:ascii="宋体" w:hAnsi="宋体" w:hint="eastAsia"/>
          <w:sz w:val="24"/>
        </w:rPr>
        <w:t>签订</w:t>
      </w:r>
      <w:r w:rsidRPr="00CF45BF">
        <w:rPr>
          <w:rFonts w:ascii="宋体" w:hAnsi="宋体"/>
          <w:sz w:val="24"/>
        </w:rPr>
        <w:t xml:space="preserve">采购合同之日起 </w:t>
      </w:r>
      <w:r w:rsidRPr="00CF45BF">
        <w:rPr>
          <w:rFonts w:ascii="宋体" w:hAnsi="宋体" w:hint="eastAsia"/>
          <w:sz w:val="24"/>
        </w:rPr>
        <w:t>3</w:t>
      </w:r>
      <w:r w:rsidRPr="00CF45BF">
        <w:rPr>
          <w:rFonts w:ascii="宋体" w:hAnsi="宋体"/>
          <w:sz w:val="24"/>
        </w:rPr>
        <w:t>年</w:t>
      </w:r>
      <w:r w:rsidRPr="00CF45BF">
        <w:rPr>
          <w:rFonts w:ascii="宋体" w:hAnsi="宋体" w:cs="宋体" w:hint="eastAsia"/>
          <w:bCs/>
          <w:sz w:val="24"/>
        </w:rPr>
        <w:t>。</w:t>
      </w:r>
    </w:p>
    <w:p w:rsidR="00B3319D" w:rsidRPr="00CF45BF" w:rsidRDefault="00B3319D" w:rsidP="00B3319D">
      <w:pPr>
        <w:spacing w:line="500" w:lineRule="exact"/>
        <w:rPr>
          <w:rFonts w:ascii="宋体" w:hAnsi="宋体"/>
          <w:sz w:val="24"/>
        </w:rPr>
      </w:pPr>
      <w:r w:rsidRPr="00CF45BF">
        <w:rPr>
          <w:rFonts w:ascii="宋体" w:hAnsi="宋体"/>
          <w:sz w:val="24"/>
        </w:rPr>
        <w:t>2．服务地点：成都市中西医结合医院内。</w:t>
      </w:r>
    </w:p>
    <w:p w:rsidR="00B3319D" w:rsidRPr="00CF45BF" w:rsidRDefault="00B3319D" w:rsidP="00B3319D">
      <w:pPr>
        <w:spacing w:line="500" w:lineRule="exact"/>
        <w:rPr>
          <w:rFonts w:ascii="宋体" w:hAnsi="宋体"/>
          <w:sz w:val="24"/>
        </w:rPr>
      </w:pPr>
      <w:r w:rsidRPr="00CF45BF">
        <w:rPr>
          <w:rFonts w:ascii="宋体" w:hAnsi="宋体"/>
          <w:sz w:val="24"/>
        </w:rPr>
        <w:lastRenderedPageBreak/>
        <w:t>3．付款方式：按每月实际检验量乘以单价付费,付款方式为每个月进行滚动付款</w:t>
      </w:r>
      <w:r w:rsidRPr="00CF45BF">
        <w:rPr>
          <w:rFonts w:ascii="宋体" w:hAnsi="宋体" w:hint="eastAsia"/>
          <w:sz w:val="24"/>
        </w:rPr>
        <w:t>，每个月在收到成交供应商的合法有效的票据后15日内支付</w:t>
      </w:r>
      <w:r w:rsidRPr="00CF45BF">
        <w:rPr>
          <w:rFonts w:ascii="宋体" w:hAnsi="宋体"/>
          <w:sz w:val="24"/>
        </w:rPr>
        <w:t>。</w:t>
      </w:r>
    </w:p>
    <w:p w:rsidR="00B3319D" w:rsidRPr="00CF45BF" w:rsidRDefault="00B3319D" w:rsidP="00B3319D">
      <w:pPr>
        <w:spacing w:line="500" w:lineRule="exact"/>
        <w:rPr>
          <w:rFonts w:ascii="宋体" w:hAnsi="宋体"/>
          <w:sz w:val="24"/>
        </w:rPr>
      </w:pPr>
      <w:r w:rsidRPr="00CF45BF">
        <w:rPr>
          <w:rFonts w:ascii="宋体" w:hAnsi="宋体"/>
          <w:sz w:val="24"/>
        </w:rPr>
        <w:t>4.价格承诺：</w:t>
      </w:r>
      <w:r w:rsidRPr="00CF45BF">
        <w:rPr>
          <w:rFonts w:ascii="宋体" w:hAnsi="宋体" w:cs="宋体" w:hint="eastAsia"/>
          <w:bCs/>
          <w:sz w:val="24"/>
        </w:rPr>
        <w:t>供应商</w:t>
      </w:r>
      <w:r w:rsidRPr="00CF45BF">
        <w:rPr>
          <w:rFonts w:ascii="宋体" w:hAnsi="宋体" w:hint="eastAsia"/>
          <w:sz w:val="24"/>
        </w:rPr>
        <w:t>承诺成交后的价格比成都市其他三甲医院的肿瘤基因检测价格低。</w:t>
      </w:r>
    </w:p>
    <w:p w:rsidR="00B3319D" w:rsidRPr="00CF45BF" w:rsidRDefault="00B3319D" w:rsidP="00B3319D">
      <w:pPr>
        <w:pStyle w:val="2"/>
        <w:spacing w:line="400" w:lineRule="exact"/>
        <w:ind w:firstLineChars="98" w:firstLine="236"/>
        <w:rPr>
          <w:rFonts w:ascii="宋体" w:hAnsi="宋体"/>
          <w:sz w:val="24"/>
        </w:rPr>
      </w:pPr>
      <w:r w:rsidRPr="00CF45BF">
        <w:rPr>
          <w:rFonts w:ascii="宋体" w:hAnsi="宋体" w:hint="eastAsia"/>
          <w:sz w:val="24"/>
        </w:rPr>
        <w:t>三、技术</w:t>
      </w:r>
      <w:r w:rsidRPr="00CF45BF">
        <w:rPr>
          <w:rFonts w:ascii="宋体" w:hAnsi="宋体"/>
          <w:sz w:val="24"/>
        </w:rPr>
        <w:t>、服务要求</w:t>
      </w:r>
      <w:bookmarkEnd w:id="0"/>
    </w:p>
    <w:p w:rsidR="00B3319D" w:rsidRPr="00CF45BF" w:rsidRDefault="00B3319D" w:rsidP="00B3319D">
      <w:pPr>
        <w:spacing w:line="500" w:lineRule="exact"/>
        <w:outlineLvl w:val="2"/>
        <w:rPr>
          <w:rFonts w:ascii="宋体" w:hAnsi="宋体"/>
          <w:b/>
          <w:sz w:val="24"/>
        </w:rPr>
      </w:pPr>
      <w:r w:rsidRPr="00CF45BF">
        <w:rPr>
          <w:rFonts w:ascii="宋体" w:hAnsi="宋体" w:hint="eastAsia"/>
          <w:b/>
          <w:sz w:val="24"/>
        </w:rPr>
        <w:t>（一）服务要求</w:t>
      </w:r>
    </w:p>
    <w:p w:rsidR="00B3319D" w:rsidRPr="00CF45BF" w:rsidRDefault="00B3319D" w:rsidP="00B3319D">
      <w:pPr>
        <w:spacing w:line="500" w:lineRule="exact"/>
        <w:rPr>
          <w:rFonts w:ascii="宋体" w:hAnsi="宋体"/>
          <w:sz w:val="24"/>
        </w:rPr>
      </w:pPr>
      <w:r w:rsidRPr="00CF45BF">
        <w:rPr>
          <w:rFonts w:ascii="宋体" w:hAnsi="宋体"/>
          <w:sz w:val="24"/>
        </w:rPr>
        <w:t>*1.</w:t>
      </w:r>
      <w:r w:rsidRPr="00CF45BF">
        <w:rPr>
          <w:rFonts w:ascii="宋体" w:hAnsi="宋体" w:hint="eastAsia"/>
          <w:sz w:val="24"/>
        </w:rPr>
        <w:t>检测内容</w:t>
      </w:r>
    </w:p>
    <w:p w:rsidR="00B3319D" w:rsidRPr="00CF45BF" w:rsidRDefault="00B3319D" w:rsidP="00B3319D">
      <w:pPr>
        <w:spacing w:line="500" w:lineRule="exact"/>
        <w:rPr>
          <w:rFonts w:ascii="宋体" w:hAnsi="宋体"/>
          <w:sz w:val="24"/>
        </w:rPr>
      </w:pPr>
      <w:r w:rsidRPr="00CF45BF">
        <w:rPr>
          <w:rFonts w:ascii="宋体" w:hAnsi="宋体" w:hint="eastAsia"/>
          <w:sz w:val="24"/>
        </w:rPr>
        <w:t>包括但不限于</w:t>
      </w:r>
      <w:r w:rsidRPr="00CF45BF">
        <w:rPr>
          <w:rFonts w:ascii="宋体" w:hAnsi="宋体" w:cs="宋体" w:hint="eastAsia"/>
          <w:bCs/>
          <w:sz w:val="24"/>
        </w:rPr>
        <w:t>：</w:t>
      </w:r>
      <w:r w:rsidRPr="00CF45BF">
        <w:rPr>
          <w:rFonts w:ascii="宋体" w:hAnsi="宋体" w:hint="eastAsia"/>
          <w:sz w:val="24"/>
        </w:rPr>
        <w:t>泛实体瘤治疗靶点及肿瘤突变负荷检测（组织、</w:t>
      </w:r>
      <w:proofErr w:type="spellStart"/>
      <w:r w:rsidRPr="00CF45BF">
        <w:rPr>
          <w:rFonts w:ascii="宋体" w:hAnsi="宋体"/>
          <w:sz w:val="24"/>
        </w:rPr>
        <w:t>ctDNA</w:t>
      </w:r>
      <w:proofErr w:type="spellEnd"/>
      <w:r w:rsidRPr="00CF45BF">
        <w:rPr>
          <w:rFonts w:ascii="宋体" w:hAnsi="宋体"/>
          <w:sz w:val="24"/>
        </w:rPr>
        <w:t>）＞500</w:t>
      </w:r>
      <w:r w:rsidRPr="00CF45BF">
        <w:rPr>
          <w:rFonts w:ascii="宋体" w:hAnsi="宋体" w:hint="eastAsia"/>
          <w:sz w:val="24"/>
        </w:rPr>
        <w:t>基因</w:t>
      </w:r>
      <w:r w:rsidRPr="00CF45BF">
        <w:rPr>
          <w:rFonts w:ascii="宋体" w:hAnsi="宋体"/>
          <w:sz w:val="24"/>
        </w:rPr>
        <w:t>（包含靶向、TMB、MSI、遗传、免疫治疗等信息）</w:t>
      </w:r>
      <w:r w:rsidRPr="00CF45BF">
        <w:rPr>
          <w:rFonts w:ascii="宋体" w:hAnsi="宋体" w:hint="eastAsia"/>
          <w:sz w:val="24"/>
        </w:rPr>
        <w:t>；</w:t>
      </w:r>
      <w:r w:rsidRPr="00CF45BF">
        <w:rPr>
          <w:rFonts w:ascii="宋体" w:hAnsi="宋体" w:cs="宋体" w:hint="eastAsia"/>
          <w:sz w:val="24"/>
        </w:rPr>
        <w:t>肺癌治疗NCCN指南靶点检测（组织、</w:t>
      </w:r>
      <w:proofErr w:type="spellStart"/>
      <w:r w:rsidRPr="00CF45BF">
        <w:rPr>
          <w:rFonts w:ascii="宋体" w:hAnsi="宋体" w:cs="宋体" w:hint="eastAsia"/>
          <w:sz w:val="24"/>
        </w:rPr>
        <w:t>ctDNA</w:t>
      </w:r>
      <w:proofErr w:type="spellEnd"/>
      <w:r w:rsidRPr="00CF45BF">
        <w:rPr>
          <w:rFonts w:ascii="宋体" w:hAnsi="宋体" w:cs="宋体" w:hint="eastAsia"/>
          <w:sz w:val="24"/>
        </w:rPr>
        <w:t>）；</w:t>
      </w:r>
      <w:proofErr w:type="gramStart"/>
      <w:r w:rsidRPr="00CF45BF">
        <w:rPr>
          <w:rFonts w:ascii="宋体" w:hAnsi="宋体" w:cs="宋体" w:hint="eastAsia"/>
          <w:sz w:val="24"/>
        </w:rPr>
        <w:t>肺癌肺癌</w:t>
      </w:r>
      <w:proofErr w:type="gramEnd"/>
      <w:r w:rsidRPr="00CF45BF">
        <w:rPr>
          <w:rFonts w:ascii="宋体" w:hAnsi="宋体" w:cs="宋体" w:hint="eastAsia"/>
          <w:sz w:val="24"/>
        </w:rPr>
        <w:t>相关基因检测60-100基因；</w:t>
      </w:r>
      <w:proofErr w:type="gramStart"/>
      <w:r w:rsidRPr="00CF45BF">
        <w:rPr>
          <w:rFonts w:ascii="宋体" w:hAnsi="宋体"/>
          <w:sz w:val="24"/>
        </w:rPr>
        <w:t>胃结直肠癌</w:t>
      </w:r>
      <w:proofErr w:type="gramEnd"/>
      <w:r w:rsidRPr="00CF45BF">
        <w:rPr>
          <w:rFonts w:ascii="宋体" w:hAnsi="宋体" w:hint="eastAsia"/>
          <w:sz w:val="24"/>
        </w:rPr>
        <w:t>NCCN指南+MSI靶点检测</w:t>
      </w:r>
      <w:r w:rsidRPr="00CF45BF">
        <w:rPr>
          <w:rFonts w:ascii="宋体" w:hAnsi="宋体"/>
          <w:sz w:val="24"/>
        </w:rPr>
        <w:t>（组织、</w:t>
      </w:r>
      <w:proofErr w:type="spellStart"/>
      <w:r w:rsidRPr="00CF45BF">
        <w:rPr>
          <w:rFonts w:ascii="宋体" w:hAnsi="宋体"/>
          <w:sz w:val="24"/>
        </w:rPr>
        <w:t>ctDNA</w:t>
      </w:r>
      <w:proofErr w:type="spellEnd"/>
      <w:r w:rsidRPr="00CF45BF">
        <w:rPr>
          <w:rFonts w:ascii="宋体" w:hAnsi="宋体"/>
          <w:sz w:val="24"/>
        </w:rPr>
        <w:t>）（包括MSI、肿瘤遗传分析如EPCAM基因等信息)；</w:t>
      </w:r>
      <w:proofErr w:type="gramStart"/>
      <w:r w:rsidRPr="00CF45BF">
        <w:rPr>
          <w:rFonts w:ascii="宋体" w:hAnsi="宋体"/>
          <w:sz w:val="24"/>
        </w:rPr>
        <w:t>胃结直肠癌</w:t>
      </w:r>
      <w:proofErr w:type="gramEnd"/>
      <w:r w:rsidRPr="00CF45BF">
        <w:rPr>
          <w:rFonts w:ascii="宋体" w:hAnsi="宋体" w:hint="eastAsia"/>
          <w:sz w:val="24"/>
        </w:rPr>
        <w:t>相关肿瘤基因检测</w:t>
      </w:r>
      <w:r w:rsidRPr="00CF45BF">
        <w:rPr>
          <w:rFonts w:ascii="宋体" w:hAnsi="宋体"/>
          <w:sz w:val="24"/>
        </w:rPr>
        <w:t>（组织、</w:t>
      </w:r>
      <w:proofErr w:type="spellStart"/>
      <w:r w:rsidRPr="00CF45BF">
        <w:rPr>
          <w:rFonts w:ascii="宋体" w:hAnsi="宋体"/>
          <w:sz w:val="24"/>
        </w:rPr>
        <w:t>ctDNA</w:t>
      </w:r>
      <w:proofErr w:type="spellEnd"/>
      <w:r w:rsidRPr="00CF45BF">
        <w:rPr>
          <w:rFonts w:ascii="宋体" w:hAnsi="宋体"/>
          <w:sz w:val="24"/>
        </w:rPr>
        <w:t>）（包括MSI、肿瘤遗传分析如EPCAM基因等信息)；遗传性肿瘤及遗传性肿瘤综合征（外周血白细胞）；卵巢癌治疗靶点检测（组织、</w:t>
      </w:r>
      <w:proofErr w:type="spellStart"/>
      <w:r w:rsidRPr="00CF45BF">
        <w:rPr>
          <w:rFonts w:ascii="宋体" w:hAnsi="宋体"/>
          <w:sz w:val="24"/>
        </w:rPr>
        <w:t>ctDNA</w:t>
      </w:r>
      <w:proofErr w:type="spellEnd"/>
      <w:r w:rsidRPr="00CF45BF">
        <w:rPr>
          <w:rFonts w:ascii="宋体" w:hAnsi="宋体"/>
          <w:sz w:val="24"/>
        </w:rPr>
        <w:t>）；甲状腺癌治疗靶点检测（组织）；PD-L1免疫组化检测。</w:t>
      </w:r>
      <w:r w:rsidRPr="00CF45BF">
        <w:rPr>
          <w:rFonts w:ascii="宋体" w:hAnsi="宋体" w:hint="eastAsia"/>
          <w:sz w:val="24"/>
        </w:rPr>
        <w:t>乳腺肿瘤</w:t>
      </w:r>
      <w:r w:rsidRPr="00CF45BF">
        <w:rPr>
          <w:rFonts w:ascii="宋体" w:hAnsi="宋体"/>
          <w:sz w:val="24"/>
        </w:rPr>
        <w:t>FISH、肺癌治疗靶点检测（EGFR单位点/EGFR三位点）、BRAF靶点检测、肿瘤液体活检CTC（血液）。</w:t>
      </w:r>
    </w:p>
    <w:p w:rsidR="00B3319D" w:rsidRPr="00CF45BF" w:rsidRDefault="00B3319D" w:rsidP="00B3319D">
      <w:pPr>
        <w:spacing w:line="500" w:lineRule="exact"/>
        <w:rPr>
          <w:rFonts w:ascii="宋体" w:hAnsi="宋体"/>
          <w:sz w:val="24"/>
        </w:rPr>
      </w:pPr>
      <w:r w:rsidRPr="00CF45BF">
        <w:rPr>
          <w:rFonts w:ascii="宋体" w:hAnsi="宋体"/>
          <w:sz w:val="24"/>
        </w:rPr>
        <w:t>*2.供应商应满足采购人工作需要，报价中应包含采购人工作人员采集样本所需的相应耗材。</w:t>
      </w:r>
    </w:p>
    <w:p w:rsidR="00B3319D" w:rsidRPr="00CF45BF" w:rsidRDefault="00B3319D" w:rsidP="00B3319D">
      <w:pPr>
        <w:spacing w:line="500" w:lineRule="exact"/>
        <w:rPr>
          <w:rFonts w:ascii="宋体" w:hAnsi="宋体"/>
          <w:sz w:val="24"/>
        </w:rPr>
      </w:pPr>
      <w:r w:rsidRPr="00CF45BF">
        <w:rPr>
          <w:rFonts w:ascii="宋体" w:hAnsi="宋体"/>
          <w:sz w:val="24"/>
        </w:rPr>
        <w:t>*3、检验过程需严格执行卫生部《医疗机构临床实验室管理办法》及国家相关标准执行，并出具相应的检测报告。</w:t>
      </w:r>
    </w:p>
    <w:p w:rsidR="00B3319D" w:rsidRPr="00CF45BF" w:rsidRDefault="00B3319D" w:rsidP="00B3319D">
      <w:pPr>
        <w:spacing w:line="500" w:lineRule="exact"/>
        <w:rPr>
          <w:rFonts w:ascii="宋体" w:hAnsi="宋体"/>
          <w:sz w:val="24"/>
        </w:rPr>
      </w:pPr>
      <w:r w:rsidRPr="00CF45BF">
        <w:rPr>
          <w:rFonts w:ascii="宋体" w:hAnsi="宋体"/>
          <w:sz w:val="24"/>
        </w:rPr>
        <w:t>4、供应商可提供报告管理系统，在授权范围内，采购人可</w:t>
      </w:r>
      <w:r w:rsidRPr="00CF45BF">
        <w:rPr>
          <w:rFonts w:ascii="宋体" w:hAnsi="宋体" w:hint="eastAsia"/>
          <w:sz w:val="24"/>
        </w:rPr>
        <w:t>随时查看检测进度并可登录报告管理系统在线查询和下载电子报告。</w:t>
      </w:r>
    </w:p>
    <w:p w:rsidR="00B3319D" w:rsidRPr="00CF45BF" w:rsidRDefault="00B3319D" w:rsidP="00B3319D">
      <w:pPr>
        <w:spacing w:line="500" w:lineRule="exact"/>
        <w:rPr>
          <w:rFonts w:ascii="宋体" w:hAnsi="宋体"/>
          <w:sz w:val="24"/>
        </w:rPr>
      </w:pPr>
      <w:r w:rsidRPr="00CF45BF">
        <w:rPr>
          <w:rFonts w:ascii="宋体" w:hAnsi="宋体"/>
          <w:sz w:val="24"/>
        </w:rPr>
        <w:t>5.</w:t>
      </w:r>
      <w:r w:rsidRPr="00CF45BF">
        <w:rPr>
          <w:rFonts w:ascii="宋体" w:hAnsi="宋体" w:cs="宋体" w:hint="eastAsia"/>
          <w:bCs/>
          <w:sz w:val="24"/>
        </w:rPr>
        <w:t>供应商</w:t>
      </w:r>
      <w:r w:rsidRPr="00CF45BF">
        <w:rPr>
          <w:rFonts w:ascii="宋体" w:hAnsi="宋体"/>
          <w:sz w:val="24"/>
        </w:rPr>
        <w:t>承诺提供针对本项目的服务实施方案</w:t>
      </w:r>
      <w:r w:rsidRPr="00CF45BF">
        <w:rPr>
          <w:rFonts w:ascii="宋体" w:hAnsi="宋体" w:hint="eastAsia"/>
          <w:sz w:val="24"/>
        </w:rPr>
        <w:t>。</w:t>
      </w:r>
    </w:p>
    <w:p w:rsidR="00B3319D" w:rsidRPr="00CF45BF" w:rsidRDefault="00B3319D" w:rsidP="00B3319D">
      <w:pPr>
        <w:spacing w:line="500" w:lineRule="exact"/>
        <w:rPr>
          <w:rFonts w:ascii="宋体" w:hAnsi="宋体"/>
          <w:sz w:val="24"/>
        </w:rPr>
      </w:pPr>
      <w:r w:rsidRPr="00CF45BF">
        <w:rPr>
          <w:rFonts w:ascii="宋体" w:hAnsi="宋体"/>
          <w:sz w:val="24"/>
        </w:rPr>
        <w:t>6.</w:t>
      </w:r>
      <w:r w:rsidRPr="00CF45BF">
        <w:rPr>
          <w:rFonts w:ascii="宋体" w:hAnsi="宋体" w:cs="宋体" w:hint="eastAsia"/>
          <w:bCs/>
          <w:sz w:val="24"/>
        </w:rPr>
        <w:t>供应商</w:t>
      </w:r>
      <w:r w:rsidRPr="00CF45BF">
        <w:rPr>
          <w:rFonts w:ascii="宋体" w:hAnsi="宋体"/>
          <w:sz w:val="24"/>
        </w:rPr>
        <w:t>承诺</w:t>
      </w:r>
      <w:r w:rsidRPr="00CF45BF">
        <w:rPr>
          <w:rFonts w:ascii="宋体" w:hAnsi="宋体" w:hint="eastAsia"/>
          <w:sz w:val="24"/>
        </w:rPr>
        <w:t>提供基因检测结果解读和咨询。</w:t>
      </w:r>
    </w:p>
    <w:p w:rsidR="00B3319D" w:rsidRPr="00CF45BF" w:rsidRDefault="00B3319D" w:rsidP="00B3319D">
      <w:pPr>
        <w:spacing w:line="500" w:lineRule="exact"/>
        <w:rPr>
          <w:rFonts w:ascii="宋体" w:hAnsi="宋体"/>
          <w:sz w:val="24"/>
        </w:rPr>
      </w:pPr>
      <w:r w:rsidRPr="00CF45BF">
        <w:rPr>
          <w:rFonts w:ascii="宋体" w:hAnsi="宋体"/>
          <w:sz w:val="24"/>
        </w:rPr>
        <w:t>7.</w:t>
      </w:r>
      <w:r w:rsidRPr="00CF45BF">
        <w:rPr>
          <w:rFonts w:ascii="宋体" w:hAnsi="宋体" w:cs="宋体" w:hint="eastAsia"/>
          <w:bCs/>
          <w:sz w:val="24"/>
        </w:rPr>
        <w:t>供应商</w:t>
      </w:r>
      <w:r w:rsidRPr="00CF45BF">
        <w:rPr>
          <w:rFonts w:ascii="宋体" w:hAnsi="宋体"/>
          <w:sz w:val="24"/>
        </w:rPr>
        <w:t>承诺提供售后服务</w:t>
      </w:r>
      <w:r w:rsidRPr="00CF45BF">
        <w:rPr>
          <w:rFonts w:ascii="宋体" w:hAnsi="宋体" w:hint="eastAsia"/>
          <w:sz w:val="24"/>
        </w:rPr>
        <w:t>。</w:t>
      </w:r>
    </w:p>
    <w:p w:rsidR="00B3319D" w:rsidRPr="00CF45BF" w:rsidRDefault="00B3319D" w:rsidP="00B3319D">
      <w:pPr>
        <w:spacing w:line="500" w:lineRule="exact"/>
        <w:rPr>
          <w:rFonts w:ascii="宋体" w:hAnsi="宋体"/>
          <w:sz w:val="24"/>
        </w:rPr>
      </w:pPr>
      <w:r w:rsidRPr="00CF45BF">
        <w:rPr>
          <w:rFonts w:ascii="宋体" w:hAnsi="宋体"/>
          <w:sz w:val="24"/>
        </w:rPr>
        <w:t>*8.</w:t>
      </w:r>
      <w:r w:rsidRPr="00CF45BF">
        <w:rPr>
          <w:rFonts w:ascii="宋体" w:hAnsi="宋体"/>
        </w:rPr>
        <w:t xml:space="preserve"> </w:t>
      </w:r>
      <w:r w:rsidRPr="00CF45BF">
        <w:rPr>
          <w:rFonts w:ascii="宋体" w:hAnsi="宋体" w:hint="eastAsia"/>
          <w:sz w:val="24"/>
        </w:rPr>
        <w:t>根据《医疗器械监督管理条例》《体外诊断试剂注册管理办法》用于临床诊断的肿瘤</w:t>
      </w:r>
      <w:r w:rsidRPr="00CF45BF">
        <w:rPr>
          <w:rFonts w:ascii="宋体" w:hAnsi="宋体"/>
          <w:sz w:val="24"/>
        </w:rPr>
        <w:t>检测相关试剂盒产品必须</w:t>
      </w:r>
      <w:r w:rsidRPr="00CF45BF">
        <w:rPr>
          <w:rFonts w:ascii="宋体" w:hAnsi="宋体" w:hint="eastAsia"/>
          <w:sz w:val="24"/>
        </w:rPr>
        <w:t>提供注册证明</w:t>
      </w:r>
      <w:r w:rsidRPr="00CF45BF">
        <w:rPr>
          <w:rFonts w:ascii="宋体" w:hAnsi="宋体"/>
          <w:sz w:val="24"/>
        </w:rPr>
        <w:t>。</w:t>
      </w:r>
      <w:r w:rsidRPr="00CF45BF">
        <w:rPr>
          <w:rFonts w:ascii="宋体" w:hAnsi="宋体" w:hint="eastAsia"/>
          <w:sz w:val="24"/>
        </w:rPr>
        <w:t>（供应商在磋商时提供承诺函，</w:t>
      </w:r>
      <w:r w:rsidRPr="00CF45BF">
        <w:rPr>
          <w:rFonts w:ascii="宋体" w:hAnsi="宋体" w:hint="eastAsia"/>
          <w:sz w:val="24"/>
        </w:rPr>
        <w:lastRenderedPageBreak/>
        <w:t>承诺本次采购的13项采购项目所对应检测试剂均具有注册证明，并在与采购人签订采购合同时提供注册证明材料，若在签订采购合同</w:t>
      </w:r>
      <w:proofErr w:type="gramStart"/>
      <w:r w:rsidRPr="00CF45BF">
        <w:rPr>
          <w:rFonts w:ascii="宋体" w:hAnsi="宋体" w:hint="eastAsia"/>
          <w:sz w:val="24"/>
        </w:rPr>
        <w:t>时供应</w:t>
      </w:r>
      <w:proofErr w:type="gramEnd"/>
      <w:r w:rsidRPr="00CF45BF">
        <w:rPr>
          <w:rFonts w:ascii="宋体" w:hAnsi="宋体" w:hint="eastAsia"/>
          <w:sz w:val="24"/>
        </w:rPr>
        <w:t>商未提供注册证明材料的，采购人将拒绝与其签订采购合同。）</w:t>
      </w:r>
    </w:p>
    <w:p w:rsidR="00B3319D" w:rsidRPr="00CF45BF" w:rsidRDefault="00B3319D" w:rsidP="00B3319D">
      <w:pPr>
        <w:spacing w:line="360" w:lineRule="auto"/>
        <w:outlineLvl w:val="2"/>
        <w:rPr>
          <w:rFonts w:ascii="宋体" w:hAnsi="宋体"/>
          <w:b/>
          <w:sz w:val="24"/>
        </w:rPr>
      </w:pPr>
      <w:r w:rsidRPr="00CF45BF">
        <w:rPr>
          <w:rFonts w:ascii="宋体" w:hAnsi="宋体" w:cs="宋体" w:hint="eastAsia"/>
          <w:b/>
          <w:sz w:val="24"/>
        </w:rPr>
        <w:t>（二）</w:t>
      </w:r>
      <w:r w:rsidRPr="00CF45BF">
        <w:rPr>
          <w:rFonts w:ascii="宋体" w:hAnsi="宋体" w:hint="eastAsia"/>
          <w:b/>
          <w:sz w:val="24"/>
        </w:rPr>
        <w:t>技术参数要求</w:t>
      </w:r>
    </w:p>
    <w:p w:rsidR="00B3319D" w:rsidRPr="00CF45BF" w:rsidRDefault="00B3319D" w:rsidP="00B3319D">
      <w:pPr>
        <w:spacing w:line="360" w:lineRule="auto"/>
        <w:outlineLvl w:val="2"/>
        <w:rPr>
          <w:rFonts w:ascii="宋体" w:hAnsi="宋体" w:cs="宋体"/>
          <w:b/>
          <w:sz w:val="24"/>
        </w:rPr>
      </w:pPr>
      <w:r w:rsidRPr="00CF45BF">
        <w:rPr>
          <w:rFonts w:ascii="宋体" w:hAnsi="宋体" w:cs="宋体" w:hint="eastAsia"/>
          <w:b/>
          <w:sz w:val="24"/>
        </w:rPr>
        <w:t>1.总体要求</w:t>
      </w:r>
    </w:p>
    <w:p w:rsidR="00B3319D" w:rsidRPr="00CF45BF" w:rsidRDefault="00B3319D" w:rsidP="00B3319D">
      <w:pPr>
        <w:spacing w:line="360" w:lineRule="auto"/>
        <w:rPr>
          <w:rFonts w:ascii="宋体" w:hAnsi="宋体" w:cs="宋体"/>
          <w:bCs/>
          <w:sz w:val="24"/>
        </w:rPr>
      </w:pPr>
      <w:r w:rsidRPr="00CF45BF">
        <w:rPr>
          <w:rFonts w:ascii="宋体" w:hAnsi="宋体" w:cs="宋体" w:hint="eastAsia"/>
          <w:bCs/>
          <w:sz w:val="24"/>
        </w:rPr>
        <w:t>1.1供应商提供的服务项目可在DNA水平上一次性检出基因的不同变异类型，包括点突变、插入缺失、基因重排（融合）和拷贝数变异；</w:t>
      </w:r>
    </w:p>
    <w:p w:rsidR="00B3319D" w:rsidRPr="00CF45BF" w:rsidRDefault="00B3319D" w:rsidP="00B3319D">
      <w:pPr>
        <w:spacing w:line="360" w:lineRule="auto"/>
        <w:rPr>
          <w:rFonts w:ascii="宋体" w:hAnsi="宋体" w:cs="宋体"/>
          <w:bCs/>
          <w:sz w:val="24"/>
        </w:rPr>
      </w:pPr>
      <w:r w:rsidRPr="00CF45BF">
        <w:rPr>
          <w:rFonts w:ascii="宋体" w:hAnsi="宋体" w:cs="宋体" w:hint="eastAsia"/>
          <w:bCs/>
          <w:sz w:val="24"/>
        </w:rPr>
        <w:t>1.2测序质量：≥85% reads达到Q30；</w:t>
      </w:r>
    </w:p>
    <w:p w:rsidR="00B3319D" w:rsidRPr="00CF45BF" w:rsidRDefault="00B3319D" w:rsidP="00B3319D">
      <w:pPr>
        <w:spacing w:line="360" w:lineRule="auto"/>
        <w:rPr>
          <w:rFonts w:ascii="宋体" w:hAnsi="宋体" w:cs="宋体"/>
          <w:bCs/>
          <w:sz w:val="24"/>
        </w:rPr>
      </w:pPr>
      <w:r w:rsidRPr="00CF45BF">
        <w:rPr>
          <w:rFonts w:ascii="宋体" w:hAnsi="宋体" w:cs="宋体" w:hint="eastAsia"/>
          <w:bCs/>
          <w:sz w:val="24"/>
        </w:rPr>
        <w:t>1.3检测报告质</w:t>
      </w:r>
      <w:proofErr w:type="gramStart"/>
      <w:r w:rsidRPr="00CF45BF">
        <w:rPr>
          <w:rFonts w:ascii="宋体" w:hAnsi="宋体" w:cs="宋体" w:hint="eastAsia"/>
          <w:bCs/>
          <w:sz w:val="24"/>
        </w:rPr>
        <w:t>控信息</w:t>
      </w:r>
      <w:proofErr w:type="gramEnd"/>
      <w:r w:rsidRPr="00CF45BF">
        <w:rPr>
          <w:rFonts w:ascii="宋体" w:hAnsi="宋体" w:cs="宋体" w:hint="eastAsia"/>
          <w:bCs/>
          <w:sz w:val="24"/>
        </w:rPr>
        <w:t>至少包含：恶性肿瘤细胞占比(%)，肿瘤面积，DNA总量(ng)，DNA片段降解程度，预文库总量(ng)，文库总量（ng），文库片段评估（</w:t>
      </w:r>
      <w:proofErr w:type="spellStart"/>
      <w:r w:rsidRPr="00CF45BF">
        <w:rPr>
          <w:rFonts w:ascii="宋体" w:hAnsi="宋体" w:cs="宋体" w:hint="eastAsia"/>
          <w:bCs/>
          <w:sz w:val="24"/>
        </w:rPr>
        <w:t>bp</w:t>
      </w:r>
      <w:proofErr w:type="spellEnd"/>
      <w:r w:rsidRPr="00CF45BF">
        <w:rPr>
          <w:rFonts w:ascii="宋体" w:hAnsi="宋体" w:cs="宋体" w:hint="eastAsia"/>
          <w:bCs/>
          <w:sz w:val="24"/>
        </w:rPr>
        <w:t>），平均测序深度，碱基质量Q30占比，阴性、阳性参考品评估等总体评估，需提供检测报告模板证明材料。</w:t>
      </w:r>
    </w:p>
    <w:p w:rsidR="00B3319D" w:rsidRPr="00CF45BF" w:rsidRDefault="00B3319D" w:rsidP="00B3319D">
      <w:pPr>
        <w:spacing w:line="360" w:lineRule="auto"/>
        <w:rPr>
          <w:rFonts w:ascii="宋体" w:hAnsi="宋体" w:cs="宋体"/>
          <w:bCs/>
          <w:sz w:val="24"/>
        </w:rPr>
      </w:pPr>
      <w:r w:rsidRPr="00CF45BF">
        <w:rPr>
          <w:rFonts w:ascii="宋体" w:hAnsi="宋体" w:cs="宋体" w:hint="eastAsia"/>
          <w:bCs/>
          <w:sz w:val="24"/>
        </w:rPr>
        <w:t>1.4健全的样本污染评估机制；</w:t>
      </w:r>
    </w:p>
    <w:p w:rsidR="00B3319D" w:rsidRPr="00CF45BF" w:rsidRDefault="00B3319D" w:rsidP="00B3319D">
      <w:pPr>
        <w:spacing w:line="360" w:lineRule="auto"/>
        <w:rPr>
          <w:rFonts w:ascii="宋体" w:hAnsi="宋体" w:cs="宋体"/>
          <w:bCs/>
          <w:sz w:val="24"/>
        </w:rPr>
      </w:pPr>
      <w:r w:rsidRPr="00CF45BF">
        <w:rPr>
          <w:rFonts w:ascii="宋体" w:hAnsi="宋体" w:cs="宋体" w:hint="eastAsia"/>
          <w:bCs/>
          <w:sz w:val="24"/>
        </w:rPr>
        <w:t>1.5报告周期：不大于10个工作日。</w:t>
      </w:r>
    </w:p>
    <w:p w:rsidR="00B3319D" w:rsidRPr="00CF45BF" w:rsidRDefault="00B3319D" w:rsidP="00B3319D">
      <w:pPr>
        <w:spacing w:line="360" w:lineRule="auto"/>
        <w:rPr>
          <w:rFonts w:ascii="宋体" w:hAnsi="宋体" w:cs="宋体"/>
          <w:bCs/>
          <w:sz w:val="24"/>
        </w:rPr>
      </w:pPr>
      <w:r w:rsidRPr="00CF45BF">
        <w:rPr>
          <w:rFonts w:ascii="宋体" w:hAnsi="宋体" w:cs="宋体" w:hint="eastAsia"/>
          <w:bCs/>
          <w:sz w:val="24"/>
        </w:rPr>
        <w:t>1.6可以对各种基因变异的丰度进行定量检测，在检测报告中同时呈现变异的判读以及变异的丰度，辅助临床医生判断各个突变在肿瘤中所在的亚克隆占比。</w:t>
      </w:r>
    </w:p>
    <w:p w:rsidR="00B3319D" w:rsidRPr="00CF45BF" w:rsidRDefault="00B3319D" w:rsidP="00B3319D">
      <w:pPr>
        <w:numPr>
          <w:ilvl w:val="0"/>
          <w:numId w:val="1"/>
        </w:numPr>
        <w:spacing w:line="360" w:lineRule="auto"/>
        <w:outlineLvl w:val="2"/>
        <w:rPr>
          <w:rFonts w:ascii="宋体" w:hAnsi="宋体" w:cs="宋体"/>
          <w:b/>
          <w:sz w:val="24"/>
        </w:rPr>
      </w:pPr>
      <w:r w:rsidRPr="00CF45BF">
        <w:rPr>
          <w:rFonts w:ascii="宋体" w:hAnsi="宋体" w:cs="宋体" w:hint="eastAsia"/>
          <w:b/>
          <w:sz w:val="24"/>
        </w:rPr>
        <w:t>具体技术参数要求</w:t>
      </w:r>
    </w:p>
    <w:p w:rsidR="00B3319D" w:rsidRPr="00CF45BF" w:rsidRDefault="00B3319D" w:rsidP="00B3319D">
      <w:pPr>
        <w:spacing w:line="360" w:lineRule="auto"/>
        <w:rPr>
          <w:rFonts w:ascii="宋体" w:hAnsi="宋体" w:cs="宋体"/>
          <w:sz w:val="24"/>
        </w:rPr>
      </w:pPr>
      <w:r w:rsidRPr="00CF45BF">
        <w:rPr>
          <w:rFonts w:ascii="宋体" w:hAnsi="宋体" w:cs="宋体" w:hint="eastAsia"/>
          <w:bCs/>
          <w:sz w:val="24"/>
        </w:rPr>
        <w:t>2.1</w:t>
      </w:r>
      <w:r w:rsidRPr="00CF45BF">
        <w:rPr>
          <w:rFonts w:ascii="宋体" w:hAnsi="宋体" w:cs="宋体" w:hint="eastAsia"/>
          <w:sz w:val="24"/>
        </w:rPr>
        <w:t>泛实体瘤治疗靶点及肿瘤突变负荷检测</w:t>
      </w:r>
      <w:r w:rsidRPr="00CF45BF">
        <w:rPr>
          <w:rFonts w:ascii="宋体" w:hAnsi="宋体" w:cs="宋体" w:hint="eastAsia"/>
          <w:bCs/>
          <w:sz w:val="24"/>
        </w:rPr>
        <w:t>（组织、</w:t>
      </w:r>
      <w:proofErr w:type="spellStart"/>
      <w:r w:rsidRPr="00CF45BF">
        <w:rPr>
          <w:rFonts w:ascii="宋体" w:hAnsi="宋体" w:cs="宋体" w:hint="eastAsia"/>
          <w:bCs/>
          <w:sz w:val="24"/>
        </w:rPr>
        <w:t>ctDNA</w:t>
      </w:r>
      <w:proofErr w:type="spellEnd"/>
      <w:r w:rsidRPr="00CF45BF">
        <w:rPr>
          <w:rFonts w:ascii="宋体" w:hAnsi="宋体" w:cs="宋体" w:hint="eastAsia"/>
          <w:bCs/>
          <w:sz w:val="24"/>
        </w:rPr>
        <w:t>）</w:t>
      </w:r>
      <w:r w:rsidRPr="00CF45BF">
        <w:rPr>
          <w:rFonts w:ascii="宋体" w:hAnsi="宋体" w:cs="宋体" w:hint="eastAsia"/>
          <w:sz w:val="24"/>
        </w:rPr>
        <w:t>≥</w:t>
      </w:r>
      <w:r w:rsidRPr="00CF45BF">
        <w:rPr>
          <w:rFonts w:ascii="宋体" w:hAnsi="宋体" w:cs="宋体" w:hint="eastAsia"/>
          <w:bCs/>
          <w:sz w:val="24"/>
        </w:rPr>
        <w:t>500个</w:t>
      </w:r>
      <w:r w:rsidRPr="00CF45BF">
        <w:rPr>
          <w:rFonts w:ascii="宋体" w:hAnsi="宋体" w:cs="宋体" w:hint="eastAsia"/>
          <w:sz w:val="24"/>
        </w:rPr>
        <w:t>（包含靶向、TMB、MSI、遗传、免疫治疗等信息）</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（1）检测基因数≥500；</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（2）检测项目覆盖范围≥1.5M；</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3）检测内容：用于检测泛实体瘤中驱动基因、肿瘤通路基因、肿瘤突变负荷、微卫星状态、免疫正负向因子、细胞损伤修复、遗传易感等各项信息。至少包含靶向、TMB、BRCA、MSI、POLE、覆盖HRR相关通路、遗传易感等基因；</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（4）样本要求：石蜡组织标本，新鲜组织，血液 ；</w:t>
      </w:r>
    </w:p>
    <w:p w:rsidR="00B3319D" w:rsidRPr="00CF45BF" w:rsidRDefault="00B3319D" w:rsidP="00B3319D">
      <w:pPr>
        <w:spacing w:before="267" w:line="360" w:lineRule="auto"/>
        <w:rPr>
          <w:rFonts w:ascii="宋体" w:hAnsi="宋体" w:cs="宋体"/>
          <w:spacing w:val="1"/>
          <w:sz w:val="24"/>
        </w:rPr>
      </w:pPr>
      <w:r w:rsidRPr="00CF45BF">
        <w:rPr>
          <w:rFonts w:ascii="宋体" w:hAnsi="宋体" w:cs="宋体" w:hint="eastAsia"/>
          <w:sz w:val="24"/>
        </w:rPr>
        <w:t>2.2肺癌治疗NCCN指南靶点检测</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lastRenderedPageBreak/>
        <w:t>（1）8≤检测基因数≤20；</w:t>
      </w:r>
    </w:p>
    <w:p w:rsidR="00B3319D" w:rsidRPr="00CF45BF" w:rsidRDefault="00B3319D" w:rsidP="00B3319D">
      <w:pPr>
        <w:spacing w:before="267" w:line="360" w:lineRule="auto"/>
        <w:jc w:val="left"/>
        <w:rPr>
          <w:rFonts w:ascii="宋体" w:hAnsi="宋体" w:cs="宋体"/>
          <w:sz w:val="24"/>
        </w:rPr>
      </w:pPr>
      <w:r w:rsidRPr="00CF45BF">
        <w:rPr>
          <w:rFonts w:ascii="宋体" w:hAnsi="宋体" w:cs="宋体" w:hint="eastAsia"/>
          <w:sz w:val="24"/>
        </w:rPr>
        <w:t>（2）检测内容：至少覆盖肺癌NCCN指南相关的主要基因（EGFR/KRAS/BRAF/HER2/MET/ALK/ROS1/RET）；充分检测ROS1/ALK／RET融合的优先；充分检测MET-14skip的优先；能检测EGFR、ERBB2扩增的优先；以上基因对于肺癌患者均有明确意义的靶点和药物，指导临床伴随诊断和治疗；</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（3）样本要求：石蜡组织标本，新鲜组织，血液；</w:t>
      </w:r>
    </w:p>
    <w:p w:rsidR="00B3319D" w:rsidRPr="00CF45BF" w:rsidRDefault="00B3319D" w:rsidP="00B3319D">
      <w:pPr>
        <w:spacing w:before="267" w:line="360" w:lineRule="auto"/>
        <w:rPr>
          <w:rFonts w:ascii="宋体" w:hAnsi="宋体" w:cs="宋体"/>
          <w:spacing w:val="1"/>
          <w:sz w:val="24"/>
        </w:rPr>
      </w:pPr>
      <w:r w:rsidRPr="00CF45BF">
        <w:rPr>
          <w:rFonts w:ascii="宋体" w:hAnsi="宋体" w:cs="宋体" w:hint="eastAsia"/>
          <w:sz w:val="24"/>
        </w:rPr>
        <w:t>2.3肺癌相关基因检测</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（1）60≤检测基因数＜100；</w:t>
      </w:r>
    </w:p>
    <w:p w:rsidR="00B3319D" w:rsidRPr="00CF45BF" w:rsidRDefault="00B3319D" w:rsidP="00B3319D">
      <w:pPr>
        <w:spacing w:before="267" w:line="360" w:lineRule="auto"/>
        <w:jc w:val="left"/>
        <w:rPr>
          <w:rFonts w:ascii="宋体" w:hAnsi="宋体" w:cs="宋体"/>
          <w:sz w:val="24"/>
        </w:rPr>
      </w:pPr>
      <w:r w:rsidRPr="00CF45BF">
        <w:rPr>
          <w:rFonts w:ascii="宋体" w:hAnsi="宋体" w:cs="宋体" w:hint="eastAsia"/>
          <w:sz w:val="24"/>
        </w:rPr>
        <w:t>（2）检测内容：至少覆盖肺癌NCCN指南相关的主要基因（EGFR/KRAS/BRAF/HER2/MET/ALK/ROS1/RET）；充分检测ROS1/ALK／RET融合的优先；充分检测MET-14skip的优先；能检测EGFR、ERBB2扩增的优先；以上基因对于肺癌患者均有明确意义的靶点和药物，指导临床伴随诊断和治疗；</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（3）样本要求：石蜡组织标本，新鲜组织，血液；</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2.4</w:t>
      </w:r>
      <w:proofErr w:type="gramStart"/>
      <w:r w:rsidRPr="00CF45BF">
        <w:rPr>
          <w:rFonts w:ascii="宋体" w:hAnsi="宋体" w:cs="宋体" w:hint="eastAsia"/>
          <w:bCs/>
          <w:sz w:val="24"/>
        </w:rPr>
        <w:t>胃结直肠癌</w:t>
      </w:r>
      <w:proofErr w:type="gramEnd"/>
      <w:r w:rsidRPr="00CF45BF">
        <w:rPr>
          <w:rFonts w:ascii="宋体" w:hAnsi="宋体" w:cs="宋体" w:hint="eastAsia"/>
          <w:bCs/>
          <w:sz w:val="24"/>
        </w:rPr>
        <w:t>NCCN指南+MSI靶点检测</w:t>
      </w:r>
      <w:r w:rsidRPr="00CF45BF">
        <w:rPr>
          <w:rFonts w:ascii="宋体" w:hAnsi="宋体" w:cs="宋体" w:hint="eastAsia"/>
          <w:sz w:val="24"/>
        </w:rPr>
        <w:t>（包括MSI、肿瘤遗传分析如EPCAM基因等信息)</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（1）8≤检测基因数＜12</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（2）检测内容：覆盖NCCN指南明确与结直肠癌治疗和预后相关基因、结直肠癌遗传相关基因以及其他胃肠道肿瘤相关基因，至少包含KRAS、NRAS、BRAF、HER2、KIT、PDGFRA、遗传</w:t>
      </w:r>
      <w:proofErr w:type="gramStart"/>
      <w:r w:rsidRPr="00CF45BF">
        <w:rPr>
          <w:rFonts w:ascii="宋体" w:hAnsi="宋体" w:cs="宋体" w:hint="eastAsia"/>
          <w:sz w:val="24"/>
        </w:rPr>
        <w:t>易感如林奇</w:t>
      </w:r>
      <w:proofErr w:type="gramEnd"/>
      <w:r w:rsidRPr="00CF45BF">
        <w:rPr>
          <w:rFonts w:ascii="宋体" w:hAnsi="宋体" w:cs="宋体" w:hint="eastAsia"/>
          <w:sz w:val="24"/>
        </w:rPr>
        <w:t>综合症等相关基因；</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（3）能检测MSI状态；</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（4）样本要求：石蜡组织标本，新鲜组织，血液。</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2.5</w:t>
      </w:r>
      <w:proofErr w:type="gramStart"/>
      <w:r w:rsidRPr="00CF45BF">
        <w:rPr>
          <w:rFonts w:ascii="宋体" w:hAnsi="宋体" w:cs="宋体" w:hint="eastAsia"/>
          <w:bCs/>
          <w:sz w:val="24"/>
        </w:rPr>
        <w:t>胃结直肠癌</w:t>
      </w:r>
      <w:proofErr w:type="gramEnd"/>
      <w:r w:rsidRPr="00CF45BF">
        <w:rPr>
          <w:rFonts w:ascii="宋体" w:hAnsi="宋体" w:cs="宋体" w:hint="eastAsia"/>
          <w:bCs/>
          <w:sz w:val="24"/>
        </w:rPr>
        <w:t>相关基因检测</w:t>
      </w:r>
      <w:r w:rsidRPr="00CF45BF">
        <w:rPr>
          <w:rFonts w:ascii="宋体" w:hAnsi="宋体" w:cs="宋体" w:hint="eastAsia"/>
          <w:sz w:val="24"/>
        </w:rPr>
        <w:t>（包括MSI、肿瘤遗传分析如EPCAM基因等信息)</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lastRenderedPageBreak/>
        <w:t>（1）检测基因数≥40；</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（2）检测内容：覆盖NCCN指南明确与结直肠癌治疗和预后相关基因、结直肠癌遗传相关基因以及其他胃肠道肿瘤相关基因，至少包含KRAS、NRAS、BRAF、HER2、KIT、PDGFRA、遗传</w:t>
      </w:r>
      <w:proofErr w:type="gramStart"/>
      <w:r w:rsidRPr="00CF45BF">
        <w:rPr>
          <w:rFonts w:ascii="宋体" w:hAnsi="宋体" w:cs="宋体" w:hint="eastAsia"/>
          <w:sz w:val="24"/>
        </w:rPr>
        <w:t>易感如林奇</w:t>
      </w:r>
      <w:proofErr w:type="gramEnd"/>
      <w:r w:rsidRPr="00CF45BF">
        <w:rPr>
          <w:rFonts w:ascii="宋体" w:hAnsi="宋体" w:cs="宋体" w:hint="eastAsia"/>
          <w:sz w:val="24"/>
        </w:rPr>
        <w:t>综合症等相关基因；</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（3）能检测MSI状态；</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（4）样本要求：石蜡组织标本，新鲜组织，血液。</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2.6遗传性肿瘤及遗传性肿瘤综合征（外周血白细胞）</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（1）基因数≥50；</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（2）检测内容：</w:t>
      </w:r>
      <w:r w:rsidRPr="00CF45BF">
        <w:rPr>
          <w:rFonts w:ascii="宋体" w:hAnsi="宋体" w:cs="宋体" w:hint="eastAsia"/>
          <w:spacing w:val="1"/>
          <w:sz w:val="24"/>
        </w:rPr>
        <w:t>全面覆盖遗传性卵巢癌-乳腺癌综合征，林奇(Lynch)综合征，</w:t>
      </w:r>
      <w:proofErr w:type="spellStart"/>
      <w:r w:rsidRPr="00CF45BF">
        <w:rPr>
          <w:rFonts w:ascii="宋体" w:hAnsi="宋体" w:cs="宋体" w:hint="eastAsia"/>
          <w:spacing w:val="1"/>
          <w:sz w:val="24"/>
        </w:rPr>
        <w:t>Peutz-Jeghers</w:t>
      </w:r>
      <w:proofErr w:type="spellEnd"/>
      <w:r w:rsidRPr="00CF45BF">
        <w:rPr>
          <w:rFonts w:ascii="宋体" w:hAnsi="宋体" w:cs="宋体" w:hint="eastAsia"/>
          <w:spacing w:val="1"/>
          <w:sz w:val="24"/>
        </w:rPr>
        <w:t>综合征，李-</w:t>
      </w:r>
      <w:proofErr w:type="gramStart"/>
      <w:r w:rsidRPr="00CF45BF">
        <w:rPr>
          <w:rFonts w:ascii="宋体" w:hAnsi="宋体" w:cs="宋体" w:hint="eastAsia"/>
          <w:spacing w:val="1"/>
          <w:sz w:val="24"/>
        </w:rPr>
        <w:t>佛美尼</w:t>
      </w:r>
      <w:proofErr w:type="gramEnd"/>
      <w:r w:rsidRPr="00CF45BF">
        <w:rPr>
          <w:rFonts w:ascii="宋体" w:hAnsi="宋体" w:cs="宋体" w:hint="eastAsia"/>
          <w:spacing w:val="1"/>
          <w:sz w:val="24"/>
        </w:rPr>
        <w:t>综合征、Cowden综合征等多个NCCN指南推荐检测的遗传性肿瘤综合征基因</w:t>
      </w:r>
      <w:r w:rsidRPr="00CF45BF">
        <w:rPr>
          <w:rFonts w:ascii="宋体" w:hAnsi="宋体" w:cs="宋体" w:hint="eastAsia"/>
          <w:sz w:val="24"/>
        </w:rPr>
        <w:t>；</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（3）健全的胚系变异解读策略；</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（4）样本要求：血液。</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2.7</w:t>
      </w:r>
      <w:r w:rsidRPr="00CF45BF">
        <w:rPr>
          <w:rFonts w:ascii="宋体" w:hAnsi="宋体" w:hint="eastAsia"/>
          <w:sz w:val="24"/>
        </w:rPr>
        <w:t>卵巢癌治疗靶点检测</w:t>
      </w:r>
      <w:r w:rsidRPr="00CF45BF">
        <w:rPr>
          <w:rFonts w:ascii="宋体" w:hAnsi="宋体" w:cs="宋体" w:hint="eastAsia"/>
          <w:bCs/>
          <w:sz w:val="24"/>
        </w:rPr>
        <w:t>（组织、</w:t>
      </w:r>
      <w:proofErr w:type="spellStart"/>
      <w:r w:rsidRPr="00CF45BF">
        <w:rPr>
          <w:rFonts w:ascii="宋体" w:hAnsi="宋体" w:cs="宋体" w:hint="eastAsia"/>
          <w:bCs/>
          <w:sz w:val="24"/>
        </w:rPr>
        <w:t>ctDNA</w:t>
      </w:r>
      <w:proofErr w:type="spellEnd"/>
      <w:r w:rsidRPr="00CF45BF">
        <w:rPr>
          <w:rFonts w:ascii="宋体" w:hAnsi="宋体" w:cs="宋体" w:hint="eastAsia"/>
          <w:bCs/>
          <w:sz w:val="24"/>
        </w:rPr>
        <w:t>）</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（1）检测基因数≥70</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（2）检测内容针对HRR重点基因的NGS检测试剂盒，同时获得HRR基因胚系与体系突变状态的信息。用于检测BRCA1/BRCA2在内的15-20个同源重组修复相关基因的点突变、插入、缺失等多种变异类型；</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（3）能检测BRCA1/2大片段重排的优先；</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（4）针对卵巢癌可检测HRD状态：需基于中国人群遗传背景设计，能评估基因组中杂合性缺失（LOH），端粒等位基因失衡（TAI），以及大片段转移（LST）后得到基因组不稳定水平；</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（5）样本要求：石蜡组织样本，新鲜组织，血液；</w:t>
      </w:r>
    </w:p>
    <w:p w:rsidR="00B3319D" w:rsidRPr="00CF45BF" w:rsidRDefault="00B3319D" w:rsidP="00B3319D">
      <w:pPr>
        <w:spacing w:before="267" w:line="360" w:lineRule="auto"/>
        <w:rPr>
          <w:rFonts w:ascii="宋体" w:hAnsi="宋体" w:cs="宋体"/>
          <w:sz w:val="24"/>
        </w:rPr>
      </w:pPr>
      <w:r w:rsidRPr="00CF45BF">
        <w:rPr>
          <w:rFonts w:ascii="宋体" w:hAnsi="宋体" w:cs="宋体" w:hint="eastAsia"/>
          <w:sz w:val="24"/>
        </w:rPr>
        <w:t>2.8甲状腺癌治疗靶点检测</w:t>
      </w:r>
      <w:r w:rsidRPr="00CF45BF">
        <w:rPr>
          <w:rFonts w:ascii="宋体" w:hAnsi="宋体" w:cs="宋体" w:hint="eastAsia"/>
          <w:bCs/>
          <w:sz w:val="24"/>
        </w:rPr>
        <w:t>（组织）</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lastRenderedPageBreak/>
        <w:t>（1）检测基因数≥基因数≥18</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2）检测内容针对甲状腺癌中常见突变或融合基因设计，至少包含NTRKI、PPARG、ALK、BRAF、NRAS、TERT可用于甲状腺结节的良恶性判断、分子分型与预后预测；针对良恶性判断、分子分型、预后预测，兼顾甲状腺癌髓样癌遗传易感性（RET突变）鉴别</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（3）样本要求：石蜡组织标本，新鲜组织</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2.9 PD-L1免疫组化检测</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（1）利用免疫组织化学法定性检测肿瘤组织中的 PD-L1蛋白表达，并辅助鉴别可使用 KEYTRUDA®（</w:t>
      </w:r>
      <w:proofErr w:type="spellStart"/>
      <w:r w:rsidRPr="00CF45BF">
        <w:rPr>
          <w:rFonts w:ascii="宋体" w:hAnsi="宋体" w:cs="宋体" w:hint="eastAsia"/>
          <w:sz w:val="24"/>
        </w:rPr>
        <w:t>pembrolizumab</w:t>
      </w:r>
      <w:proofErr w:type="spellEnd"/>
      <w:r w:rsidRPr="00CF45BF">
        <w:rPr>
          <w:rFonts w:ascii="宋体" w:hAnsi="宋体" w:cs="宋体" w:hint="eastAsia"/>
          <w:sz w:val="24"/>
        </w:rPr>
        <w:t xml:space="preserve"> </w:t>
      </w:r>
      <w:proofErr w:type="gramStart"/>
      <w:r w:rsidRPr="00CF45BF">
        <w:rPr>
          <w:rFonts w:ascii="宋体" w:hAnsi="宋体" w:cs="宋体" w:hint="eastAsia"/>
          <w:sz w:val="24"/>
        </w:rPr>
        <w:t>帕博利珠单</w:t>
      </w:r>
      <w:proofErr w:type="gramEnd"/>
      <w:r w:rsidRPr="00CF45BF">
        <w:rPr>
          <w:rFonts w:ascii="宋体" w:hAnsi="宋体" w:cs="宋体" w:hint="eastAsia"/>
          <w:sz w:val="24"/>
        </w:rPr>
        <w:t>抗）治疗的 NSCLC 患者</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（2）免疫组化检测试剂盒/抗体至少包括28-8、22C3和SP263其中之一。</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（3）PD-L1 检测中，PD-L1 蛋白的表达水平由肿瘤比例评分（TPS）来确定，即任意强度下，部分或完全膜染色的活的肿瘤细胞的百分比。如果 TPS ≥ 1%，则认为该样本存在 PD-L1 表达。</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（4）样本要求：石蜡组织标本，新鲜组织，胸水、腹水细胞块</w:t>
      </w:r>
    </w:p>
    <w:p w:rsidR="00B3319D" w:rsidRPr="00CF45BF" w:rsidRDefault="00B3319D" w:rsidP="00B3319D">
      <w:pPr>
        <w:tabs>
          <w:tab w:val="left" w:pos="8400"/>
        </w:tabs>
        <w:spacing w:line="360" w:lineRule="auto"/>
        <w:rPr>
          <w:rFonts w:ascii="宋体" w:hAnsi="宋体" w:cs="宋体"/>
          <w:sz w:val="24"/>
          <w:shd w:val="clear" w:color="auto" w:fill="FFFFFF"/>
        </w:rPr>
      </w:pPr>
      <w:r w:rsidRPr="00CF45BF">
        <w:rPr>
          <w:rFonts w:ascii="宋体" w:hAnsi="宋体" w:cs="宋体" w:hint="eastAsia"/>
          <w:sz w:val="24"/>
        </w:rPr>
        <w:t>2.10</w:t>
      </w:r>
      <w:r w:rsidRPr="00CF45BF">
        <w:rPr>
          <w:rFonts w:ascii="宋体" w:hAnsi="宋体" w:cs="宋体" w:hint="eastAsia"/>
          <w:sz w:val="24"/>
          <w:shd w:val="clear" w:color="auto" w:fill="FFFFFF"/>
        </w:rPr>
        <w:t>乳腺肿瘤FISH</w:t>
      </w:r>
    </w:p>
    <w:p w:rsidR="00B3319D" w:rsidRPr="00CF45BF" w:rsidRDefault="00B3319D" w:rsidP="00B3319D">
      <w:pPr>
        <w:tabs>
          <w:tab w:val="left" w:pos="8400"/>
        </w:tabs>
        <w:spacing w:line="360" w:lineRule="auto"/>
        <w:rPr>
          <w:rFonts w:ascii="宋体" w:hAnsi="宋体" w:cs="宋体"/>
          <w:sz w:val="24"/>
        </w:rPr>
      </w:pPr>
      <w:r w:rsidRPr="00CF45BF">
        <w:rPr>
          <w:rFonts w:ascii="宋体" w:hAnsi="宋体" w:cs="宋体" w:hint="eastAsia"/>
          <w:sz w:val="24"/>
        </w:rPr>
        <w:t>（1）通过荧光标记的DNA探针与细胞核内的DNA靶序列杂交，精准判断基因扩增或缺失。</w:t>
      </w:r>
      <w:proofErr w:type="gramStart"/>
      <w:r w:rsidRPr="00CF45BF">
        <w:rPr>
          <w:rFonts w:ascii="宋体" w:hAnsi="宋体" w:cs="宋体" w:hint="eastAsia"/>
          <w:sz w:val="24"/>
        </w:rPr>
        <w:t>对漫润</w:t>
      </w:r>
      <w:proofErr w:type="gramEnd"/>
      <w:r w:rsidRPr="00CF45BF">
        <w:rPr>
          <w:rFonts w:ascii="宋体" w:hAnsi="宋体" w:cs="宋体" w:hint="eastAsia"/>
          <w:sz w:val="24"/>
        </w:rPr>
        <w:t>性乳腺癌患者在</w:t>
      </w:r>
      <w:proofErr w:type="gramStart"/>
      <w:r w:rsidRPr="00CF45BF">
        <w:rPr>
          <w:rFonts w:ascii="宋体" w:hAnsi="宋体" w:cs="宋体" w:hint="eastAsia"/>
          <w:sz w:val="24"/>
        </w:rPr>
        <w:t>曲妥珠单</w:t>
      </w:r>
      <w:proofErr w:type="gramEnd"/>
      <w:r w:rsidRPr="00CF45BF">
        <w:rPr>
          <w:rFonts w:ascii="宋体" w:hAnsi="宋体" w:cs="宋体" w:hint="eastAsia"/>
          <w:sz w:val="24"/>
        </w:rPr>
        <w:t>抗和</w:t>
      </w:r>
      <w:proofErr w:type="gramStart"/>
      <w:r w:rsidRPr="00CF45BF">
        <w:rPr>
          <w:rFonts w:ascii="宋体" w:hAnsi="宋体" w:cs="宋体" w:hint="eastAsia"/>
          <w:sz w:val="24"/>
        </w:rPr>
        <w:t>络氨</w:t>
      </w:r>
      <w:proofErr w:type="gramEnd"/>
      <w:r w:rsidRPr="00CF45BF">
        <w:rPr>
          <w:rFonts w:ascii="宋体" w:hAnsi="宋体" w:cs="宋体" w:hint="eastAsia"/>
          <w:sz w:val="24"/>
        </w:rPr>
        <w:t>酸</w:t>
      </w:r>
      <w:proofErr w:type="gramStart"/>
      <w:r w:rsidRPr="00CF45BF">
        <w:rPr>
          <w:rFonts w:ascii="宋体" w:hAnsi="宋体" w:cs="宋体" w:hint="eastAsia"/>
          <w:sz w:val="24"/>
        </w:rPr>
        <w:t>敖</w:t>
      </w:r>
      <w:proofErr w:type="gramEnd"/>
      <w:r w:rsidRPr="00CF45BF">
        <w:rPr>
          <w:rFonts w:ascii="宋体" w:hAnsi="宋体" w:cs="宋体" w:hint="eastAsia"/>
          <w:sz w:val="24"/>
        </w:rPr>
        <w:t>酶抑制剂的用药指导，HER-2 基因成为肿瘤治疗的一个理想的靶点基因，该基因状态的检测已经广泛应用于乳腺癌患者的预后评价及指导治疗，是乳腺癌规范治疗中一项重要的检测</w:t>
      </w:r>
    </w:p>
    <w:p w:rsidR="00B3319D" w:rsidRPr="00CF45BF" w:rsidRDefault="00B3319D" w:rsidP="00B3319D">
      <w:pPr>
        <w:tabs>
          <w:tab w:val="left" w:pos="8400"/>
        </w:tabs>
        <w:spacing w:line="360" w:lineRule="auto"/>
        <w:rPr>
          <w:rFonts w:ascii="宋体" w:hAnsi="宋体" w:cs="宋体"/>
          <w:sz w:val="24"/>
        </w:rPr>
      </w:pPr>
      <w:r w:rsidRPr="00CF45BF">
        <w:rPr>
          <w:rFonts w:ascii="宋体" w:hAnsi="宋体" w:cs="宋体" w:hint="eastAsia"/>
          <w:sz w:val="24"/>
        </w:rPr>
        <w:t>（2）低倍镜下观察切片，应确保至少在2个代表性区域内计数≥20个浸润癌细胞。</w:t>
      </w:r>
    </w:p>
    <w:p w:rsidR="00B3319D" w:rsidRPr="00CF45BF" w:rsidRDefault="00B3319D" w:rsidP="00B3319D">
      <w:pPr>
        <w:tabs>
          <w:tab w:val="left" w:pos="8400"/>
        </w:tabs>
        <w:spacing w:line="360" w:lineRule="auto"/>
        <w:rPr>
          <w:rFonts w:ascii="宋体" w:hAnsi="宋体" w:cs="宋体"/>
          <w:sz w:val="24"/>
        </w:rPr>
      </w:pPr>
      <w:r w:rsidRPr="00CF45BF">
        <w:rPr>
          <w:rFonts w:ascii="宋体" w:hAnsi="宋体" w:cs="宋体" w:hint="eastAsia"/>
          <w:sz w:val="24"/>
        </w:rPr>
        <w:t>（3）检测报告应包括：标本部位和类型、探针信息、检测方法、是否使用图像分析、对照设置情况、样本量是否适合评估、判读结果（包括评估的细胞数量、平均HER2拷贝数/细胞、平均CEP17拷贝数/细胞、平均HER2拷贝数/平均CEP17拷贝数的比值）、检测结论（如阳性、阴性、需结合IHC结果、无法判读）。</w:t>
      </w:r>
    </w:p>
    <w:p w:rsidR="00B3319D" w:rsidRPr="00CF45BF" w:rsidRDefault="00B3319D" w:rsidP="00B3319D">
      <w:pPr>
        <w:tabs>
          <w:tab w:val="left" w:pos="8400"/>
        </w:tabs>
        <w:spacing w:line="360" w:lineRule="auto"/>
        <w:rPr>
          <w:rFonts w:ascii="宋体" w:hAnsi="宋体" w:cs="宋体"/>
          <w:sz w:val="24"/>
        </w:rPr>
      </w:pPr>
      <w:r w:rsidRPr="00CF45BF">
        <w:rPr>
          <w:rFonts w:ascii="宋体" w:hAnsi="宋体" w:cs="宋体" w:hint="eastAsia"/>
          <w:sz w:val="24"/>
        </w:rPr>
        <w:t>（4）样本要求：石蜡组织样本，新鲜组织</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 xml:space="preserve">2.11 </w:t>
      </w:r>
      <w:r w:rsidRPr="00CF45BF">
        <w:rPr>
          <w:rFonts w:ascii="宋体" w:hAnsi="宋体" w:cs="宋体" w:hint="eastAsia"/>
          <w:bCs/>
          <w:sz w:val="24"/>
        </w:rPr>
        <w:t>肺癌治疗靶点检测（</w:t>
      </w:r>
      <w:r w:rsidRPr="00CF45BF">
        <w:rPr>
          <w:rFonts w:ascii="宋体" w:hAnsi="宋体" w:cs="宋体" w:hint="eastAsia"/>
          <w:sz w:val="24"/>
        </w:rPr>
        <w:t>EGFR</w:t>
      </w:r>
      <w:r w:rsidRPr="00CF45BF">
        <w:rPr>
          <w:rFonts w:ascii="宋体" w:hAnsi="宋体" w:cs="宋体" w:hint="eastAsia"/>
          <w:bCs/>
          <w:sz w:val="24"/>
        </w:rPr>
        <w:t>单位点/EGFR三位点）</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（1）用于体外定性检测</w:t>
      </w:r>
      <w:proofErr w:type="gramStart"/>
      <w:r w:rsidRPr="00CF45BF">
        <w:rPr>
          <w:rFonts w:ascii="宋体" w:hAnsi="宋体" w:cs="宋体" w:hint="eastAsia"/>
          <w:sz w:val="24"/>
        </w:rPr>
        <w:t>成儿非小细胞</w:t>
      </w:r>
      <w:proofErr w:type="gramEnd"/>
      <w:r w:rsidRPr="00CF45BF">
        <w:rPr>
          <w:rFonts w:ascii="宋体" w:hAnsi="宋体" w:cs="宋体" w:hint="eastAsia"/>
          <w:sz w:val="24"/>
        </w:rPr>
        <w:t>肺癌患者的EGFR基因18、19、20、21外显子突变。</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lastRenderedPageBreak/>
        <w:t>（2）采用特异性引物与探针同DNA模板结合后，</w:t>
      </w:r>
      <w:proofErr w:type="spellStart"/>
      <w:r w:rsidRPr="00CF45BF">
        <w:rPr>
          <w:rFonts w:ascii="宋体" w:hAnsi="宋体" w:cs="宋体" w:hint="eastAsia"/>
          <w:sz w:val="24"/>
        </w:rPr>
        <w:t>TaqDNA</w:t>
      </w:r>
      <w:proofErr w:type="spellEnd"/>
      <w:r w:rsidRPr="00CF45BF">
        <w:rPr>
          <w:rFonts w:ascii="宋体" w:hAnsi="宋体" w:cs="宋体" w:hint="eastAsia"/>
          <w:sz w:val="24"/>
        </w:rPr>
        <w:t>聚合酶以脱氧核苷酸（</w:t>
      </w:r>
      <w:proofErr w:type="spellStart"/>
      <w:r w:rsidRPr="00CF45BF">
        <w:rPr>
          <w:rFonts w:ascii="宋体" w:hAnsi="宋体" w:cs="宋体" w:hint="eastAsia"/>
          <w:sz w:val="24"/>
        </w:rPr>
        <w:t>dNTP</w:t>
      </w:r>
      <w:proofErr w:type="spellEnd"/>
      <w:r w:rsidRPr="00CF45BF">
        <w:rPr>
          <w:rFonts w:ascii="宋体" w:hAnsi="宋体" w:cs="宋体" w:hint="eastAsia"/>
          <w:sz w:val="24"/>
        </w:rPr>
        <w:t>）为底物，对内参基因及EGFR基因18、19、20、21外显子特定区域突变型基因进行体外扩增。</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（3）样本要求: 新鲜组织、石蜡组织、组织来源的核酸样本</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2.12  BRAF靶点检测</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（1）于体外定性检测</w:t>
      </w:r>
      <w:proofErr w:type="gramStart"/>
      <w:r w:rsidRPr="00CF45BF">
        <w:rPr>
          <w:rFonts w:ascii="宋体" w:hAnsi="宋体" w:cs="宋体" w:hint="eastAsia"/>
          <w:sz w:val="24"/>
        </w:rPr>
        <w:t>成儿非小细胞</w:t>
      </w:r>
      <w:proofErr w:type="gramEnd"/>
      <w:r w:rsidRPr="00CF45BF">
        <w:rPr>
          <w:rFonts w:ascii="宋体" w:hAnsi="宋体" w:cs="宋体" w:hint="eastAsia"/>
          <w:sz w:val="24"/>
        </w:rPr>
        <w:t>肺癌、结直肠癌、甲状腺癌患者的BRAF基因V600E点突变。</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（2）采用特异性引物与探针同DNA模板结合后，</w:t>
      </w:r>
      <w:proofErr w:type="spellStart"/>
      <w:r w:rsidRPr="00CF45BF">
        <w:rPr>
          <w:rFonts w:ascii="宋体" w:hAnsi="宋体" w:cs="宋体" w:hint="eastAsia"/>
          <w:sz w:val="24"/>
        </w:rPr>
        <w:t>TaqDNA</w:t>
      </w:r>
      <w:proofErr w:type="spellEnd"/>
      <w:r w:rsidRPr="00CF45BF">
        <w:rPr>
          <w:rFonts w:ascii="宋体" w:hAnsi="宋体" w:cs="宋体" w:hint="eastAsia"/>
          <w:sz w:val="24"/>
        </w:rPr>
        <w:t>聚合酶以脱氧核苷酸（</w:t>
      </w:r>
      <w:proofErr w:type="spellStart"/>
      <w:r w:rsidRPr="00CF45BF">
        <w:rPr>
          <w:rFonts w:ascii="宋体" w:hAnsi="宋体" w:cs="宋体" w:hint="eastAsia"/>
          <w:sz w:val="24"/>
        </w:rPr>
        <w:t>dNTP</w:t>
      </w:r>
      <w:proofErr w:type="spellEnd"/>
      <w:r w:rsidRPr="00CF45BF">
        <w:rPr>
          <w:rFonts w:ascii="宋体" w:hAnsi="宋体" w:cs="宋体" w:hint="eastAsia"/>
          <w:sz w:val="24"/>
        </w:rPr>
        <w:t>）为底物，对内参基因及BRAF基因600密码子特定区域突变型基因进行体外扩增。通过特异性探针水解释放荧光，监测NGS/PCR反应的进行，确定BRAF基因突变情况。</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（3）样本要求: 新鲜组织、石蜡组织、组织来源的核酸样本</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2.13肿瘤液体活检</w:t>
      </w:r>
      <w:proofErr w:type="spellStart"/>
      <w:r w:rsidRPr="00CF45BF">
        <w:rPr>
          <w:rFonts w:ascii="宋体" w:hAnsi="宋体" w:cs="宋体" w:hint="eastAsia"/>
          <w:sz w:val="24"/>
        </w:rPr>
        <w:t>ctc</w:t>
      </w:r>
      <w:proofErr w:type="spellEnd"/>
      <w:r w:rsidRPr="00CF45BF">
        <w:rPr>
          <w:rFonts w:ascii="宋体" w:hAnsi="宋体" w:cs="宋体" w:hint="eastAsia"/>
          <w:bCs/>
          <w:sz w:val="24"/>
        </w:rPr>
        <w:t>（血液）</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1）应用于预后判断、肿瘤临床分期、病情监测以及疗效评价、肿瘤早期筛查等方面，其在乳腺癌、前列腺癌、肺癌、胃癌、食管癌等实体肿瘤中预后评估方面的临床意义已经得到充分的证实，进入了国内外肿瘤诊断指南。</w:t>
      </w:r>
    </w:p>
    <w:p w:rsidR="00B3319D" w:rsidRPr="00CF45BF" w:rsidRDefault="00B3319D" w:rsidP="00B3319D">
      <w:pPr>
        <w:spacing w:line="360" w:lineRule="auto"/>
        <w:rPr>
          <w:rFonts w:ascii="宋体" w:hAnsi="宋体" w:cs="宋体"/>
          <w:sz w:val="24"/>
        </w:rPr>
      </w:pPr>
      <w:r w:rsidRPr="00CF45BF">
        <w:rPr>
          <w:rFonts w:ascii="宋体" w:hAnsi="宋体" w:cs="宋体" w:hint="eastAsia"/>
          <w:sz w:val="24"/>
        </w:rPr>
        <w:t>（2）首先基于CTCs 的物理特性或 CTCs 表面生物特征对循环肿瘤细胞进行富集。富集后通过在蛋白水平上有流式细胞技术(FCM)、免疫荧光染色、上皮细胞免疫斑点技术 (EPISPOT)等；在基因水平上有荧光原位杂交、逆转 录聚合酶链技术、基因测序等方法进行检测鉴定。</w:t>
      </w:r>
    </w:p>
    <w:p w:rsidR="00B3319D" w:rsidRPr="00CF45BF" w:rsidRDefault="00B3319D" w:rsidP="00B3319D">
      <w:pPr>
        <w:spacing w:line="500" w:lineRule="exact"/>
        <w:rPr>
          <w:rFonts w:ascii="宋体" w:hAnsi="宋体" w:cs="宋体"/>
          <w:sz w:val="24"/>
        </w:rPr>
      </w:pPr>
      <w:r w:rsidRPr="00CF45BF">
        <w:rPr>
          <w:rFonts w:ascii="宋体" w:hAnsi="宋体" w:cs="宋体" w:hint="eastAsia"/>
          <w:sz w:val="24"/>
        </w:rPr>
        <w:t>（3）样本要求:外周血</w:t>
      </w:r>
    </w:p>
    <w:p w:rsidR="00B3319D" w:rsidRPr="00CF45BF" w:rsidRDefault="00B3319D" w:rsidP="00B3319D">
      <w:pPr>
        <w:spacing w:line="360" w:lineRule="auto"/>
        <w:outlineLvl w:val="2"/>
        <w:rPr>
          <w:rFonts w:ascii="宋体" w:hAnsi="宋体"/>
          <w:b/>
          <w:sz w:val="24"/>
        </w:rPr>
      </w:pPr>
      <w:r w:rsidRPr="00CF45BF">
        <w:rPr>
          <w:rFonts w:ascii="宋体" w:hAnsi="宋体" w:hint="eastAsia"/>
          <w:b/>
          <w:sz w:val="24"/>
        </w:rPr>
        <w:t>（三）科研服务</w:t>
      </w:r>
    </w:p>
    <w:p w:rsidR="00B3319D" w:rsidRPr="00CF45BF" w:rsidRDefault="00B3319D" w:rsidP="00B3319D">
      <w:pPr>
        <w:spacing w:line="500" w:lineRule="exact"/>
        <w:rPr>
          <w:rFonts w:ascii="宋体" w:hAnsi="宋体" w:cs="宋体"/>
          <w:sz w:val="24"/>
        </w:rPr>
      </w:pPr>
      <w:r w:rsidRPr="00CF45BF">
        <w:rPr>
          <w:rFonts w:ascii="宋体" w:hAnsi="宋体" w:cs="宋体" w:hint="eastAsia"/>
          <w:sz w:val="24"/>
        </w:rPr>
        <w:t>采购人拟建设1000平方米分子生物实验室，供应商提供采购人病理科实验室建设及能力提升方案，包括：相应面积下实验室设施、设备及人员配置；针对医院目前临床工作开展项目开设需求调研，并协助科研项目申报。</w:t>
      </w:r>
    </w:p>
    <w:p w:rsidR="00893D30" w:rsidRPr="00B3319D" w:rsidRDefault="00893D30">
      <w:bookmarkStart w:id="1" w:name="_GoBack"/>
      <w:bookmarkEnd w:id="1"/>
    </w:p>
    <w:sectPr w:rsidR="00893D30" w:rsidRPr="00B33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29206"/>
    <w:multiLevelType w:val="singleLevel"/>
    <w:tmpl w:val="31F2920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9D"/>
    <w:rsid w:val="00893D30"/>
    <w:rsid w:val="00B3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8B1E2-10BC-4E06-A040-3D92A027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19D"/>
    <w:pPr>
      <w:widowControl w:val="0"/>
      <w:jc w:val="both"/>
    </w:pPr>
    <w:rPr>
      <w:rFonts w:ascii="Times New Roman" w:eastAsia="宋体" w:hAnsi="Times New Roman" w:cs="Times New Roman"/>
      <w:szCs w:val="24"/>
    </w:rPr>
  </w:style>
  <w:style w:type="paragraph" w:styleId="2">
    <w:name w:val="heading 2"/>
    <w:basedOn w:val="a"/>
    <w:next w:val="a"/>
    <w:link w:val="2Char"/>
    <w:qFormat/>
    <w:rsid w:val="00B3319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3319D"/>
    <w:rPr>
      <w:rFonts w:ascii="Arial" w:eastAsia="黑体" w:hAnsi="Arial" w:cs="Times New Roman"/>
      <w:b/>
      <w:bCs/>
      <w:sz w:val="32"/>
      <w:szCs w:val="32"/>
    </w:rPr>
  </w:style>
  <w:style w:type="paragraph" w:styleId="a3">
    <w:name w:val="Normal Indent"/>
    <w:basedOn w:val="a"/>
    <w:link w:val="Char"/>
    <w:qFormat/>
    <w:rsid w:val="00B3319D"/>
    <w:pPr>
      <w:ind w:firstLineChars="200" w:firstLine="420"/>
    </w:pPr>
  </w:style>
  <w:style w:type="table" w:styleId="a4">
    <w:name w:val="Table Grid"/>
    <w:basedOn w:val="a1"/>
    <w:qFormat/>
    <w:rsid w:val="00B3319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缩进 Char"/>
    <w:link w:val="a3"/>
    <w:qFormat/>
    <w:rsid w:val="00B3319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2022-01-07T06:39:00Z</dcterms:created>
  <dcterms:modified xsi:type="dcterms:W3CDTF">2022-01-07T06:39:00Z</dcterms:modified>
</cp:coreProperties>
</file>