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0" w:rsidRDefault="00E42AA0" w:rsidP="00E42AA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E42AA0" w:rsidRDefault="00E42AA0" w:rsidP="00E42AA0">
      <w:pPr>
        <w:pStyle w:val="a5"/>
        <w:spacing w:line="400" w:lineRule="exact"/>
        <w:ind w:firstLine="480"/>
        <w:rPr>
          <w:rFonts w:ascii="仿宋" w:eastAsia="仿宋" w:hAnsi="仿宋"/>
          <w:bCs/>
          <w:sz w:val="24"/>
        </w:rPr>
      </w:pPr>
      <w:bookmarkStart w:id="0"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：本项目共</w:t>
      </w:r>
      <w:r>
        <w:rPr>
          <w:rFonts w:ascii="仿宋" w:eastAsia="仿宋" w:hAnsi="仿宋"/>
          <w:bCs/>
          <w:sz w:val="24"/>
        </w:rPr>
        <w:t>2</w:t>
      </w:r>
      <w:r>
        <w:rPr>
          <w:rFonts w:ascii="仿宋" w:eastAsia="仿宋" w:hAnsi="仿宋" w:hint="eastAsia"/>
          <w:bCs/>
          <w:sz w:val="24"/>
        </w:rPr>
        <w:t>个包，采购内窥镜摄像系统等医疗设备一批。</w:t>
      </w:r>
    </w:p>
    <w:p w:rsidR="00E42AA0" w:rsidRDefault="00E42AA0" w:rsidP="00E42AA0">
      <w:pPr>
        <w:pStyle w:val="a5"/>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6"/>
        <w:tblW w:w="8296" w:type="dxa"/>
        <w:jc w:val="center"/>
        <w:tblLayout w:type="fixed"/>
        <w:tblLook w:val="04A0" w:firstRow="1" w:lastRow="0" w:firstColumn="1" w:lastColumn="0" w:noHBand="0" w:noVBand="1"/>
      </w:tblPr>
      <w:tblGrid>
        <w:gridCol w:w="1437"/>
        <w:gridCol w:w="1276"/>
        <w:gridCol w:w="4394"/>
        <w:gridCol w:w="1189"/>
      </w:tblGrid>
      <w:tr w:rsidR="00E42AA0" w:rsidTr="00D841B9">
        <w:trPr>
          <w:jc w:val="center"/>
        </w:trPr>
        <w:tc>
          <w:tcPr>
            <w:tcW w:w="1437" w:type="dxa"/>
          </w:tcPr>
          <w:p w:rsidR="00E42AA0" w:rsidRDefault="00E42AA0" w:rsidP="00D841B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包号</w:t>
            </w:r>
          </w:p>
        </w:tc>
        <w:tc>
          <w:tcPr>
            <w:tcW w:w="1276" w:type="dxa"/>
          </w:tcPr>
          <w:p w:rsidR="00E42AA0" w:rsidRDefault="00E42AA0" w:rsidP="00D841B9">
            <w:pPr>
              <w:pStyle w:val="a5"/>
              <w:spacing w:line="400" w:lineRule="exact"/>
              <w:ind w:firstLineChars="0" w:firstLine="0"/>
              <w:rPr>
                <w:rFonts w:ascii="仿宋" w:eastAsia="仿宋" w:hAnsi="仿宋"/>
                <w:bCs/>
                <w:sz w:val="24"/>
              </w:rPr>
            </w:pPr>
            <w:r>
              <w:rPr>
                <w:rFonts w:ascii="仿宋" w:eastAsia="仿宋" w:hAnsi="仿宋" w:hint="eastAsia"/>
                <w:bCs/>
                <w:sz w:val="24"/>
              </w:rPr>
              <w:t>品目号</w:t>
            </w:r>
          </w:p>
        </w:tc>
        <w:tc>
          <w:tcPr>
            <w:tcW w:w="4394" w:type="dxa"/>
          </w:tcPr>
          <w:p w:rsidR="00E42AA0" w:rsidRDefault="00E42AA0" w:rsidP="00D841B9">
            <w:pPr>
              <w:pStyle w:val="a5"/>
              <w:spacing w:line="400" w:lineRule="exact"/>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189" w:type="dxa"/>
          </w:tcPr>
          <w:p w:rsidR="00E42AA0" w:rsidRDefault="00E42AA0" w:rsidP="00D841B9">
            <w:pPr>
              <w:pStyle w:val="a5"/>
              <w:spacing w:line="400" w:lineRule="exact"/>
              <w:ind w:firstLineChars="0" w:firstLine="0"/>
              <w:rPr>
                <w:rFonts w:ascii="仿宋" w:eastAsia="仿宋" w:hAnsi="仿宋"/>
                <w:bCs/>
                <w:sz w:val="24"/>
              </w:rPr>
            </w:pPr>
            <w:r>
              <w:rPr>
                <w:rFonts w:ascii="仿宋" w:eastAsia="仿宋" w:hAnsi="仿宋" w:hint="eastAsia"/>
                <w:bCs/>
                <w:sz w:val="24"/>
              </w:rPr>
              <w:t>所属行业</w:t>
            </w:r>
          </w:p>
        </w:tc>
      </w:tr>
      <w:tr w:rsidR="00E42AA0" w:rsidTr="00D841B9">
        <w:trPr>
          <w:jc w:val="center"/>
        </w:trPr>
        <w:tc>
          <w:tcPr>
            <w:tcW w:w="1437" w:type="dxa"/>
          </w:tcPr>
          <w:p w:rsidR="00E42AA0" w:rsidRDefault="00E42AA0" w:rsidP="00D841B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1</w:t>
            </w:r>
          </w:p>
        </w:tc>
        <w:tc>
          <w:tcPr>
            <w:tcW w:w="1276" w:type="dxa"/>
          </w:tcPr>
          <w:p w:rsidR="00E42AA0" w:rsidRDefault="00E42AA0" w:rsidP="00D841B9">
            <w:pPr>
              <w:pStyle w:val="a5"/>
              <w:spacing w:line="400" w:lineRule="exact"/>
              <w:ind w:firstLineChars="0" w:firstLine="0"/>
              <w:rPr>
                <w:rFonts w:ascii="仿宋" w:eastAsia="仿宋" w:hAnsi="仿宋"/>
                <w:bCs/>
                <w:sz w:val="24"/>
              </w:rPr>
            </w:pPr>
            <w:r>
              <w:rPr>
                <w:rFonts w:ascii="仿宋" w:eastAsia="仿宋" w:hAnsi="仿宋" w:hint="eastAsia"/>
                <w:sz w:val="24"/>
                <w:szCs w:val="28"/>
              </w:rPr>
              <w:t>0</w:t>
            </w:r>
            <w:r>
              <w:rPr>
                <w:rFonts w:ascii="仿宋" w:eastAsia="仿宋" w:hAnsi="仿宋"/>
                <w:sz w:val="24"/>
                <w:szCs w:val="28"/>
              </w:rPr>
              <w:t>1</w:t>
            </w:r>
            <w:r>
              <w:rPr>
                <w:rFonts w:ascii="仿宋" w:eastAsia="仿宋" w:hAnsi="仿宋" w:hint="eastAsia"/>
                <w:sz w:val="24"/>
                <w:szCs w:val="28"/>
              </w:rPr>
              <w:t>-01</w:t>
            </w:r>
          </w:p>
        </w:tc>
        <w:tc>
          <w:tcPr>
            <w:tcW w:w="4394" w:type="dxa"/>
            <w:vAlign w:val="center"/>
          </w:tcPr>
          <w:p w:rsidR="00E42AA0" w:rsidRDefault="00E42AA0" w:rsidP="00D841B9">
            <w:pPr>
              <w:pStyle w:val="a5"/>
              <w:spacing w:line="400" w:lineRule="exact"/>
              <w:ind w:firstLineChars="0" w:firstLine="0"/>
              <w:rPr>
                <w:rFonts w:ascii="仿宋" w:eastAsia="仿宋" w:hAnsi="仿宋"/>
                <w:bCs/>
                <w:sz w:val="24"/>
              </w:rPr>
            </w:pPr>
            <w:r>
              <w:rPr>
                <w:rFonts w:ascii="仿宋" w:eastAsia="仿宋" w:hAnsi="仿宋" w:hint="eastAsia"/>
                <w:sz w:val="24"/>
                <w:szCs w:val="28"/>
              </w:rPr>
              <w:t>OCT光学相干断层扫描仪</w:t>
            </w:r>
          </w:p>
        </w:tc>
        <w:tc>
          <w:tcPr>
            <w:tcW w:w="1189" w:type="dxa"/>
            <w:vMerge w:val="restart"/>
          </w:tcPr>
          <w:p w:rsidR="00E42AA0" w:rsidRDefault="00E42AA0" w:rsidP="00D841B9">
            <w:pPr>
              <w:pStyle w:val="a5"/>
              <w:spacing w:line="400" w:lineRule="exact"/>
              <w:ind w:firstLineChars="0" w:firstLine="0"/>
              <w:rPr>
                <w:rFonts w:ascii="仿宋" w:eastAsia="仿宋" w:hAnsi="仿宋"/>
                <w:bCs/>
                <w:sz w:val="24"/>
              </w:rPr>
            </w:pPr>
            <w:r>
              <w:rPr>
                <w:rFonts w:ascii="仿宋" w:eastAsia="仿宋" w:hAnsi="仿宋"/>
                <w:bCs/>
                <w:sz w:val="24"/>
              </w:rPr>
              <w:t>工业</w:t>
            </w:r>
          </w:p>
        </w:tc>
      </w:tr>
      <w:tr w:rsidR="00E42AA0" w:rsidTr="00D841B9">
        <w:trPr>
          <w:jc w:val="center"/>
        </w:trPr>
        <w:tc>
          <w:tcPr>
            <w:tcW w:w="1437" w:type="dxa"/>
          </w:tcPr>
          <w:p w:rsidR="00E42AA0" w:rsidRDefault="00E42AA0" w:rsidP="00D841B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2</w:t>
            </w:r>
          </w:p>
        </w:tc>
        <w:tc>
          <w:tcPr>
            <w:tcW w:w="1276" w:type="dxa"/>
          </w:tcPr>
          <w:p w:rsidR="00E42AA0" w:rsidRDefault="00E42AA0" w:rsidP="00D841B9">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w:t>
            </w:r>
            <w:r>
              <w:rPr>
                <w:rFonts w:ascii="仿宋" w:eastAsia="仿宋" w:hAnsi="仿宋"/>
                <w:sz w:val="24"/>
                <w:szCs w:val="28"/>
              </w:rPr>
              <w:t>2</w:t>
            </w:r>
            <w:r>
              <w:rPr>
                <w:rFonts w:ascii="仿宋" w:eastAsia="仿宋" w:hAnsi="仿宋" w:hint="eastAsia"/>
                <w:sz w:val="24"/>
                <w:szCs w:val="28"/>
              </w:rPr>
              <w:t>-01</w:t>
            </w:r>
          </w:p>
        </w:tc>
        <w:tc>
          <w:tcPr>
            <w:tcW w:w="4394" w:type="dxa"/>
            <w:vAlign w:val="center"/>
          </w:tcPr>
          <w:p w:rsidR="00E42AA0" w:rsidRDefault="00E42AA0" w:rsidP="00D841B9">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射频控温热凝器</w:t>
            </w:r>
          </w:p>
        </w:tc>
        <w:tc>
          <w:tcPr>
            <w:tcW w:w="1189" w:type="dxa"/>
            <w:vMerge/>
          </w:tcPr>
          <w:p w:rsidR="00E42AA0" w:rsidRDefault="00E42AA0" w:rsidP="00D841B9">
            <w:pPr>
              <w:pStyle w:val="a5"/>
              <w:spacing w:line="400" w:lineRule="exact"/>
              <w:ind w:firstLineChars="0" w:firstLine="0"/>
              <w:rPr>
                <w:rFonts w:ascii="仿宋" w:eastAsia="仿宋" w:hAnsi="仿宋"/>
                <w:bCs/>
                <w:sz w:val="24"/>
              </w:rPr>
            </w:pPr>
          </w:p>
        </w:tc>
      </w:tr>
    </w:tbl>
    <w:p w:rsidR="00E42AA0" w:rsidRDefault="00E42AA0" w:rsidP="00E42AA0">
      <w:pPr>
        <w:pStyle w:val="a5"/>
        <w:spacing w:line="400" w:lineRule="exact"/>
        <w:ind w:firstLine="480"/>
        <w:rPr>
          <w:rFonts w:ascii="仿宋" w:eastAsia="仿宋" w:hAnsi="仿宋"/>
          <w:bCs/>
          <w:sz w:val="24"/>
        </w:rPr>
      </w:pPr>
    </w:p>
    <w:p w:rsidR="00E42AA0" w:rsidRDefault="00E42AA0" w:rsidP="00E42AA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E42AA0" w:rsidRDefault="00E42AA0" w:rsidP="00E42AA0">
      <w:pPr>
        <w:spacing w:line="500" w:lineRule="exact"/>
        <w:rPr>
          <w:rFonts w:ascii="仿宋" w:eastAsia="仿宋" w:hAnsi="仿宋"/>
          <w:bCs/>
          <w:sz w:val="24"/>
        </w:rPr>
      </w:pPr>
      <w:r>
        <w:rPr>
          <w:rFonts w:ascii="仿宋" w:eastAsia="仿宋" w:hAnsi="仿宋" w:hint="eastAsia"/>
          <w:bCs/>
          <w:sz w:val="24"/>
        </w:rPr>
        <w:t>1．交货期及地点</w:t>
      </w:r>
    </w:p>
    <w:p w:rsidR="00E42AA0" w:rsidRDefault="00E42AA0" w:rsidP="00E42AA0">
      <w:pPr>
        <w:spacing w:line="500" w:lineRule="exact"/>
        <w:rPr>
          <w:rFonts w:ascii="仿宋" w:eastAsia="仿宋" w:hAnsi="仿宋"/>
          <w:bCs/>
          <w:sz w:val="24"/>
        </w:rPr>
      </w:pPr>
      <w:r>
        <w:rPr>
          <w:rFonts w:ascii="仿宋" w:eastAsia="仿宋" w:hAnsi="仿宋" w:hint="eastAsia"/>
          <w:bCs/>
          <w:sz w:val="24"/>
        </w:rPr>
        <w:t>1.1 交货期：合同签订生效，接到采购人正式通知后在30日内完成全部货物的送货，并交付采购人验收、使用。税费、运输费和完成本项目的一切费用均由投标人自行承担。</w:t>
      </w:r>
    </w:p>
    <w:p w:rsidR="00E42AA0" w:rsidRDefault="00E42AA0" w:rsidP="00E42AA0">
      <w:pPr>
        <w:spacing w:line="500" w:lineRule="exact"/>
        <w:rPr>
          <w:rFonts w:ascii="仿宋" w:eastAsia="仿宋" w:hAnsi="仿宋"/>
          <w:bCs/>
          <w:sz w:val="24"/>
        </w:rPr>
      </w:pPr>
      <w:r>
        <w:rPr>
          <w:rFonts w:ascii="仿宋" w:eastAsia="仿宋" w:hAnsi="仿宋" w:hint="eastAsia"/>
          <w:bCs/>
          <w:sz w:val="24"/>
        </w:rPr>
        <w:t>1.2 交货地点: 采购人指定地点</w:t>
      </w:r>
    </w:p>
    <w:p w:rsidR="00E42AA0" w:rsidRDefault="00E42AA0" w:rsidP="00E42AA0">
      <w:pPr>
        <w:spacing w:line="500" w:lineRule="exact"/>
        <w:rPr>
          <w:rFonts w:ascii="仿宋" w:eastAsia="仿宋" w:hAnsi="仿宋"/>
          <w:bCs/>
          <w:sz w:val="24"/>
        </w:rPr>
      </w:pPr>
      <w:r>
        <w:rPr>
          <w:rFonts w:ascii="仿宋" w:eastAsia="仿宋" w:hAnsi="仿宋" w:hint="eastAsia"/>
          <w:bCs/>
          <w:sz w:val="24"/>
        </w:rPr>
        <w:t>2．付款方法和条件：全部货物安装调试完毕并验收合格之日起，采购人接到中标人通知与票据凭证资料以后的30日内，按照财政性资金支付有关规定，向中标人支付合同价款100%；</w:t>
      </w:r>
    </w:p>
    <w:p w:rsidR="00E42AA0" w:rsidRDefault="00E42AA0" w:rsidP="00E42AA0">
      <w:pPr>
        <w:spacing w:line="500" w:lineRule="exact"/>
        <w:rPr>
          <w:rFonts w:ascii="仿宋" w:eastAsia="仿宋" w:hAnsi="仿宋"/>
        </w:rPr>
      </w:pPr>
      <w:r>
        <w:rPr>
          <w:rFonts w:ascii="仿宋" w:eastAsia="仿宋" w:hAnsi="仿宋" w:hint="eastAsia"/>
          <w:bCs/>
          <w:sz w:val="24"/>
        </w:rPr>
        <w:t>3.质保期：质保期内供应商应负责设备维修及抢修。质保期内供应商应负责设备的维修及抢修以及及时提供所更换的零部件，维修更换的材料和配件以及供应商技术服务人员等均含在本次项目报价内。</w:t>
      </w:r>
    </w:p>
    <w:p w:rsidR="00E42AA0" w:rsidRDefault="00E42AA0" w:rsidP="00E42AA0">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0"/>
    </w:p>
    <w:p w:rsidR="00E42AA0" w:rsidRDefault="00E42AA0" w:rsidP="00E42AA0">
      <w:pPr>
        <w:pStyle w:val="1"/>
        <w:spacing w:line="400" w:lineRule="exact"/>
        <w:rPr>
          <w:rFonts w:ascii="仿宋" w:eastAsia="仿宋" w:hAnsi="仿宋"/>
          <w:sz w:val="24"/>
        </w:rPr>
      </w:pPr>
      <w:r>
        <w:rPr>
          <w:rFonts w:ascii="仿宋" w:eastAsia="仿宋" w:hAnsi="仿宋" w:hint="eastAsia"/>
          <w:sz w:val="24"/>
        </w:rPr>
        <w:t>0</w:t>
      </w:r>
      <w:r>
        <w:rPr>
          <w:rFonts w:ascii="仿宋" w:eastAsia="仿宋" w:hAnsi="仿宋"/>
          <w:sz w:val="24"/>
        </w:rPr>
        <w:t>1包：</w:t>
      </w:r>
      <w:r>
        <w:rPr>
          <w:rFonts w:ascii="仿宋" w:eastAsia="仿宋" w:hAnsi="仿宋" w:hint="eastAsia"/>
          <w:sz w:val="24"/>
        </w:rPr>
        <w:t>OCT光学相干断层扫描仪</w:t>
      </w:r>
    </w:p>
    <w:p w:rsidR="00E42AA0" w:rsidRDefault="00E42AA0" w:rsidP="00E42AA0">
      <w:pPr>
        <w:spacing w:line="500" w:lineRule="exact"/>
        <w:rPr>
          <w:rFonts w:ascii="仿宋" w:eastAsia="仿宋" w:hAnsi="仿宋"/>
          <w:bCs/>
          <w:sz w:val="24"/>
        </w:rPr>
      </w:pPr>
      <w:r>
        <w:rPr>
          <w:rFonts w:ascii="仿宋" w:eastAsia="仿宋" w:hAnsi="仿宋" w:hint="eastAsia"/>
          <w:bCs/>
          <w:sz w:val="24"/>
        </w:rPr>
        <w:t>一、技术参数</w:t>
      </w:r>
    </w:p>
    <w:p w:rsidR="00E42AA0" w:rsidRDefault="00E42AA0" w:rsidP="00E42AA0">
      <w:pPr>
        <w:spacing w:line="500" w:lineRule="exact"/>
        <w:rPr>
          <w:rFonts w:ascii="仿宋" w:eastAsia="仿宋" w:hAnsi="仿宋"/>
          <w:bCs/>
          <w:sz w:val="24"/>
        </w:rPr>
      </w:pPr>
      <w:r>
        <w:rPr>
          <w:rFonts w:ascii="仿宋" w:eastAsia="仿宋" w:hAnsi="仿宋" w:hint="eastAsia"/>
          <w:bCs/>
          <w:sz w:val="24"/>
        </w:rPr>
        <w:lastRenderedPageBreak/>
        <w:t>（一）OCT扫描技术参数要求：</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OCT扫描光源：扫频激光光源</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扫描速度：≥100000次A-Scan/秒</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瞳孔直径：≤2mm，无需散瞳检查</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★眼底扫描深度：≥4.5mm</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★前节扫描深度：≥6mm</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对焦方式：具有自动和手动对焦功能</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扫描方式：单线扫描、十字扫描、辐射扫描、网格扫描、栅格扫描、ONH扫描、GMA扫描、黄斑容积、3D黄斑、3D视盘、前节辐射、高清辐射、前节3D</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★轴向分辨率（光学）≤5um（组织中）；横向光学分辨率（光学）≤20um（组织中）</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眼球追踪：实时眼球追踪</w:t>
      </w:r>
    </w:p>
    <w:p w:rsidR="00E42AA0" w:rsidRDefault="00E42AA0" w:rsidP="00E42AA0">
      <w:pPr>
        <w:spacing w:line="500" w:lineRule="exact"/>
        <w:rPr>
          <w:rFonts w:ascii="仿宋" w:eastAsia="仿宋" w:hAnsi="仿宋"/>
          <w:bCs/>
          <w:sz w:val="24"/>
        </w:rPr>
      </w:pPr>
      <w:r>
        <w:rPr>
          <w:rFonts w:ascii="仿宋" w:eastAsia="仿宋" w:hAnsi="仿宋" w:hint="eastAsia"/>
          <w:bCs/>
          <w:sz w:val="24"/>
        </w:rPr>
        <w:t>（二）眼底图像技术参数要求：</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★成像方式：共聚焦激光眼底成像</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成像范围：40°</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固视方式: 内固视和外固视</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屈光调节范围：-20D—+15D</w:t>
      </w:r>
    </w:p>
    <w:p w:rsidR="00E42AA0" w:rsidRDefault="00E42AA0" w:rsidP="00E42AA0">
      <w:pPr>
        <w:spacing w:line="500" w:lineRule="exact"/>
        <w:rPr>
          <w:rFonts w:ascii="仿宋" w:eastAsia="仿宋" w:hAnsi="仿宋"/>
          <w:bCs/>
          <w:sz w:val="24"/>
        </w:rPr>
      </w:pPr>
      <w:r>
        <w:rPr>
          <w:rFonts w:ascii="仿宋" w:eastAsia="仿宋" w:hAnsi="仿宋" w:hint="eastAsia"/>
          <w:bCs/>
          <w:sz w:val="24"/>
        </w:rPr>
        <w:t>（三）图像扫描及成像要求：</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扫描方式：OCT 图像和眼底图像同时获得</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视网膜成像功能：单线扫描≥14mm，同时显示视网膜与脉络膜结构</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前节成像功能：单次成像含角膜、前房、双侧房角</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lastRenderedPageBreak/>
        <w:t>随访扫描模式：选定一次扫描模式，设定为参考以后，系统保存该患者此次的所有参数，包括：扫描模式，靶标位置，扫描线位置等，后续拍摄同一患者，系统自动加载这些参数，并生成对应随访分析和报告</w:t>
      </w:r>
    </w:p>
    <w:p w:rsidR="00E42AA0" w:rsidRDefault="00E42AA0" w:rsidP="00E42AA0">
      <w:pPr>
        <w:spacing w:line="500" w:lineRule="exact"/>
        <w:rPr>
          <w:rFonts w:ascii="仿宋" w:eastAsia="仿宋" w:hAnsi="仿宋"/>
          <w:bCs/>
          <w:sz w:val="24"/>
        </w:rPr>
      </w:pPr>
      <w:r>
        <w:rPr>
          <w:rFonts w:ascii="仿宋" w:eastAsia="仿宋" w:hAnsi="仿宋" w:hint="eastAsia"/>
          <w:bCs/>
          <w:sz w:val="24"/>
        </w:rPr>
        <w:t>（四）软件要求：</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视网膜分析软件：可以手动测量指定区域视网膜厚度，也可对视网膜任意两层厚度进行自动分析。自动进行厚度地形图显示，并将热力图可显示在眼底图对应位置。提供三维图像分析模式，视网膜十层结构加脉络膜结构逐层独立矢状面影像。</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青光眼分析软件：自动识别视杯视盘位置与视盘边缘，测量垂直方向，水平方向、面积杯盘比，盘沿面积、视杯体积。支持神经纤维层厚度分析。支持青光眼GMA厚度分析。</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眼前节分析软件：自动或手动测量ICL拱高，前房深度、前房体积、房角隐窝距离、巩膜突距离。重建房角状态，自动测量房角角度，巩膜突角度、房角开放面积、小梁网虹膜间面积、小梁网虹膜间面。</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脉络膜分析软件：自动或手动测量脉络膜厚度</w:t>
      </w:r>
    </w:p>
    <w:p w:rsidR="00E42AA0" w:rsidRDefault="00E42AA0" w:rsidP="00E42AA0">
      <w:pPr>
        <w:spacing w:line="500" w:lineRule="exact"/>
        <w:rPr>
          <w:rFonts w:ascii="仿宋" w:eastAsia="仿宋" w:hAnsi="仿宋"/>
          <w:bCs/>
          <w:sz w:val="24"/>
        </w:rPr>
      </w:pPr>
      <w:r>
        <w:rPr>
          <w:rFonts w:ascii="仿宋" w:eastAsia="仿宋" w:hAnsi="仿宋" w:hint="eastAsia"/>
          <w:bCs/>
          <w:sz w:val="24"/>
        </w:rPr>
        <w:t>（五）操作系统</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中文操作系统，图像处理工作站和OCT 主机分体化设计</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病例预览：检查完成后，进入报告即可切换断层显示</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无纸化诊断和辅助流程改善：可通过浏览软件，随时查看病人所有影像检查资料。</w:t>
      </w:r>
    </w:p>
    <w:p w:rsidR="00E42AA0" w:rsidRDefault="00E42AA0" w:rsidP="00E42AA0">
      <w:pPr>
        <w:spacing w:line="500" w:lineRule="exact"/>
        <w:rPr>
          <w:rFonts w:ascii="仿宋" w:eastAsia="仿宋" w:hAnsi="仿宋"/>
          <w:bCs/>
          <w:sz w:val="24"/>
        </w:rPr>
      </w:pPr>
      <w:r>
        <w:rPr>
          <w:rFonts w:ascii="仿宋" w:eastAsia="仿宋" w:hAnsi="仿宋" w:hint="eastAsia"/>
          <w:bCs/>
          <w:sz w:val="24"/>
        </w:rPr>
        <w:t>（六）可升级为OCTA成像功能，升级后OCTA成像功能参数如下：</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OCTA成像功能：单次成像范围≥12mmX12mm，拼图成像范围≥22mmX16mm。</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血流分析软件：支持任意扫描尺寸的血流密度测量，支持玻璃体、视网膜与脉络膜分层，支持格栅分区、ETDRS等多种分区。支持自定义边界与环形边</w:t>
      </w:r>
      <w:r>
        <w:rPr>
          <w:rFonts w:ascii="仿宋" w:eastAsia="仿宋" w:hAnsi="仿宋" w:hint="eastAsia"/>
          <w:bCs/>
          <w:sz w:val="24"/>
        </w:rPr>
        <w:lastRenderedPageBreak/>
        <w:t>界血流面积测量。自动识别FAZ，自动测量面积、周长、近圆比例、环周密度。</w:t>
      </w:r>
    </w:p>
    <w:p w:rsidR="00E42AA0" w:rsidRDefault="00E42AA0" w:rsidP="00E42AA0">
      <w:pPr>
        <w:spacing w:line="500" w:lineRule="exact"/>
        <w:rPr>
          <w:rFonts w:ascii="仿宋" w:eastAsia="仿宋" w:hAnsi="仿宋"/>
          <w:bCs/>
          <w:sz w:val="24"/>
        </w:rPr>
      </w:pPr>
      <w:r>
        <w:rPr>
          <w:rFonts w:ascii="仿宋" w:eastAsia="仿宋" w:hAnsi="仿宋" w:hint="eastAsia"/>
          <w:bCs/>
          <w:sz w:val="24"/>
        </w:rPr>
        <w:t>二、售后服务要求</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E42AA0" w:rsidRDefault="00E42AA0" w:rsidP="00E42AA0">
      <w:pPr>
        <w:pStyle w:val="a7"/>
        <w:numPr>
          <w:ilvl w:val="0"/>
          <w:numId w:val="1"/>
        </w:numPr>
        <w:spacing w:line="500" w:lineRule="exact"/>
        <w:ind w:firstLineChars="0"/>
        <w:rPr>
          <w:rFonts w:ascii="仿宋" w:eastAsia="仿宋" w:hAnsi="仿宋"/>
          <w:bCs/>
          <w:sz w:val="24"/>
        </w:rPr>
      </w:pPr>
      <w:r>
        <w:rPr>
          <w:rFonts w:ascii="仿宋" w:eastAsia="仿宋" w:hAnsi="仿宋" w:hint="eastAsia"/>
          <w:bCs/>
          <w:sz w:val="24"/>
        </w:rPr>
        <w:t>*质保期≥3年</w:t>
      </w:r>
    </w:p>
    <w:p w:rsidR="00E42AA0" w:rsidRDefault="00E42AA0" w:rsidP="00E42AA0"/>
    <w:p w:rsidR="00E42AA0" w:rsidRDefault="00E42AA0" w:rsidP="00E42AA0">
      <w:pPr>
        <w:pStyle w:val="1"/>
        <w:spacing w:line="400" w:lineRule="exact"/>
        <w:rPr>
          <w:rFonts w:ascii="仿宋" w:eastAsia="仿宋" w:hAnsi="仿宋"/>
          <w:sz w:val="24"/>
        </w:rPr>
      </w:pPr>
      <w:r>
        <w:rPr>
          <w:rFonts w:ascii="仿宋" w:eastAsia="仿宋" w:hAnsi="仿宋" w:hint="eastAsia"/>
          <w:sz w:val="24"/>
        </w:rPr>
        <w:t>0</w:t>
      </w:r>
      <w:r>
        <w:rPr>
          <w:rFonts w:ascii="仿宋" w:eastAsia="仿宋" w:hAnsi="仿宋"/>
          <w:sz w:val="24"/>
        </w:rPr>
        <w:t>2包：</w:t>
      </w:r>
      <w:r>
        <w:rPr>
          <w:rFonts w:ascii="仿宋" w:eastAsia="仿宋" w:hAnsi="仿宋" w:hint="eastAsia"/>
          <w:sz w:val="24"/>
        </w:rPr>
        <w:t>射频控温热凝器</w:t>
      </w:r>
    </w:p>
    <w:p w:rsidR="00E42AA0" w:rsidRDefault="00E42AA0" w:rsidP="00E42AA0">
      <w:pPr>
        <w:spacing w:line="500" w:lineRule="exact"/>
        <w:rPr>
          <w:rFonts w:ascii="仿宋" w:eastAsia="仿宋" w:hAnsi="仿宋"/>
          <w:bCs/>
          <w:sz w:val="24"/>
        </w:rPr>
      </w:pPr>
      <w:r>
        <w:rPr>
          <w:rFonts w:ascii="仿宋" w:eastAsia="仿宋" w:hAnsi="仿宋" w:hint="eastAsia"/>
          <w:bCs/>
          <w:sz w:val="24"/>
        </w:rPr>
        <w:t>一、技术参数</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电阻抗模式:≤2999Ω</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刺激模式:具有电流、电压刺激功能;</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射频治疗模式:具有单极应用,双极应用等功能模式</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分别实时显示两个电极温度，并分别控制每个电极的温度。连续射频模式:温度范围:≤99℃;</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★脉冲射频模式:</w:t>
      </w:r>
    </w:p>
    <w:p w:rsidR="00E42AA0" w:rsidRDefault="00E42AA0" w:rsidP="00E42AA0">
      <w:pPr>
        <w:spacing w:line="500" w:lineRule="exact"/>
        <w:rPr>
          <w:rFonts w:ascii="仿宋" w:eastAsia="仿宋" w:hAnsi="仿宋"/>
          <w:bCs/>
          <w:sz w:val="24"/>
        </w:rPr>
      </w:pPr>
      <w:r>
        <w:rPr>
          <w:rFonts w:ascii="仿宋" w:eastAsia="仿宋" w:hAnsi="仿宋" w:hint="eastAsia"/>
          <w:bCs/>
          <w:sz w:val="24"/>
        </w:rPr>
        <w:t>高温脉冲射频温度:最小治疗范围42℃-90℃可调</w:t>
      </w:r>
    </w:p>
    <w:p w:rsidR="00E42AA0" w:rsidRDefault="00E42AA0" w:rsidP="00E42AA0">
      <w:pPr>
        <w:spacing w:line="500" w:lineRule="exact"/>
        <w:rPr>
          <w:rFonts w:ascii="仿宋" w:eastAsia="仿宋" w:hAnsi="仿宋"/>
          <w:bCs/>
          <w:sz w:val="24"/>
        </w:rPr>
      </w:pPr>
      <w:r>
        <w:rPr>
          <w:rFonts w:ascii="仿宋" w:eastAsia="仿宋" w:hAnsi="仿宋" w:hint="eastAsia"/>
          <w:bCs/>
          <w:sz w:val="24"/>
        </w:rPr>
        <w:t>高电压脉冲射频模式:最小治疗范围45V-90V可调；</w:t>
      </w:r>
    </w:p>
    <w:p w:rsidR="00E42AA0" w:rsidRDefault="00E42AA0" w:rsidP="00E42AA0">
      <w:pPr>
        <w:spacing w:line="500" w:lineRule="exact"/>
        <w:rPr>
          <w:rFonts w:ascii="仿宋" w:eastAsia="仿宋" w:hAnsi="仿宋"/>
          <w:bCs/>
          <w:sz w:val="24"/>
        </w:rPr>
      </w:pPr>
      <w:r>
        <w:rPr>
          <w:rFonts w:ascii="仿宋" w:eastAsia="仿宋" w:hAnsi="仿宋" w:hint="eastAsia"/>
          <w:bCs/>
          <w:sz w:val="24"/>
        </w:rPr>
        <w:t>脉宽脉冲射频模式:最小治疗范围3ms-40ms可调；</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★射频输出功率:0-50W可调</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全中文操作界面</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常用参数储存功能:可存储常用电刺激和射频参数</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带有术前自检功能。</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lastRenderedPageBreak/>
        <w:t>人工智能模式:设备根据自动检测并识别电极的连接数量和情况，智能选择进入单极、双极模式，并根据射频治疗模式智能选择相应常用参数组。</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手术电极接受高温高压消毒灭菌方式</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配置要求：射频控温热凝器1台、手术电极5根（可高温灭菌，测量精确）、射频热凝电极套管针10根、一次性使用中性电极5块、塑料高温消毒盒2个</w:t>
      </w:r>
    </w:p>
    <w:p w:rsidR="00E42AA0" w:rsidRDefault="00E42AA0" w:rsidP="00E42AA0">
      <w:pPr>
        <w:spacing w:line="500" w:lineRule="exact"/>
        <w:rPr>
          <w:rFonts w:ascii="仿宋" w:eastAsia="仿宋" w:hAnsi="仿宋"/>
          <w:bCs/>
          <w:sz w:val="24"/>
        </w:rPr>
      </w:pPr>
      <w:r>
        <w:rPr>
          <w:rFonts w:ascii="仿宋" w:eastAsia="仿宋" w:hAnsi="仿宋" w:hint="eastAsia"/>
          <w:bCs/>
          <w:sz w:val="24"/>
        </w:rPr>
        <w:t>二、售后服务要求</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E42AA0" w:rsidRDefault="00E42AA0" w:rsidP="00E42AA0">
      <w:pPr>
        <w:pStyle w:val="a7"/>
        <w:numPr>
          <w:ilvl w:val="0"/>
          <w:numId w:val="2"/>
        </w:numPr>
        <w:spacing w:line="500" w:lineRule="exact"/>
        <w:ind w:firstLineChars="0"/>
        <w:rPr>
          <w:rFonts w:ascii="仿宋" w:eastAsia="仿宋" w:hAnsi="仿宋"/>
          <w:bCs/>
          <w:sz w:val="24"/>
        </w:rPr>
      </w:pPr>
      <w:r>
        <w:rPr>
          <w:rFonts w:ascii="仿宋" w:eastAsia="仿宋" w:hAnsi="仿宋" w:hint="eastAsia"/>
          <w:bCs/>
          <w:sz w:val="24"/>
        </w:rPr>
        <w:t>*质保期≥3年</w:t>
      </w:r>
    </w:p>
    <w:p w:rsidR="000755EB" w:rsidRDefault="000755EB">
      <w:bookmarkStart w:id="1" w:name="_GoBack"/>
      <w:bookmarkEnd w:id="1"/>
    </w:p>
    <w:sectPr w:rsidR="000755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A0" w:rsidRDefault="00E42AA0" w:rsidP="00E42AA0">
      <w:pPr>
        <w:spacing w:after="0" w:line="240" w:lineRule="auto"/>
      </w:pPr>
      <w:r>
        <w:separator/>
      </w:r>
    </w:p>
  </w:endnote>
  <w:endnote w:type="continuationSeparator" w:id="0">
    <w:p w:rsidR="00E42AA0" w:rsidRDefault="00E42AA0" w:rsidP="00E4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A0" w:rsidRDefault="00E42AA0" w:rsidP="00E42AA0">
      <w:pPr>
        <w:spacing w:after="0" w:line="240" w:lineRule="auto"/>
      </w:pPr>
      <w:r>
        <w:separator/>
      </w:r>
    </w:p>
  </w:footnote>
  <w:footnote w:type="continuationSeparator" w:id="0">
    <w:p w:rsidR="00E42AA0" w:rsidRDefault="00E42AA0" w:rsidP="00E42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49BA"/>
    <w:multiLevelType w:val="multilevel"/>
    <w:tmpl w:val="0F2949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370CBE"/>
    <w:multiLevelType w:val="singleLevel"/>
    <w:tmpl w:val="6E370CBE"/>
    <w:lvl w:ilvl="0">
      <w:start w:val="1"/>
      <w:numFmt w:val="decimal"/>
      <w:lvlText w:val="%1."/>
      <w:lvlJc w:val="left"/>
      <w:pPr>
        <w:ind w:left="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8A"/>
    <w:rsid w:val="000755EB"/>
    <w:rsid w:val="0019568A"/>
    <w:rsid w:val="00E42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486520-7E75-4B5A-858F-8986244A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A0"/>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42AA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42AA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2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2AA0"/>
    <w:rPr>
      <w:sz w:val="18"/>
      <w:szCs w:val="18"/>
    </w:rPr>
  </w:style>
  <w:style w:type="paragraph" w:styleId="a4">
    <w:name w:val="footer"/>
    <w:basedOn w:val="a"/>
    <w:link w:val="Char0"/>
    <w:uiPriority w:val="99"/>
    <w:unhideWhenUsed/>
    <w:rsid w:val="00E42AA0"/>
    <w:pPr>
      <w:tabs>
        <w:tab w:val="center" w:pos="4153"/>
        <w:tab w:val="right" w:pos="8306"/>
      </w:tabs>
      <w:snapToGrid w:val="0"/>
      <w:jc w:val="left"/>
    </w:pPr>
    <w:rPr>
      <w:sz w:val="18"/>
      <w:szCs w:val="18"/>
    </w:rPr>
  </w:style>
  <w:style w:type="character" w:customStyle="1" w:styleId="Char0">
    <w:name w:val="页脚 Char"/>
    <w:basedOn w:val="a0"/>
    <w:link w:val="a4"/>
    <w:uiPriority w:val="99"/>
    <w:rsid w:val="00E42AA0"/>
    <w:rPr>
      <w:sz w:val="18"/>
      <w:szCs w:val="18"/>
    </w:rPr>
  </w:style>
  <w:style w:type="character" w:customStyle="1" w:styleId="1Char">
    <w:name w:val="标题 1 Char"/>
    <w:basedOn w:val="a0"/>
    <w:link w:val="1"/>
    <w:qFormat/>
    <w:rsid w:val="00E42AA0"/>
    <w:rPr>
      <w:rFonts w:ascii="Calibri" w:eastAsia="宋体" w:hAnsi="Calibri" w:cs="Times New Roman"/>
      <w:b/>
      <w:bCs/>
      <w:kern w:val="44"/>
      <w:sz w:val="44"/>
      <w:szCs w:val="44"/>
    </w:rPr>
  </w:style>
  <w:style w:type="character" w:customStyle="1" w:styleId="2Char">
    <w:name w:val="标题 2 Char"/>
    <w:basedOn w:val="a0"/>
    <w:link w:val="2"/>
    <w:rsid w:val="00E42AA0"/>
    <w:rPr>
      <w:rFonts w:ascii="Arial" w:eastAsia="黑体" w:hAnsi="Arial" w:cs="Times New Roman"/>
      <w:b/>
      <w:bCs/>
      <w:sz w:val="32"/>
      <w:szCs w:val="32"/>
    </w:rPr>
  </w:style>
  <w:style w:type="paragraph" w:styleId="a5">
    <w:name w:val="Normal Indent"/>
    <w:basedOn w:val="a"/>
    <w:qFormat/>
    <w:rsid w:val="00E42AA0"/>
    <w:pPr>
      <w:ind w:firstLineChars="200" w:firstLine="200"/>
    </w:pPr>
  </w:style>
  <w:style w:type="table" w:styleId="a6">
    <w:name w:val="Table Grid"/>
    <w:basedOn w:val="a1"/>
    <w:qFormat/>
    <w:rsid w:val="00E42AA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qFormat/>
    <w:rsid w:val="00E42A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2022-03-03T07:43:00Z</dcterms:created>
  <dcterms:modified xsi:type="dcterms:W3CDTF">2022-03-03T07:43:00Z</dcterms:modified>
</cp:coreProperties>
</file>