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65B" w:rsidRDefault="0060765B" w:rsidP="0060765B">
      <w:pPr>
        <w:pStyle w:val="2"/>
        <w:jc w:val="center"/>
      </w:pPr>
      <w:r>
        <w:rPr>
          <w:rFonts w:hint="eastAsia"/>
        </w:rPr>
        <w:t>采购需求</w:t>
      </w:r>
    </w:p>
    <w:p w:rsidR="006B7431" w:rsidRDefault="006B7431" w:rsidP="006B7431">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一. 项目概述</w:t>
      </w:r>
    </w:p>
    <w:p w:rsidR="006B7431" w:rsidRDefault="006B7431" w:rsidP="006B7431">
      <w:pPr>
        <w:pStyle w:val="a5"/>
        <w:spacing w:line="400" w:lineRule="exact"/>
        <w:ind w:firstLine="480"/>
        <w:rPr>
          <w:rFonts w:ascii="仿宋" w:eastAsia="仿宋" w:hAnsi="仿宋"/>
          <w:bCs/>
          <w:sz w:val="24"/>
        </w:rPr>
      </w:pPr>
      <w:r>
        <w:rPr>
          <w:rFonts w:ascii="仿宋" w:eastAsia="仿宋" w:hAnsi="仿宋" w:hint="eastAsia"/>
          <w:bCs/>
          <w:sz w:val="24"/>
        </w:rPr>
        <w:t>本项目共</w:t>
      </w:r>
      <w:r>
        <w:rPr>
          <w:rFonts w:ascii="仿宋" w:eastAsia="仿宋" w:hAnsi="仿宋"/>
          <w:bCs/>
          <w:sz w:val="24"/>
        </w:rPr>
        <w:t>1</w:t>
      </w:r>
      <w:r>
        <w:rPr>
          <w:rFonts w:ascii="仿宋" w:eastAsia="仿宋" w:hAnsi="仿宋" w:hint="eastAsia"/>
          <w:bCs/>
          <w:sz w:val="24"/>
        </w:rPr>
        <w:t>个</w:t>
      </w:r>
      <w:r>
        <w:rPr>
          <w:rFonts w:ascii="仿宋" w:eastAsia="仿宋" w:hAnsi="仿宋"/>
          <w:bCs/>
          <w:sz w:val="24"/>
        </w:rPr>
        <w:t>包，</w:t>
      </w:r>
      <w:r>
        <w:rPr>
          <w:rFonts w:ascii="仿宋" w:eastAsia="仿宋" w:hAnsi="仿宋" w:hint="eastAsia"/>
          <w:bCs/>
          <w:sz w:val="24"/>
        </w:rPr>
        <w:t>采购金堂县第一人民医院2021年网络安全等级保护测评服务</w:t>
      </w:r>
    </w:p>
    <w:p w:rsidR="006B7431" w:rsidRDefault="006B7431" w:rsidP="006B7431">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二.项目清单</w:t>
      </w:r>
    </w:p>
    <w:tbl>
      <w:tblPr>
        <w:tblW w:w="8591"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086"/>
        <w:gridCol w:w="2781"/>
        <w:gridCol w:w="2654"/>
        <w:gridCol w:w="1116"/>
      </w:tblGrid>
      <w:tr w:rsidR="006B7431" w:rsidTr="00DC717A">
        <w:trPr>
          <w:trHeight w:val="390"/>
        </w:trPr>
        <w:tc>
          <w:tcPr>
            <w:tcW w:w="954" w:type="dxa"/>
            <w:vAlign w:val="center"/>
          </w:tcPr>
          <w:p w:rsidR="006B7431" w:rsidRDefault="006B7431" w:rsidP="00DC717A">
            <w:pPr>
              <w:widowControl/>
              <w:spacing w:line="360" w:lineRule="atLeast"/>
              <w:jc w:val="center"/>
              <w:outlineLvl w:val="1"/>
              <w:rPr>
                <w:rFonts w:ascii="仿宋" w:eastAsia="仿宋" w:hAnsi="仿宋"/>
                <w:sz w:val="24"/>
              </w:rPr>
            </w:pPr>
            <w:r>
              <w:rPr>
                <w:rFonts w:ascii="仿宋" w:eastAsia="仿宋" w:hAnsi="仿宋" w:hint="eastAsia"/>
                <w:sz w:val="24"/>
              </w:rPr>
              <w:t>包号</w:t>
            </w:r>
          </w:p>
        </w:tc>
        <w:tc>
          <w:tcPr>
            <w:tcW w:w="1086" w:type="dxa"/>
          </w:tcPr>
          <w:p w:rsidR="006B7431" w:rsidRDefault="006B7431" w:rsidP="00DC717A">
            <w:pPr>
              <w:widowControl/>
              <w:spacing w:line="360" w:lineRule="atLeast"/>
              <w:jc w:val="center"/>
              <w:outlineLvl w:val="1"/>
              <w:rPr>
                <w:rFonts w:ascii="仿宋" w:eastAsia="仿宋" w:hAnsi="仿宋"/>
                <w:sz w:val="24"/>
              </w:rPr>
            </w:pPr>
            <w:r>
              <w:rPr>
                <w:rFonts w:ascii="仿宋" w:eastAsia="仿宋" w:hAnsi="仿宋" w:hint="eastAsia"/>
                <w:sz w:val="24"/>
              </w:rPr>
              <w:t>品目号</w:t>
            </w:r>
          </w:p>
        </w:tc>
        <w:tc>
          <w:tcPr>
            <w:tcW w:w="2781" w:type="dxa"/>
            <w:vAlign w:val="center"/>
          </w:tcPr>
          <w:p w:rsidR="006B7431" w:rsidRDefault="006B7431" w:rsidP="00DC717A">
            <w:pPr>
              <w:widowControl/>
              <w:spacing w:line="360" w:lineRule="atLeast"/>
              <w:jc w:val="center"/>
              <w:outlineLvl w:val="1"/>
              <w:rPr>
                <w:rFonts w:ascii="仿宋" w:eastAsia="仿宋" w:hAnsi="仿宋"/>
                <w:sz w:val="24"/>
              </w:rPr>
            </w:pPr>
            <w:r>
              <w:rPr>
                <w:rFonts w:ascii="仿宋" w:eastAsia="仿宋" w:hAnsi="仿宋" w:hint="eastAsia"/>
                <w:sz w:val="24"/>
              </w:rPr>
              <w:t>标的名称</w:t>
            </w:r>
          </w:p>
        </w:tc>
        <w:tc>
          <w:tcPr>
            <w:tcW w:w="2654" w:type="dxa"/>
          </w:tcPr>
          <w:p w:rsidR="006B7431" w:rsidRDefault="006B7431" w:rsidP="00DC717A">
            <w:pPr>
              <w:widowControl/>
              <w:spacing w:line="360" w:lineRule="atLeast"/>
              <w:jc w:val="center"/>
              <w:outlineLvl w:val="1"/>
              <w:rPr>
                <w:rFonts w:ascii="仿宋" w:eastAsia="仿宋" w:hAnsi="仿宋"/>
                <w:sz w:val="24"/>
              </w:rPr>
            </w:pPr>
            <w:r>
              <w:rPr>
                <w:rFonts w:ascii="仿宋" w:eastAsia="仿宋" w:hAnsi="仿宋" w:hint="eastAsia"/>
                <w:sz w:val="24"/>
              </w:rPr>
              <w:t>所属行业</w:t>
            </w:r>
          </w:p>
        </w:tc>
        <w:tc>
          <w:tcPr>
            <w:tcW w:w="1116" w:type="dxa"/>
            <w:vAlign w:val="center"/>
          </w:tcPr>
          <w:p w:rsidR="006B7431" w:rsidRDefault="006B7431" w:rsidP="00DC717A">
            <w:pPr>
              <w:widowControl/>
              <w:spacing w:line="360" w:lineRule="atLeast"/>
              <w:jc w:val="center"/>
              <w:outlineLvl w:val="1"/>
              <w:rPr>
                <w:rFonts w:ascii="仿宋" w:eastAsia="仿宋" w:hAnsi="仿宋"/>
                <w:sz w:val="24"/>
              </w:rPr>
            </w:pPr>
            <w:r>
              <w:rPr>
                <w:rFonts w:ascii="仿宋" w:eastAsia="仿宋" w:hAnsi="仿宋" w:hint="eastAsia"/>
                <w:sz w:val="24"/>
              </w:rPr>
              <w:t>数量</w:t>
            </w:r>
          </w:p>
        </w:tc>
      </w:tr>
      <w:tr w:rsidR="006B7431" w:rsidTr="00DC717A">
        <w:trPr>
          <w:trHeight w:val="374"/>
        </w:trPr>
        <w:tc>
          <w:tcPr>
            <w:tcW w:w="954" w:type="dxa"/>
          </w:tcPr>
          <w:p w:rsidR="006B7431" w:rsidRDefault="006B7431" w:rsidP="00DC717A">
            <w:pPr>
              <w:widowControl/>
              <w:spacing w:line="360" w:lineRule="atLeast"/>
              <w:jc w:val="left"/>
              <w:outlineLvl w:val="1"/>
              <w:rPr>
                <w:rFonts w:ascii="仿宋" w:eastAsia="仿宋" w:hAnsi="仿宋"/>
                <w:sz w:val="24"/>
              </w:rPr>
            </w:pPr>
            <w:r>
              <w:rPr>
                <w:rFonts w:ascii="仿宋" w:eastAsia="仿宋" w:hAnsi="仿宋" w:hint="eastAsia"/>
                <w:sz w:val="24"/>
              </w:rPr>
              <w:t>01</w:t>
            </w:r>
          </w:p>
        </w:tc>
        <w:tc>
          <w:tcPr>
            <w:tcW w:w="1086" w:type="dxa"/>
          </w:tcPr>
          <w:p w:rsidR="006B7431" w:rsidRDefault="006B7431" w:rsidP="00DC717A">
            <w:pPr>
              <w:widowControl/>
              <w:spacing w:line="360" w:lineRule="atLeast"/>
              <w:jc w:val="left"/>
              <w:outlineLvl w:val="1"/>
              <w:rPr>
                <w:rFonts w:ascii="仿宋" w:eastAsia="仿宋" w:hAnsi="仿宋"/>
                <w:sz w:val="24"/>
              </w:rPr>
            </w:pPr>
            <w:r>
              <w:rPr>
                <w:rFonts w:ascii="仿宋" w:eastAsia="仿宋" w:hAnsi="仿宋" w:hint="eastAsia"/>
                <w:sz w:val="24"/>
              </w:rPr>
              <w:t>01-01</w:t>
            </w:r>
          </w:p>
        </w:tc>
        <w:tc>
          <w:tcPr>
            <w:tcW w:w="2781" w:type="dxa"/>
          </w:tcPr>
          <w:p w:rsidR="006B7431" w:rsidRDefault="006B7431" w:rsidP="00DC717A">
            <w:pPr>
              <w:widowControl/>
              <w:spacing w:line="360" w:lineRule="atLeast"/>
              <w:jc w:val="left"/>
              <w:outlineLvl w:val="1"/>
              <w:rPr>
                <w:rFonts w:ascii="仿宋" w:eastAsia="仿宋" w:hAnsi="仿宋"/>
                <w:sz w:val="24"/>
              </w:rPr>
            </w:pPr>
            <w:r>
              <w:rPr>
                <w:rFonts w:ascii="仿宋" w:eastAsia="仿宋" w:hAnsi="仿宋" w:hint="eastAsia"/>
                <w:sz w:val="24"/>
              </w:rPr>
              <w:t>安全等级保护测评服务</w:t>
            </w:r>
          </w:p>
        </w:tc>
        <w:tc>
          <w:tcPr>
            <w:tcW w:w="2654" w:type="dxa"/>
          </w:tcPr>
          <w:p w:rsidR="006B7431" w:rsidRDefault="006B7431" w:rsidP="00DC717A">
            <w:pPr>
              <w:widowControl/>
              <w:spacing w:line="360" w:lineRule="atLeast"/>
              <w:jc w:val="left"/>
              <w:outlineLvl w:val="1"/>
              <w:rPr>
                <w:rFonts w:ascii="仿宋" w:eastAsia="仿宋" w:hAnsi="仿宋"/>
                <w:sz w:val="24"/>
              </w:rPr>
            </w:pPr>
            <w:r>
              <w:rPr>
                <w:rFonts w:ascii="仿宋" w:eastAsia="仿宋" w:hAnsi="仿宋" w:hint="eastAsia"/>
                <w:sz w:val="24"/>
              </w:rPr>
              <w:t>其他未列明行业</w:t>
            </w:r>
          </w:p>
        </w:tc>
        <w:tc>
          <w:tcPr>
            <w:tcW w:w="1116" w:type="dxa"/>
          </w:tcPr>
          <w:p w:rsidR="006B7431" w:rsidRDefault="006B7431" w:rsidP="00DC717A">
            <w:pPr>
              <w:widowControl/>
              <w:spacing w:line="360" w:lineRule="atLeast"/>
              <w:jc w:val="left"/>
              <w:outlineLvl w:val="1"/>
              <w:rPr>
                <w:rFonts w:ascii="仿宋" w:eastAsia="仿宋" w:hAnsi="仿宋"/>
                <w:sz w:val="24"/>
              </w:rPr>
            </w:pPr>
            <w:r>
              <w:rPr>
                <w:rFonts w:ascii="仿宋" w:eastAsia="仿宋" w:hAnsi="仿宋" w:hint="eastAsia"/>
                <w:sz w:val="24"/>
              </w:rPr>
              <w:t>1项</w:t>
            </w:r>
          </w:p>
        </w:tc>
      </w:tr>
    </w:tbl>
    <w:p w:rsidR="006B7431" w:rsidRDefault="006B7431" w:rsidP="006B7431">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*三.项目要求</w:t>
      </w:r>
    </w:p>
    <w:p w:rsidR="006B7431" w:rsidRDefault="006B7431" w:rsidP="006B7431">
      <w:pPr>
        <w:pStyle w:val="a5"/>
        <w:spacing w:line="400" w:lineRule="exact"/>
        <w:ind w:firstLineChars="0" w:firstLine="0"/>
        <w:rPr>
          <w:rFonts w:ascii="仿宋" w:eastAsia="仿宋" w:hAnsi="仿宋"/>
          <w:b/>
          <w:sz w:val="24"/>
        </w:rPr>
      </w:pPr>
      <w:r>
        <w:rPr>
          <w:rFonts w:ascii="仿宋" w:eastAsia="仿宋" w:hAnsi="仿宋" w:hint="eastAsia"/>
          <w:b/>
          <w:sz w:val="24"/>
        </w:rPr>
        <w:t>（一）、</w:t>
      </w:r>
      <w:r>
        <w:rPr>
          <w:rFonts w:ascii="仿宋" w:eastAsia="仿宋" w:hAnsi="仿宋"/>
          <w:b/>
          <w:sz w:val="24"/>
        </w:rPr>
        <w:t>技术、服务要求</w:t>
      </w:r>
    </w:p>
    <w:p w:rsidR="006B7431" w:rsidRDefault="006B7431" w:rsidP="006B7431">
      <w:pPr>
        <w:spacing w:line="360" w:lineRule="auto"/>
        <w:ind w:firstLineChars="200" w:firstLine="482"/>
        <w:rPr>
          <w:rFonts w:ascii="仿宋" w:eastAsia="仿宋" w:hAnsi="仿宋" w:cs="黑体"/>
          <w:b/>
          <w:sz w:val="24"/>
        </w:rPr>
      </w:pPr>
      <w:r>
        <w:rPr>
          <w:rFonts w:ascii="仿宋" w:eastAsia="仿宋" w:hAnsi="仿宋" w:cs="黑体" w:hint="eastAsia"/>
          <w:b/>
          <w:sz w:val="24"/>
        </w:rPr>
        <w:t>(</w:t>
      </w:r>
      <w:r>
        <w:rPr>
          <w:rFonts w:ascii="仿宋" w:eastAsia="仿宋" w:hAnsi="仿宋" w:cs="黑体"/>
          <w:b/>
          <w:sz w:val="24"/>
        </w:rPr>
        <w:t>1</w:t>
      </w:r>
      <w:r>
        <w:rPr>
          <w:rFonts w:ascii="仿宋" w:eastAsia="仿宋" w:hAnsi="仿宋" w:cs="黑体" w:hint="eastAsia"/>
          <w:b/>
          <w:sz w:val="24"/>
        </w:rPr>
        <w:t>)测评内容包括技术和管理测评：</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1．技术安全性测评包括但不限于：安全物理环境、安全通信网络、安全区域边界、安全计算环境、安全管理中心。</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2．管理安全测评包括但不限于：安全管理制度、安全管理机构、安全管理人员、安全建设管理、安全运维管理。</w:t>
      </w:r>
    </w:p>
    <w:p w:rsidR="006B7431" w:rsidRDefault="006B7431" w:rsidP="006B7431">
      <w:pPr>
        <w:spacing w:line="360" w:lineRule="auto"/>
        <w:ind w:firstLineChars="200" w:firstLine="482"/>
        <w:rPr>
          <w:rFonts w:ascii="仿宋" w:eastAsia="仿宋" w:hAnsi="仿宋" w:cs="黑体"/>
          <w:b/>
          <w:sz w:val="24"/>
        </w:rPr>
      </w:pPr>
      <w:r>
        <w:rPr>
          <w:rFonts w:ascii="仿宋" w:eastAsia="仿宋" w:hAnsi="仿宋" w:cs="黑体" w:hint="eastAsia"/>
          <w:b/>
          <w:sz w:val="24"/>
        </w:rPr>
        <w:t>(</w:t>
      </w:r>
      <w:r>
        <w:rPr>
          <w:rFonts w:ascii="仿宋" w:eastAsia="仿宋" w:hAnsi="仿宋" w:cs="黑体"/>
          <w:b/>
          <w:sz w:val="24"/>
        </w:rPr>
        <w:t>2</w:t>
      </w:r>
      <w:r>
        <w:rPr>
          <w:rFonts w:ascii="仿宋" w:eastAsia="仿宋" w:hAnsi="仿宋" w:cs="黑体" w:hint="eastAsia"/>
          <w:b/>
          <w:sz w:val="24"/>
        </w:rPr>
        <w:t>)测评对象及范围</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本次等级保护测评系统包括：</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86"/>
        <w:gridCol w:w="4019"/>
      </w:tblGrid>
      <w:tr w:rsidR="006B7431" w:rsidTr="00DC717A">
        <w:tc>
          <w:tcPr>
            <w:tcW w:w="817"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序号</w:t>
            </w:r>
          </w:p>
        </w:tc>
        <w:tc>
          <w:tcPr>
            <w:tcW w:w="36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系统名称</w:t>
            </w:r>
          </w:p>
        </w:tc>
        <w:tc>
          <w:tcPr>
            <w:tcW w:w="401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安全保护等级</w:t>
            </w:r>
          </w:p>
        </w:tc>
      </w:tr>
      <w:tr w:rsidR="006B7431" w:rsidTr="00DC717A">
        <w:tc>
          <w:tcPr>
            <w:tcW w:w="817"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w:t>
            </w:r>
          </w:p>
        </w:tc>
        <w:tc>
          <w:tcPr>
            <w:tcW w:w="36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医院网站</w:t>
            </w:r>
          </w:p>
        </w:tc>
        <w:tc>
          <w:tcPr>
            <w:tcW w:w="401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第三级</w:t>
            </w:r>
          </w:p>
        </w:tc>
      </w:tr>
      <w:tr w:rsidR="006B7431" w:rsidTr="00DC717A">
        <w:tc>
          <w:tcPr>
            <w:tcW w:w="817"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2</w:t>
            </w:r>
          </w:p>
        </w:tc>
        <w:tc>
          <w:tcPr>
            <w:tcW w:w="3686"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HIS系统</w:t>
            </w:r>
          </w:p>
        </w:tc>
        <w:tc>
          <w:tcPr>
            <w:tcW w:w="4019"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第三级</w:t>
            </w:r>
          </w:p>
        </w:tc>
      </w:tr>
      <w:tr w:rsidR="006B7431" w:rsidTr="00DC717A">
        <w:tc>
          <w:tcPr>
            <w:tcW w:w="817"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3</w:t>
            </w:r>
          </w:p>
        </w:tc>
        <w:tc>
          <w:tcPr>
            <w:tcW w:w="3686"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PACS系统</w:t>
            </w:r>
          </w:p>
        </w:tc>
        <w:tc>
          <w:tcPr>
            <w:tcW w:w="4019"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第三级</w:t>
            </w:r>
          </w:p>
        </w:tc>
      </w:tr>
      <w:tr w:rsidR="006B7431" w:rsidTr="00DC717A">
        <w:tc>
          <w:tcPr>
            <w:tcW w:w="817"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4</w:t>
            </w:r>
          </w:p>
        </w:tc>
        <w:tc>
          <w:tcPr>
            <w:tcW w:w="3686"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LIS系统</w:t>
            </w:r>
          </w:p>
        </w:tc>
        <w:tc>
          <w:tcPr>
            <w:tcW w:w="4019"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第三级</w:t>
            </w:r>
          </w:p>
        </w:tc>
      </w:tr>
    </w:tbl>
    <w:p w:rsidR="006B7431" w:rsidRDefault="006B7431" w:rsidP="006B7431">
      <w:pPr>
        <w:spacing w:line="360" w:lineRule="auto"/>
        <w:ind w:firstLineChars="200" w:firstLine="482"/>
        <w:rPr>
          <w:rFonts w:ascii="仿宋" w:eastAsia="仿宋" w:hAnsi="仿宋" w:cs="黑体"/>
          <w:b/>
          <w:sz w:val="24"/>
        </w:rPr>
      </w:pPr>
      <w:r>
        <w:rPr>
          <w:rFonts w:ascii="仿宋" w:eastAsia="仿宋" w:hAnsi="仿宋" w:cs="黑体" w:hint="eastAsia"/>
          <w:b/>
          <w:sz w:val="24"/>
        </w:rPr>
        <w:t>(</w:t>
      </w:r>
      <w:r>
        <w:rPr>
          <w:rFonts w:ascii="仿宋" w:eastAsia="仿宋" w:hAnsi="仿宋" w:cs="黑体"/>
          <w:b/>
          <w:sz w:val="24"/>
        </w:rPr>
        <w:t>3</w:t>
      </w:r>
      <w:r>
        <w:rPr>
          <w:rFonts w:ascii="仿宋" w:eastAsia="仿宋" w:hAnsi="仿宋" w:cs="黑体" w:hint="eastAsia"/>
          <w:b/>
          <w:sz w:val="24"/>
        </w:rPr>
        <w:t>)依据标准</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①《中华人民共和国网络安全法》</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②GB/T 22239-2019《信息安全技术 网络安全等级保护基本要求》</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③GB/T28448-2019《信息安全技术 网络安全等级保护测评要求》</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④GB/T28449-2018《信息安全技术 网络安全等级保护测评过程指南》</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lastRenderedPageBreak/>
        <w:t>⑤GB/T36627-2018《信息安全技术 网络安全等级保护测试评估技术指南》</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⑥《信息安全等级保护管理办法》公通字 [2007] 43号</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⑦《网络安全等级保护测评机构管理办法》公信安 [2018] 765号</w:t>
      </w:r>
    </w:p>
    <w:p w:rsidR="006B7431" w:rsidRDefault="006B7431" w:rsidP="006B7431">
      <w:pPr>
        <w:spacing w:line="360" w:lineRule="auto"/>
        <w:ind w:firstLineChars="200" w:firstLine="482"/>
        <w:rPr>
          <w:rFonts w:ascii="仿宋" w:eastAsia="仿宋" w:hAnsi="仿宋" w:cs="黑体"/>
          <w:b/>
          <w:sz w:val="24"/>
        </w:rPr>
      </w:pPr>
      <w:r>
        <w:rPr>
          <w:rFonts w:ascii="仿宋" w:eastAsia="仿宋" w:hAnsi="仿宋" w:cs="黑体" w:hint="eastAsia"/>
          <w:b/>
          <w:sz w:val="24"/>
        </w:rPr>
        <w:t>(</w:t>
      </w:r>
      <w:r>
        <w:rPr>
          <w:rFonts w:ascii="仿宋" w:eastAsia="仿宋" w:hAnsi="仿宋" w:cs="黑体"/>
          <w:b/>
          <w:sz w:val="24"/>
        </w:rPr>
        <w:t>4</w:t>
      </w:r>
      <w:r>
        <w:rPr>
          <w:rFonts w:ascii="仿宋" w:eastAsia="仿宋" w:hAnsi="仿宋" w:cs="黑体" w:hint="eastAsia"/>
          <w:b/>
          <w:sz w:val="24"/>
        </w:rPr>
        <w:t>)测评原则</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项目具体要求</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对信息系统安全等级保护状况进行测试评估，应包括两个方面的内容：一是安全控制测评，主要测评信息安全等级保护要求的基本安全控制在信息系统中的实施配置情况；二是系统整体测评，主要测评分析信息系统的整体安全性。</w:t>
      </w:r>
    </w:p>
    <w:p w:rsidR="006B7431" w:rsidRDefault="006B7431" w:rsidP="006B7431">
      <w:pPr>
        <w:spacing w:line="360" w:lineRule="auto"/>
        <w:rPr>
          <w:rFonts w:ascii="仿宋" w:eastAsia="仿宋" w:hAnsi="仿宋" w:cs="黑体"/>
          <w:b/>
          <w:sz w:val="24"/>
        </w:rPr>
      </w:pPr>
      <w:r>
        <w:rPr>
          <w:rFonts w:ascii="仿宋" w:eastAsia="仿宋" w:hAnsi="仿宋" w:cs="黑体" w:hint="eastAsia"/>
          <w:b/>
          <w:sz w:val="24"/>
        </w:rPr>
        <w:t>（5）测评要求</w:t>
      </w:r>
    </w:p>
    <w:p w:rsidR="006B7431" w:rsidRDefault="006B7431" w:rsidP="006B7431">
      <w:pPr>
        <w:spacing w:line="360" w:lineRule="auto"/>
        <w:rPr>
          <w:rFonts w:ascii="仿宋" w:eastAsia="仿宋" w:hAnsi="仿宋" w:cs="黑体"/>
          <w:sz w:val="24"/>
        </w:rPr>
      </w:pPr>
      <w:r>
        <w:rPr>
          <w:rFonts w:ascii="仿宋" w:eastAsia="仿宋" w:hAnsi="仿宋" w:cs="黑体" w:hint="eastAsia"/>
          <w:sz w:val="24"/>
        </w:rPr>
        <w:t>1）安全物理环境</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05"/>
        <w:gridCol w:w="1482"/>
        <w:gridCol w:w="6722"/>
      </w:tblGrid>
      <w:tr w:rsidR="006B7431" w:rsidTr="00DC717A">
        <w:trPr>
          <w:trHeight w:val="416"/>
          <w:tblHeader/>
          <w:jc w:val="center"/>
        </w:trPr>
        <w:tc>
          <w:tcPr>
            <w:tcW w:w="1005"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序号</w:t>
            </w:r>
          </w:p>
        </w:tc>
        <w:tc>
          <w:tcPr>
            <w:tcW w:w="1482"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工作单元名称</w:t>
            </w:r>
          </w:p>
        </w:tc>
        <w:tc>
          <w:tcPr>
            <w:tcW w:w="6722"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工作单元描述</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w:t>
            </w:r>
          </w:p>
        </w:tc>
        <w:tc>
          <w:tcPr>
            <w:tcW w:w="1482"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物理位置选择</w:t>
            </w:r>
          </w:p>
        </w:tc>
        <w:tc>
          <w:tcPr>
            <w:tcW w:w="672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通过访谈、检查机房等信息系统物理场所在位置上是否具有防雷、防风和防雨等多方面的安全防范能力。</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2</w:t>
            </w:r>
          </w:p>
        </w:tc>
        <w:tc>
          <w:tcPr>
            <w:tcW w:w="1482"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物理访问控制</w:t>
            </w:r>
          </w:p>
        </w:tc>
        <w:tc>
          <w:tcPr>
            <w:tcW w:w="672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通过访谈、检查主机房出入口、机房分区域情况等过程，测评信息系统在物理访问控制方面的安全防范能力。</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3</w:t>
            </w:r>
          </w:p>
        </w:tc>
        <w:tc>
          <w:tcPr>
            <w:tcW w:w="1482"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防盗窃和防破坏</w:t>
            </w:r>
          </w:p>
        </w:tc>
        <w:tc>
          <w:tcPr>
            <w:tcW w:w="672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通过访谈、检查机房的主要设备、介质和防盗报警系统等过程，测评信息系统是否采取必要的措施预防设备、介质等丢失和被破坏。</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4</w:t>
            </w:r>
          </w:p>
        </w:tc>
        <w:tc>
          <w:tcPr>
            <w:tcW w:w="1482"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防雷击</w:t>
            </w:r>
          </w:p>
        </w:tc>
        <w:tc>
          <w:tcPr>
            <w:tcW w:w="672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通过访谈、检查机房的设计/验收文档，测评信息系统是否采取相应的措施预防雷击。</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5</w:t>
            </w:r>
          </w:p>
        </w:tc>
        <w:tc>
          <w:tcPr>
            <w:tcW w:w="1482"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防火</w:t>
            </w:r>
          </w:p>
        </w:tc>
        <w:tc>
          <w:tcPr>
            <w:tcW w:w="672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通过访谈、检查机房的设计/验收文档，检查机房防火设备等过程，测评信息系统是否采取必要的措施防止火灾的发生。</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6</w:t>
            </w:r>
          </w:p>
        </w:tc>
        <w:tc>
          <w:tcPr>
            <w:tcW w:w="1482"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防水和防潮</w:t>
            </w:r>
          </w:p>
        </w:tc>
        <w:tc>
          <w:tcPr>
            <w:tcW w:w="672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通过访谈、检查机房的除潮设备等过程，测评信息系统是否采取必要措施来防止水灾和机房潮湿。</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7</w:t>
            </w:r>
          </w:p>
        </w:tc>
        <w:tc>
          <w:tcPr>
            <w:tcW w:w="1482"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防静电</w:t>
            </w:r>
          </w:p>
        </w:tc>
        <w:tc>
          <w:tcPr>
            <w:tcW w:w="672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通过访谈、检查机房是否采取必要措施防止静电的产生。</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8</w:t>
            </w:r>
          </w:p>
        </w:tc>
        <w:tc>
          <w:tcPr>
            <w:tcW w:w="1482"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温湿度控制</w:t>
            </w:r>
          </w:p>
        </w:tc>
        <w:tc>
          <w:tcPr>
            <w:tcW w:w="672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通过访谈、检查机房温、湿度情况，是否采取必要措施对机房内的温湿度进行控制。</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9</w:t>
            </w:r>
          </w:p>
        </w:tc>
        <w:tc>
          <w:tcPr>
            <w:tcW w:w="1482"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电力供应</w:t>
            </w:r>
          </w:p>
        </w:tc>
        <w:tc>
          <w:tcPr>
            <w:tcW w:w="672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通过访谈、检查机房供电线路、设备等过程，是否具备提供一定的电力供应的能力。</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10</w:t>
            </w:r>
          </w:p>
        </w:tc>
        <w:tc>
          <w:tcPr>
            <w:tcW w:w="1482"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电磁防护</w:t>
            </w:r>
          </w:p>
        </w:tc>
        <w:tc>
          <w:tcPr>
            <w:tcW w:w="672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通过访谈、检查是否具备一定的电磁防护能力。</w:t>
            </w:r>
          </w:p>
        </w:tc>
      </w:tr>
    </w:tbl>
    <w:p w:rsidR="006B7431" w:rsidRDefault="006B7431" w:rsidP="006B7431">
      <w:pPr>
        <w:spacing w:line="360" w:lineRule="auto"/>
        <w:rPr>
          <w:rFonts w:ascii="仿宋" w:eastAsia="仿宋" w:hAnsi="仿宋" w:cs="黑体"/>
          <w:sz w:val="24"/>
        </w:rPr>
      </w:pPr>
      <w:r>
        <w:rPr>
          <w:rFonts w:ascii="仿宋" w:eastAsia="仿宋" w:hAnsi="仿宋" w:cs="黑体" w:hint="eastAsia"/>
          <w:sz w:val="24"/>
        </w:rPr>
        <w:t>2）安全通信网络</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05"/>
        <w:gridCol w:w="1482"/>
        <w:gridCol w:w="6722"/>
      </w:tblGrid>
      <w:tr w:rsidR="006B7431" w:rsidTr="00DC717A">
        <w:trPr>
          <w:trHeight w:val="455"/>
          <w:tblHeader/>
          <w:jc w:val="center"/>
        </w:trPr>
        <w:tc>
          <w:tcPr>
            <w:tcW w:w="1005"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序号</w:t>
            </w:r>
          </w:p>
        </w:tc>
        <w:tc>
          <w:tcPr>
            <w:tcW w:w="1482"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工作单元名称</w:t>
            </w:r>
          </w:p>
        </w:tc>
        <w:tc>
          <w:tcPr>
            <w:tcW w:w="6722"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工作单元描述</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w:t>
            </w:r>
          </w:p>
        </w:tc>
        <w:tc>
          <w:tcPr>
            <w:tcW w:w="1482"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sz w:val="24"/>
              </w:rPr>
              <w:t>网络架构</w:t>
            </w:r>
          </w:p>
        </w:tc>
        <w:tc>
          <w:tcPr>
            <w:tcW w:w="672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网络拓扑情况、抽查核心交换机、接入交换机和接入路由器等网络互联设备，测试系统访问路径和网络宽带分配情况等过程，测评分析网络架构与网段划分、隔离等情况的合理性和有效性，以及通信线路、关键设备硬件冗余，系统可用性保证情况。</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2</w:t>
            </w:r>
          </w:p>
        </w:tc>
        <w:tc>
          <w:tcPr>
            <w:tcW w:w="1482"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sz w:val="24"/>
              </w:rPr>
              <w:t>通信传输</w:t>
            </w:r>
          </w:p>
        </w:tc>
        <w:tc>
          <w:tcPr>
            <w:tcW w:w="672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通过访谈、检查、测试通信传输过程的数据完整性和保密性保护情况。</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3</w:t>
            </w:r>
          </w:p>
        </w:tc>
        <w:tc>
          <w:tcPr>
            <w:tcW w:w="1482"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sz w:val="24"/>
              </w:rPr>
              <w:t>可信验证</w:t>
            </w:r>
          </w:p>
        </w:tc>
        <w:tc>
          <w:tcPr>
            <w:tcW w:w="672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通过访谈、检查通信设备的系统引导、系统程序、重要配置参数和通信应用程序等进行可信验证及应用程序的关键执行环节进行动态可信验证的保护情况。</w:t>
            </w:r>
          </w:p>
        </w:tc>
      </w:tr>
    </w:tbl>
    <w:p w:rsidR="006B7431" w:rsidRDefault="006B7431" w:rsidP="006B7431">
      <w:pPr>
        <w:spacing w:line="360" w:lineRule="auto"/>
        <w:rPr>
          <w:rFonts w:ascii="仿宋" w:eastAsia="仿宋" w:hAnsi="仿宋" w:cs="黑体"/>
          <w:sz w:val="24"/>
        </w:rPr>
      </w:pPr>
      <w:r>
        <w:rPr>
          <w:rFonts w:ascii="仿宋" w:eastAsia="仿宋" w:hAnsi="仿宋" w:cs="黑体" w:hint="eastAsia"/>
          <w:sz w:val="24"/>
        </w:rPr>
        <w:t>3）安全区域边界</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05"/>
        <w:gridCol w:w="1400"/>
        <w:gridCol w:w="6662"/>
      </w:tblGrid>
      <w:tr w:rsidR="006B7431" w:rsidTr="00DC717A">
        <w:trPr>
          <w:trHeight w:val="455"/>
          <w:tblHeader/>
          <w:jc w:val="center"/>
        </w:trPr>
        <w:tc>
          <w:tcPr>
            <w:tcW w:w="1005"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序号</w:t>
            </w:r>
          </w:p>
        </w:tc>
        <w:tc>
          <w:tcPr>
            <w:tcW w:w="1400"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工作单元名称</w:t>
            </w:r>
          </w:p>
        </w:tc>
        <w:tc>
          <w:tcPr>
            <w:tcW w:w="6662"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工作单元描述</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w:t>
            </w:r>
          </w:p>
        </w:tc>
        <w:tc>
          <w:tcPr>
            <w:tcW w:w="1400"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sz w:val="24"/>
              </w:rPr>
              <w:t>边界防护</w:t>
            </w:r>
          </w:p>
        </w:tc>
        <w:tc>
          <w:tcPr>
            <w:tcW w:w="666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通过访谈、检查、测试边界完整性检查设备，测评分析跨域边界的访问控制和数据流通过边界设备的控制措施，非法内联、外联、无线准入控制的监测、阻断等能力。</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2</w:t>
            </w:r>
          </w:p>
        </w:tc>
        <w:tc>
          <w:tcPr>
            <w:tcW w:w="1400"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访问控制</w:t>
            </w:r>
          </w:p>
        </w:tc>
        <w:tc>
          <w:tcPr>
            <w:tcW w:w="666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通过访谈、检查、测试网络访问控制设备策略部署，测试系统对外暴露安全漏洞情况等过程，测评分析对进出网络的数据流量控制以及基于应用协议和应用内容的访问控制能力。</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3</w:t>
            </w:r>
          </w:p>
        </w:tc>
        <w:tc>
          <w:tcPr>
            <w:tcW w:w="1400"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入侵防范</w:t>
            </w:r>
          </w:p>
        </w:tc>
        <w:tc>
          <w:tcPr>
            <w:tcW w:w="666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网络边界处、关键网络节点检测、防止或限制从内部和外部发起网络攻击行为的防护能力，以及网络行为分析、监测、报警能力，特别是新型网络攻击行为的分析，对攻击行为的检测是否涉及攻击源、攻击类型、攻击目标、攻击事件、入侵报警等方面的防范能力。</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4</w:t>
            </w:r>
          </w:p>
        </w:tc>
        <w:tc>
          <w:tcPr>
            <w:tcW w:w="1400"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恶意代码和防垃圾邮件</w:t>
            </w:r>
          </w:p>
        </w:tc>
        <w:tc>
          <w:tcPr>
            <w:tcW w:w="666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通过访谈、检查、测试关键网络节点处对恶意代码、垃圾邮件进行检测、防护和清除、恶意代码防护机制的升级和更新维护等情况，</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5</w:t>
            </w:r>
          </w:p>
        </w:tc>
        <w:tc>
          <w:tcPr>
            <w:tcW w:w="1400"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安全审计</w:t>
            </w:r>
          </w:p>
        </w:tc>
        <w:tc>
          <w:tcPr>
            <w:tcW w:w="666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通过访谈、检查网络边界、重要网络节点安全审计情况等，测评分析信息系统审计配置和审计记录保护，审计内容等情况。</w:t>
            </w:r>
          </w:p>
        </w:tc>
      </w:tr>
      <w:tr w:rsidR="006B7431" w:rsidTr="00DC717A">
        <w:trPr>
          <w:jc w:val="center"/>
        </w:trPr>
        <w:tc>
          <w:tcPr>
            <w:tcW w:w="100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6</w:t>
            </w:r>
          </w:p>
        </w:tc>
        <w:tc>
          <w:tcPr>
            <w:tcW w:w="1400"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sz w:val="24"/>
              </w:rPr>
              <w:t>可信验证</w:t>
            </w:r>
          </w:p>
        </w:tc>
        <w:tc>
          <w:tcPr>
            <w:tcW w:w="6662" w:type="dxa"/>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通过访谈、检查边界设备的系统引导、系统程序、重要配置参数和边界防护应用程序等进行可信验证及应用程序的关键执行环节进行动态可信验证的保护情况。</w:t>
            </w:r>
          </w:p>
        </w:tc>
      </w:tr>
    </w:tbl>
    <w:p w:rsidR="006B7431" w:rsidRDefault="006B7431" w:rsidP="006B7431">
      <w:pPr>
        <w:spacing w:line="360" w:lineRule="auto"/>
        <w:rPr>
          <w:rFonts w:ascii="仿宋" w:eastAsia="仿宋" w:hAnsi="仿宋" w:cs="黑体"/>
          <w:sz w:val="24"/>
        </w:rPr>
      </w:pPr>
      <w:r>
        <w:rPr>
          <w:rFonts w:ascii="仿宋" w:eastAsia="仿宋" w:hAnsi="仿宋" w:cs="黑体" w:hint="eastAsia"/>
          <w:sz w:val="24"/>
        </w:rPr>
        <w:t>4）安全计算环境</w:t>
      </w:r>
    </w:p>
    <w:tbl>
      <w:tblPr>
        <w:tblW w:w="8931" w:type="dxa"/>
        <w:jc w:val="center"/>
        <w:tblLayout w:type="fixed"/>
        <w:tblCellMar>
          <w:top w:w="57" w:type="dxa"/>
          <w:bottom w:w="57" w:type="dxa"/>
        </w:tblCellMar>
        <w:tblLook w:val="04A0" w:firstRow="1" w:lastRow="0" w:firstColumn="1" w:lastColumn="0" w:noHBand="0" w:noVBand="1"/>
      </w:tblPr>
      <w:tblGrid>
        <w:gridCol w:w="927"/>
        <w:gridCol w:w="1418"/>
        <w:gridCol w:w="6586"/>
      </w:tblGrid>
      <w:tr w:rsidR="006B7431" w:rsidTr="00DC717A">
        <w:trPr>
          <w:trHeight w:val="384"/>
          <w:tblHeader/>
          <w:jc w:val="center"/>
        </w:trPr>
        <w:tc>
          <w:tcPr>
            <w:tcW w:w="927" w:type="dxa"/>
            <w:tcBorders>
              <w:top w:val="single" w:sz="4" w:space="0" w:color="auto"/>
              <w:left w:val="single" w:sz="4" w:space="0" w:color="auto"/>
              <w:bottom w:val="single" w:sz="4" w:space="0" w:color="auto"/>
              <w:right w:val="single" w:sz="4" w:space="0" w:color="auto"/>
            </w:tcBorders>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序号</w:t>
            </w:r>
          </w:p>
        </w:tc>
        <w:tc>
          <w:tcPr>
            <w:tcW w:w="1418" w:type="dxa"/>
            <w:tcBorders>
              <w:top w:val="single" w:sz="4" w:space="0" w:color="auto"/>
              <w:left w:val="nil"/>
              <w:bottom w:val="single" w:sz="4" w:space="0" w:color="auto"/>
              <w:right w:val="single" w:sz="4" w:space="0" w:color="auto"/>
            </w:tcBorders>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工作单元名称</w:t>
            </w:r>
          </w:p>
        </w:tc>
        <w:tc>
          <w:tcPr>
            <w:tcW w:w="6586" w:type="dxa"/>
            <w:tcBorders>
              <w:top w:val="single" w:sz="4" w:space="0" w:color="auto"/>
              <w:left w:val="nil"/>
              <w:bottom w:val="single" w:sz="4" w:space="0" w:color="auto"/>
              <w:right w:val="single" w:sz="4" w:space="0" w:color="auto"/>
            </w:tcBorders>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工作单元描述</w:t>
            </w:r>
          </w:p>
        </w:tc>
      </w:tr>
      <w:tr w:rsidR="006B7431" w:rsidTr="00DC717A">
        <w:trPr>
          <w:trHeight w:val="525"/>
          <w:jc w:val="center"/>
        </w:trPr>
        <w:tc>
          <w:tcPr>
            <w:tcW w:w="927"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身份鉴别</w:t>
            </w:r>
          </w:p>
        </w:tc>
        <w:tc>
          <w:tcPr>
            <w:tcW w:w="6586" w:type="dxa"/>
            <w:tcBorders>
              <w:top w:val="single" w:sz="4" w:space="0" w:color="auto"/>
              <w:left w:val="nil"/>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通过访谈、检查、测试对登录的用户进行身份标识和鉴别，是否具有不易被冒用的特点，口令应有复杂度要求并定期更换，以及远程管理安全、双因素鉴别等内容。</w:t>
            </w:r>
          </w:p>
        </w:tc>
      </w:tr>
      <w:tr w:rsidR="006B7431" w:rsidTr="00DC717A">
        <w:trPr>
          <w:trHeight w:val="525"/>
          <w:jc w:val="center"/>
        </w:trPr>
        <w:tc>
          <w:tcPr>
            <w:tcW w:w="927"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访问控制</w:t>
            </w:r>
          </w:p>
        </w:tc>
        <w:tc>
          <w:tcPr>
            <w:tcW w:w="6586" w:type="dxa"/>
            <w:tcBorders>
              <w:top w:val="single" w:sz="4" w:space="0" w:color="auto"/>
              <w:left w:val="nil"/>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通过访谈、检查、测试是否启用访问控制功能，依据安全策略控制用户对资源的访问；是否根据管理用户的角色分配权限，实现管理用户的权限分离，仅授予管理用户所需的最小权限等内容。</w:t>
            </w:r>
          </w:p>
        </w:tc>
      </w:tr>
      <w:tr w:rsidR="006B7431" w:rsidTr="00DC717A">
        <w:trPr>
          <w:trHeight w:val="525"/>
          <w:jc w:val="center"/>
        </w:trPr>
        <w:tc>
          <w:tcPr>
            <w:tcW w:w="927"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安全审计</w:t>
            </w:r>
          </w:p>
        </w:tc>
        <w:tc>
          <w:tcPr>
            <w:tcW w:w="6586" w:type="dxa"/>
            <w:tcBorders>
              <w:top w:val="single" w:sz="4" w:space="0" w:color="auto"/>
              <w:left w:val="nil"/>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通过访谈、检查安全审计范围及内容。</w:t>
            </w:r>
          </w:p>
        </w:tc>
      </w:tr>
      <w:tr w:rsidR="006B7431" w:rsidTr="00DC717A">
        <w:trPr>
          <w:trHeight w:val="452"/>
          <w:jc w:val="center"/>
        </w:trPr>
        <w:tc>
          <w:tcPr>
            <w:tcW w:w="927"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入侵防范</w:t>
            </w:r>
          </w:p>
        </w:tc>
        <w:tc>
          <w:tcPr>
            <w:tcW w:w="6586" w:type="dxa"/>
            <w:tcBorders>
              <w:top w:val="single" w:sz="4" w:space="0" w:color="auto"/>
              <w:left w:val="nil"/>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是否能够检测到对重要节点进行入侵的行为，能够记录入侵的源IP、攻击的类型、攻击的目的、攻击的时间，并在发生严重入侵事件时提供报警，是否遵循最小化安全装原则、系统服务、默认共享和高危端口、终端接入限制、数据有效性检验、已知漏洞防护等内容。</w:t>
            </w:r>
          </w:p>
        </w:tc>
      </w:tr>
      <w:tr w:rsidR="006B7431" w:rsidTr="00DC717A">
        <w:trPr>
          <w:trHeight w:val="525"/>
          <w:jc w:val="center"/>
        </w:trPr>
        <w:tc>
          <w:tcPr>
            <w:tcW w:w="927"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恶意代码防范</w:t>
            </w:r>
          </w:p>
        </w:tc>
        <w:tc>
          <w:tcPr>
            <w:tcW w:w="6586" w:type="dxa"/>
            <w:tcBorders>
              <w:top w:val="single" w:sz="4" w:space="0" w:color="auto"/>
              <w:left w:val="nil"/>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通过访谈、检查、测试是否具有防恶意代码攻击的技术措施或主动免疫可信验证机制，能否及时识别入侵和病毒行为并将其有效阻断等内容。</w:t>
            </w:r>
          </w:p>
        </w:tc>
      </w:tr>
      <w:tr w:rsidR="006B7431" w:rsidTr="00DC717A">
        <w:trPr>
          <w:trHeight w:val="525"/>
          <w:jc w:val="center"/>
        </w:trPr>
        <w:tc>
          <w:tcPr>
            <w:tcW w:w="927"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6</w:t>
            </w:r>
          </w:p>
        </w:tc>
        <w:tc>
          <w:tcPr>
            <w:tcW w:w="1418"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sz w:val="24"/>
              </w:rPr>
              <w:t>可信验证</w:t>
            </w:r>
          </w:p>
        </w:tc>
        <w:tc>
          <w:tcPr>
            <w:tcW w:w="6586" w:type="dxa"/>
            <w:tcBorders>
              <w:top w:val="single" w:sz="4" w:space="0" w:color="auto"/>
              <w:left w:val="nil"/>
              <w:bottom w:val="single" w:sz="4" w:space="0" w:color="auto"/>
              <w:right w:val="single" w:sz="4" w:space="0" w:color="auto"/>
            </w:tcBorders>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通过访谈、通过访谈安全员，检查计算设备的系统引导、系统程序、重要配置参数和应用程序等进行可信验证及应用程序的关键执行环节进行动态可信验证的保护情况。</w:t>
            </w:r>
          </w:p>
        </w:tc>
      </w:tr>
      <w:tr w:rsidR="006B7431" w:rsidTr="00DC717A">
        <w:trPr>
          <w:trHeight w:val="525"/>
          <w:jc w:val="center"/>
        </w:trPr>
        <w:tc>
          <w:tcPr>
            <w:tcW w:w="927"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7</w:t>
            </w:r>
          </w:p>
        </w:tc>
        <w:tc>
          <w:tcPr>
            <w:tcW w:w="1418"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数据完整性</w:t>
            </w:r>
          </w:p>
        </w:tc>
        <w:tc>
          <w:tcPr>
            <w:tcW w:w="6586" w:type="dxa"/>
            <w:tcBorders>
              <w:top w:val="single" w:sz="4" w:space="0" w:color="auto"/>
              <w:left w:val="nil"/>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通过访谈、检查、测试重要数据在传输和存储过程中的完整性保护情况，包括鉴别数据、重要业务数据、重要审计数据、重要配置数据、重要视频数据和重要个人信息等。</w:t>
            </w:r>
          </w:p>
        </w:tc>
      </w:tr>
      <w:tr w:rsidR="006B7431" w:rsidTr="00DC717A">
        <w:trPr>
          <w:trHeight w:val="525"/>
          <w:jc w:val="center"/>
        </w:trPr>
        <w:tc>
          <w:tcPr>
            <w:tcW w:w="927"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8</w:t>
            </w:r>
          </w:p>
        </w:tc>
        <w:tc>
          <w:tcPr>
            <w:tcW w:w="1418"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数据保密性</w:t>
            </w:r>
          </w:p>
        </w:tc>
        <w:tc>
          <w:tcPr>
            <w:tcW w:w="6586" w:type="dxa"/>
            <w:tcBorders>
              <w:top w:val="single" w:sz="4" w:space="0" w:color="auto"/>
              <w:left w:val="nil"/>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通过访谈、检查、测试重要数据在传输和存储过程中的保密性保护情况，包括鉴别数据、重要业务数据、重要审计数据、重要配置数据、重要视频数据和重要个人信息等。</w:t>
            </w:r>
          </w:p>
        </w:tc>
      </w:tr>
      <w:tr w:rsidR="006B7431" w:rsidTr="00DC717A">
        <w:trPr>
          <w:trHeight w:val="525"/>
          <w:jc w:val="center"/>
        </w:trPr>
        <w:tc>
          <w:tcPr>
            <w:tcW w:w="927"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9</w:t>
            </w:r>
          </w:p>
        </w:tc>
        <w:tc>
          <w:tcPr>
            <w:tcW w:w="1418"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数据备份恢复</w:t>
            </w:r>
          </w:p>
        </w:tc>
        <w:tc>
          <w:tcPr>
            <w:tcW w:w="6586" w:type="dxa"/>
            <w:tcBorders>
              <w:top w:val="single" w:sz="4" w:space="0" w:color="auto"/>
              <w:left w:val="nil"/>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通过访谈、检查、测试重要数据本地备份与恢复功能，异地实时备份功能，以及重要数据处理系统的热冗余和高可用性保证等。</w:t>
            </w:r>
          </w:p>
        </w:tc>
      </w:tr>
      <w:tr w:rsidR="006B7431" w:rsidTr="00DC717A">
        <w:trPr>
          <w:trHeight w:val="525"/>
          <w:jc w:val="center"/>
        </w:trPr>
        <w:tc>
          <w:tcPr>
            <w:tcW w:w="927"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10</w:t>
            </w:r>
          </w:p>
        </w:tc>
        <w:tc>
          <w:tcPr>
            <w:tcW w:w="1418"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剩余信息保护</w:t>
            </w:r>
          </w:p>
        </w:tc>
        <w:tc>
          <w:tcPr>
            <w:tcW w:w="6586" w:type="dxa"/>
            <w:tcBorders>
              <w:top w:val="single" w:sz="4" w:space="0" w:color="auto"/>
              <w:left w:val="nil"/>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通过访谈、检查、测试边界信息在存储空间被释放或重新分配前是否有效清除，存有敏感数据的存储空间被释放或重新分配前是否有效清除等。</w:t>
            </w:r>
          </w:p>
        </w:tc>
      </w:tr>
      <w:tr w:rsidR="006B7431" w:rsidTr="00DC717A">
        <w:trPr>
          <w:trHeight w:val="525"/>
          <w:jc w:val="center"/>
        </w:trPr>
        <w:tc>
          <w:tcPr>
            <w:tcW w:w="927"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11</w:t>
            </w:r>
          </w:p>
        </w:tc>
        <w:tc>
          <w:tcPr>
            <w:tcW w:w="1418" w:type="dxa"/>
            <w:tcBorders>
              <w:top w:val="single" w:sz="4" w:space="0" w:color="auto"/>
              <w:left w:val="single" w:sz="4" w:space="0" w:color="auto"/>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sz w:val="24"/>
              </w:rPr>
              <w:t>个人信息保护</w:t>
            </w:r>
          </w:p>
        </w:tc>
        <w:tc>
          <w:tcPr>
            <w:tcW w:w="6586" w:type="dxa"/>
            <w:tcBorders>
              <w:top w:val="single" w:sz="4" w:space="0" w:color="auto"/>
              <w:left w:val="nil"/>
              <w:bottom w:val="single" w:sz="4" w:space="0" w:color="auto"/>
              <w:right w:val="single" w:sz="4" w:space="0" w:color="auto"/>
            </w:tcBorders>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通过访谈、检查、测试是否仅采集和保存业务必须的用户个人信息，对用户个人信息的访问和使用等。</w:t>
            </w:r>
          </w:p>
        </w:tc>
      </w:tr>
    </w:tbl>
    <w:p w:rsidR="006B7431" w:rsidRDefault="006B7431" w:rsidP="006B7431">
      <w:pPr>
        <w:spacing w:line="360" w:lineRule="auto"/>
        <w:rPr>
          <w:rFonts w:ascii="仿宋" w:eastAsia="仿宋" w:hAnsi="仿宋" w:cs="黑体"/>
          <w:sz w:val="24"/>
        </w:rPr>
      </w:pPr>
      <w:r>
        <w:rPr>
          <w:rFonts w:ascii="仿宋" w:eastAsia="仿宋" w:hAnsi="仿宋" w:cs="黑体" w:hint="eastAsia"/>
          <w:sz w:val="24"/>
        </w:rPr>
        <w:t>5）安全管理中心</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28"/>
        <w:gridCol w:w="1435"/>
        <w:gridCol w:w="6521"/>
      </w:tblGrid>
      <w:tr w:rsidR="006B7431" w:rsidTr="00DC717A">
        <w:trPr>
          <w:trHeight w:val="431"/>
          <w:tblHeader/>
          <w:jc w:val="center"/>
        </w:trPr>
        <w:tc>
          <w:tcPr>
            <w:tcW w:w="828" w:type="dxa"/>
            <w:shd w:val="clear" w:color="auto" w:fill="FFFFFF"/>
            <w:vAlign w:val="center"/>
          </w:tcPr>
          <w:p w:rsidR="006B7431" w:rsidRDefault="006B7431" w:rsidP="00DC717A">
            <w:pPr>
              <w:spacing w:line="360" w:lineRule="auto"/>
              <w:rPr>
                <w:rFonts w:ascii="仿宋" w:eastAsia="仿宋" w:hAnsi="仿宋" w:cs="黑体"/>
                <w:sz w:val="24"/>
              </w:rPr>
            </w:pPr>
            <w:r>
              <w:rPr>
                <w:rFonts w:ascii="仿宋" w:eastAsia="仿宋" w:hAnsi="仿宋" w:cs="黑体" w:hint="eastAsia"/>
                <w:sz w:val="24"/>
              </w:rPr>
              <w:t>序号</w:t>
            </w:r>
          </w:p>
        </w:tc>
        <w:tc>
          <w:tcPr>
            <w:tcW w:w="1435" w:type="dxa"/>
            <w:shd w:val="clear" w:color="auto" w:fill="FFFFFF"/>
            <w:vAlign w:val="center"/>
          </w:tcPr>
          <w:p w:rsidR="006B7431" w:rsidRDefault="006B7431" w:rsidP="00DC717A">
            <w:pPr>
              <w:spacing w:line="360" w:lineRule="auto"/>
              <w:rPr>
                <w:rFonts w:ascii="仿宋" w:eastAsia="仿宋" w:hAnsi="仿宋" w:cs="黑体"/>
                <w:sz w:val="24"/>
              </w:rPr>
            </w:pPr>
            <w:r>
              <w:rPr>
                <w:rFonts w:ascii="仿宋" w:eastAsia="仿宋" w:hAnsi="仿宋" w:cs="黑体" w:hint="eastAsia"/>
                <w:sz w:val="24"/>
              </w:rPr>
              <w:t>工作单元名称</w:t>
            </w:r>
          </w:p>
        </w:tc>
        <w:tc>
          <w:tcPr>
            <w:tcW w:w="6521" w:type="dxa"/>
            <w:shd w:val="clear" w:color="auto" w:fill="FFFFFF"/>
            <w:vAlign w:val="center"/>
          </w:tcPr>
          <w:p w:rsidR="006B7431" w:rsidRDefault="006B7431" w:rsidP="00DC717A">
            <w:pPr>
              <w:spacing w:line="360" w:lineRule="auto"/>
              <w:rPr>
                <w:rFonts w:ascii="仿宋" w:eastAsia="仿宋" w:hAnsi="仿宋" w:cs="黑体"/>
                <w:sz w:val="24"/>
              </w:rPr>
            </w:pPr>
            <w:r>
              <w:rPr>
                <w:rFonts w:ascii="仿宋" w:eastAsia="仿宋" w:hAnsi="仿宋" w:cs="黑体" w:hint="eastAsia"/>
                <w:sz w:val="24"/>
              </w:rPr>
              <w:t>工作单元描述</w:t>
            </w:r>
          </w:p>
        </w:tc>
      </w:tr>
      <w:tr w:rsidR="006B7431" w:rsidTr="00DC717A">
        <w:trPr>
          <w:jc w:val="center"/>
        </w:trPr>
        <w:tc>
          <w:tcPr>
            <w:tcW w:w="828"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w:t>
            </w:r>
          </w:p>
        </w:tc>
        <w:tc>
          <w:tcPr>
            <w:tcW w:w="143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sz w:val="24"/>
              </w:rPr>
              <w:t>系统管理</w:t>
            </w:r>
          </w:p>
        </w:tc>
        <w:tc>
          <w:tcPr>
            <w:tcW w:w="652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通过访谈、检查、测试对系统管理员身份鉴别、命令或操作管理、操作审计，以及是否通过系统管理对系统资源和运行进行配置、控制和管理等。</w:t>
            </w:r>
          </w:p>
        </w:tc>
      </w:tr>
      <w:tr w:rsidR="006B7431" w:rsidTr="00DC717A">
        <w:trPr>
          <w:jc w:val="center"/>
        </w:trPr>
        <w:tc>
          <w:tcPr>
            <w:tcW w:w="828"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2</w:t>
            </w:r>
          </w:p>
        </w:tc>
        <w:tc>
          <w:tcPr>
            <w:tcW w:w="143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sz w:val="24"/>
              </w:rPr>
              <w:t>审计管理</w:t>
            </w:r>
          </w:p>
        </w:tc>
        <w:tc>
          <w:tcPr>
            <w:tcW w:w="652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通过访谈、检查、测试对审计管理员身份鉴别、命令或操作管理、操作审计，以及是否通过审计管理员对审计策略、审计记录进行分析、处理等。</w:t>
            </w:r>
          </w:p>
        </w:tc>
      </w:tr>
      <w:tr w:rsidR="006B7431" w:rsidTr="00DC717A">
        <w:trPr>
          <w:trHeight w:val="588"/>
          <w:jc w:val="center"/>
        </w:trPr>
        <w:tc>
          <w:tcPr>
            <w:tcW w:w="828"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3</w:t>
            </w:r>
          </w:p>
        </w:tc>
        <w:tc>
          <w:tcPr>
            <w:tcW w:w="143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sz w:val="24"/>
              </w:rPr>
              <w:t>安全管理</w:t>
            </w:r>
          </w:p>
        </w:tc>
        <w:tc>
          <w:tcPr>
            <w:tcW w:w="652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通过访谈、检查、测试对安全管理员身份鉴别、命令或操作管理、操作审计，以及是否通过安全管理员对安全策略、参数进行配置等。</w:t>
            </w:r>
          </w:p>
        </w:tc>
      </w:tr>
      <w:tr w:rsidR="006B7431" w:rsidTr="00DC717A">
        <w:trPr>
          <w:jc w:val="center"/>
        </w:trPr>
        <w:tc>
          <w:tcPr>
            <w:tcW w:w="828"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4</w:t>
            </w:r>
          </w:p>
        </w:tc>
        <w:tc>
          <w:tcPr>
            <w:tcW w:w="1435"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sz w:val="24"/>
              </w:rPr>
              <w:t>集中管控</w:t>
            </w:r>
          </w:p>
        </w:tc>
        <w:tc>
          <w:tcPr>
            <w:tcW w:w="652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测试是否具有特定的管理区域，对分布在网络中的安全设备或安全组件进行集中管控，对网络链路、安全设备、网络设备和服务的运行进行集中监测，对分散在各设备上的审计数据进行收集汇总和集中分析，并确保记录留存符合法律法规要求，对安全策略、恶意代码、升级补丁等安全相关事项进行集中管理，对网络中发生的各类安全事件进行识别、报警和分析等。</w:t>
            </w:r>
          </w:p>
        </w:tc>
      </w:tr>
    </w:tbl>
    <w:p w:rsidR="006B7431" w:rsidRDefault="006B7431" w:rsidP="006B7431">
      <w:pPr>
        <w:spacing w:line="360" w:lineRule="auto"/>
        <w:rPr>
          <w:rFonts w:ascii="仿宋" w:eastAsia="仿宋" w:hAnsi="仿宋" w:cs="黑体"/>
          <w:sz w:val="24"/>
        </w:rPr>
      </w:pPr>
      <w:r>
        <w:rPr>
          <w:rFonts w:ascii="仿宋" w:eastAsia="仿宋" w:hAnsi="仿宋" w:cs="黑体" w:hint="eastAsia"/>
          <w:sz w:val="24"/>
        </w:rPr>
        <w:t>6）安全管理制度</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86"/>
        <w:gridCol w:w="1417"/>
        <w:gridCol w:w="6521"/>
      </w:tblGrid>
      <w:tr w:rsidR="006B7431" w:rsidTr="00DC717A">
        <w:trPr>
          <w:trHeight w:val="450"/>
          <w:jc w:val="center"/>
        </w:trPr>
        <w:tc>
          <w:tcPr>
            <w:tcW w:w="786"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序号</w:t>
            </w:r>
          </w:p>
        </w:tc>
        <w:tc>
          <w:tcPr>
            <w:tcW w:w="1417"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工作单元名称</w:t>
            </w:r>
          </w:p>
        </w:tc>
        <w:tc>
          <w:tcPr>
            <w:tcW w:w="6521"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工作单元描述</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w:t>
            </w:r>
          </w:p>
        </w:tc>
        <w:tc>
          <w:tcPr>
            <w:tcW w:w="1417"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sz w:val="24"/>
              </w:rPr>
              <w:t>安全策略</w:t>
            </w:r>
          </w:p>
        </w:tc>
        <w:tc>
          <w:tcPr>
            <w:tcW w:w="652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通过访谈、检查网络安全工作的总体方针我安全策略是否全面、完善。</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2</w:t>
            </w:r>
          </w:p>
        </w:tc>
        <w:tc>
          <w:tcPr>
            <w:tcW w:w="1417"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管理制度</w:t>
            </w:r>
          </w:p>
        </w:tc>
        <w:tc>
          <w:tcPr>
            <w:tcW w:w="652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通过访谈、检查管理制度的制定和发布过程是否遵循一定的流程。</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3</w:t>
            </w:r>
          </w:p>
        </w:tc>
        <w:tc>
          <w:tcPr>
            <w:tcW w:w="1417"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sz w:val="24"/>
              </w:rPr>
              <w:t>制度和发布</w:t>
            </w:r>
          </w:p>
        </w:tc>
        <w:tc>
          <w:tcPr>
            <w:tcW w:w="652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通过访谈、检查管理制度定期评审和修订情况。</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4</w:t>
            </w:r>
          </w:p>
        </w:tc>
        <w:tc>
          <w:tcPr>
            <w:tcW w:w="1417"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评审和修订</w:t>
            </w:r>
          </w:p>
        </w:tc>
        <w:tc>
          <w:tcPr>
            <w:tcW w:w="652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通过访谈、检查管理制度在内容覆盖上是否全面、完善。</w:t>
            </w:r>
          </w:p>
        </w:tc>
      </w:tr>
    </w:tbl>
    <w:p w:rsidR="006B7431" w:rsidRDefault="006B7431" w:rsidP="006B7431">
      <w:pPr>
        <w:spacing w:line="360" w:lineRule="auto"/>
        <w:rPr>
          <w:rFonts w:ascii="仿宋" w:eastAsia="仿宋" w:hAnsi="仿宋" w:cs="黑体"/>
          <w:sz w:val="24"/>
        </w:rPr>
      </w:pPr>
      <w:r>
        <w:rPr>
          <w:rFonts w:ascii="仿宋" w:eastAsia="仿宋" w:hAnsi="仿宋" w:cs="黑体" w:hint="eastAsia"/>
          <w:sz w:val="24"/>
        </w:rPr>
        <w:t>7）安全管理机构</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86"/>
        <w:gridCol w:w="1559"/>
        <w:gridCol w:w="6379"/>
      </w:tblGrid>
      <w:tr w:rsidR="006B7431" w:rsidTr="00DC717A">
        <w:trPr>
          <w:trHeight w:val="450"/>
          <w:jc w:val="center"/>
        </w:trPr>
        <w:tc>
          <w:tcPr>
            <w:tcW w:w="786"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序号</w:t>
            </w:r>
          </w:p>
        </w:tc>
        <w:tc>
          <w:tcPr>
            <w:tcW w:w="1559"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工作单元名称</w:t>
            </w:r>
          </w:p>
        </w:tc>
        <w:tc>
          <w:tcPr>
            <w:tcW w:w="6379"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工作单元描述</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w:t>
            </w:r>
          </w:p>
        </w:tc>
        <w:tc>
          <w:tcPr>
            <w:tcW w:w="155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岗位设置</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通过访谈、检查安全主管部门设置情况以及各岗位设置和岗位职责情况。</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2</w:t>
            </w:r>
          </w:p>
        </w:tc>
        <w:tc>
          <w:tcPr>
            <w:tcW w:w="155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人员配备</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通过访谈、检查各个岗位人员配备情况。</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3</w:t>
            </w:r>
          </w:p>
        </w:tc>
        <w:tc>
          <w:tcPr>
            <w:tcW w:w="155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授权和审批</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通过访谈、检查对关键活动的授权和审批情况。</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4</w:t>
            </w:r>
          </w:p>
        </w:tc>
        <w:tc>
          <w:tcPr>
            <w:tcW w:w="155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沟通和合作</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通过访谈、检查内部部门间、与外部单位间的沟通与合作情况。</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5</w:t>
            </w:r>
          </w:p>
        </w:tc>
        <w:tc>
          <w:tcPr>
            <w:tcW w:w="155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审核和检查</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通过访谈、检查安全工作的审核和检查情况。</w:t>
            </w:r>
          </w:p>
        </w:tc>
      </w:tr>
    </w:tbl>
    <w:p w:rsidR="006B7431" w:rsidRDefault="006B7431" w:rsidP="006B7431">
      <w:pPr>
        <w:spacing w:line="360" w:lineRule="auto"/>
        <w:rPr>
          <w:rFonts w:ascii="仿宋" w:eastAsia="仿宋" w:hAnsi="仿宋" w:cs="黑体"/>
          <w:sz w:val="24"/>
        </w:rPr>
      </w:pPr>
      <w:r>
        <w:rPr>
          <w:rFonts w:ascii="仿宋" w:eastAsia="仿宋" w:hAnsi="仿宋" w:cs="黑体" w:hint="eastAsia"/>
          <w:sz w:val="24"/>
        </w:rPr>
        <w:t>8）安全管理人员</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4"/>
        <w:gridCol w:w="1701"/>
        <w:gridCol w:w="6379"/>
      </w:tblGrid>
      <w:tr w:rsidR="006B7431" w:rsidTr="00DC717A">
        <w:trPr>
          <w:trHeight w:val="450"/>
          <w:jc w:val="center"/>
        </w:trPr>
        <w:tc>
          <w:tcPr>
            <w:tcW w:w="704"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序号</w:t>
            </w:r>
          </w:p>
        </w:tc>
        <w:tc>
          <w:tcPr>
            <w:tcW w:w="1701"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工作单元名称</w:t>
            </w:r>
          </w:p>
        </w:tc>
        <w:tc>
          <w:tcPr>
            <w:tcW w:w="6379"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工作单元描述</w:t>
            </w:r>
          </w:p>
        </w:tc>
      </w:tr>
      <w:tr w:rsidR="006B7431" w:rsidTr="00DC717A">
        <w:trPr>
          <w:jc w:val="center"/>
        </w:trPr>
        <w:tc>
          <w:tcPr>
            <w:tcW w:w="704"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人员录用</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通过访谈、检查录用人员时是否对人员提出要求以及是否对其进行各种审查和考核。</w:t>
            </w:r>
          </w:p>
        </w:tc>
      </w:tr>
      <w:tr w:rsidR="006B7431" w:rsidTr="00DC717A">
        <w:trPr>
          <w:jc w:val="center"/>
        </w:trPr>
        <w:tc>
          <w:tcPr>
            <w:tcW w:w="704"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2</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人员离岗</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通过访谈、检查人员离岗时是否按照一定的手续办理。</w:t>
            </w:r>
          </w:p>
        </w:tc>
      </w:tr>
      <w:tr w:rsidR="006B7431" w:rsidTr="00DC717A">
        <w:trPr>
          <w:jc w:val="center"/>
        </w:trPr>
        <w:tc>
          <w:tcPr>
            <w:tcW w:w="704"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3</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安全意识教育和培训</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通过访谈、检查是否对人员进行安全方面的教育和培训。</w:t>
            </w:r>
          </w:p>
        </w:tc>
      </w:tr>
      <w:tr w:rsidR="006B7431" w:rsidTr="00DC717A">
        <w:trPr>
          <w:jc w:val="center"/>
        </w:trPr>
        <w:tc>
          <w:tcPr>
            <w:tcW w:w="704"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4</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外部人员访问管理</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通过访谈、检查对第三方人员访问（物理、逻辑）系统是否采取必要控制措施。</w:t>
            </w:r>
          </w:p>
        </w:tc>
      </w:tr>
    </w:tbl>
    <w:p w:rsidR="006B7431" w:rsidRDefault="006B7431" w:rsidP="006B7431">
      <w:pPr>
        <w:spacing w:line="360" w:lineRule="auto"/>
        <w:rPr>
          <w:rFonts w:ascii="仿宋" w:eastAsia="仿宋" w:hAnsi="仿宋" w:cs="黑体"/>
          <w:sz w:val="24"/>
        </w:rPr>
      </w:pPr>
      <w:r>
        <w:rPr>
          <w:rFonts w:ascii="仿宋" w:eastAsia="仿宋" w:hAnsi="仿宋" w:cs="黑体" w:hint="eastAsia"/>
          <w:sz w:val="24"/>
        </w:rPr>
        <w:t>9）安全建设管理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46"/>
        <w:gridCol w:w="1701"/>
        <w:gridCol w:w="6379"/>
      </w:tblGrid>
      <w:tr w:rsidR="006B7431" w:rsidTr="00DC717A">
        <w:trPr>
          <w:trHeight w:val="450"/>
          <w:jc w:val="center"/>
        </w:trPr>
        <w:tc>
          <w:tcPr>
            <w:tcW w:w="846"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序号</w:t>
            </w:r>
          </w:p>
        </w:tc>
        <w:tc>
          <w:tcPr>
            <w:tcW w:w="1701"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工作单元名称</w:t>
            </w:r>
          </w:p>
        </w:tc>
        <w:tc>
          <w:tcPr>
            <w:tcW w:w="6379"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工作单元描述</w:t>
            </w:r>
          </w:p>
        </w:tc>
      </w:tr>
      <w:tr w:rsidR="006B7431" w:rsidTr="00DC717A">
        <w:trPr>
          <w:jc w:val="center"/>
        </w:trPr>
        <w:tc>
          <w:tcPr>
            <w:tcW w:w="84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sz w:val="24"/>
              </w:rPr>
              <w:t>定级和备案</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通过访谈、检查是否按照一定要求确定系统的安全等级。</w:t>
            </w:r>
          </w:p>
        </w:tc>
      </w:tr>
      <w:tr w:rsidR="006B7431" w:rsidTr="00DC717A">
        <w:trPr>
          <w:jc w:val="center"/>
        </w:trPr>
        <w:tc>
          <w:tcPr>
            <w:tcW w:w="84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2</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安全方案设计</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通过访谈、检查整体的安全规划设计是否按照一定流程进行。</w:t>
            </w:r>
          </w:p>
        </w:tc>
      </w:tr>
      <w:tr w:rsidR="006B7431" w:rsidTr="00DC717A">
        <w:trPr>
          <w:jc w:val="center"/>
        </w:trPr>
        <w:tc>
          <w:tcPr>
            <w:tcW w:w="84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3</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产品采购和使用</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通过访谈、检查是否按照一定的要求进行系统的产品采购。</w:t>
            </w:r>
          </w:p>
        </w:tc>
      </w:tr>
      <w:tr w:rsidR="006B7431" w:rsidTr="00DC717A">
        <w:trPr>
          <w:jc w:val="center"/>
        </w:trPr>
        <w:tc>
          <w:tcPr>
            <w:tcW w:w="84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4</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自行软件开发</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通过访谈、检查自行开发的软件是否采取必要的措施保证开发过程的安全性。</w:t>
            </w:r>
          </w:p>
        </w:tc>
      </w:tr>
      <w:tr w:rsidR="006B7431" w:rsidTr="00DC717A">
        <w:trPr>
          <w:jc w:val="center"/>
        </w:trPr>
        <w:tc>
          <w:tcPr>
            <w:tcW w:w="84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5</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外包软件开发</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通过访谈、检查外包开发的软件是否采取必要的措施保证开发过程的安全性和日后的维护工作能够正常开展。</w:t>
            </w:r>
          </w:p>
        </w:tc>
      </w:tr>
      <w:tr w:rsidR="006B7431" w:rsidTr="00DC717A">
        <w:trPr>
          <w:jc w:val="center"/>
        </w:trPr>
        <w:tc>
          <w:tcPr>
            <w:tcW w:w="84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6</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工程实施</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通过访谈、检查建设的实施过程是否采取必要的措施使其在机构可控的范围内进行。</w:t>
            </w:r>
          </w:p>
        </w:tc>
      </w:tr>
      <w:tr w:rsidR="006B7431" w:rsidTr="00DC717A">
        <w:trPr>
          <w:jc w:val="center"/>
        </w:trPr>
        <w:tc>
          <w:tcPr>
            <w:tcW w:w="84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7</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测试验收</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通过访谈、检查系统运行前是否对其进行测试验收工作。</w:t>
            </w:r>
          </w:p>
        </w:tc>
      </w:tr>
      <w:tr w:rsidR="006B7431" w:rsidTr="00DC717A">
        <w:trPr>
          <w:jc w:val="center"/>
        </w:trPr>
        <w:tc>
          <w:tcPr>
            <w:tcW w:w="84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8</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系统交付</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通过访谈、检查是否采取必要的措施对系统交付过程进行有效控制。</w:t>
            </w:r>
          </w:p>
        </w:tc>
      </w:tr>
      <w:tr w:rsidR="006B7431" w:rsidTr="00DC717A">
        <w:trPr>
          <w:jc w:val="center"/>
        </w:trPr>
        <w:tc>
          <w:tcPr>
            <w:tcW w:w="84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9</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等级测评</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通过访谈、检查等级测评、整改情况。</w:t>
            </w:r>
          </w:p>
        </w:tc>
      </w:tr>
      <w:tr w:rsidR="006B7431" w:rsidTr="00DC717A">
        <w:trPr>
          <w:jc w:val="center"/>
        </w:trPr>
        <w:tc>
          <w:tcPr>
            <w:tcW w:w="84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10</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服务商选择</w:t>
            </w:r>
          </w:p>
        </w:tc>
        <w:tc>
          <w:tcPr>
            <w:tcW w:w="6379"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通过访谈、检查是否选择符合国家有关规定的安全服务单位进行相关的安全服务工作。</w:t>
            </w:r>
          </w:p>
        </w:tc>
      </w:tr>
    </w:tbl>
    <w:p w:rsidR="006B7431" w:rsidRDefault="006B7431" w:rsidP="006B7431">
      <w:pPr>
        <w:spacing w:line="360" w:lineRule="auto"/>
        <w:rPr>
          <w:rFonts w:ascii="仿宋" w:eastAsia="仿宋" w:hAnsi="仿宋" w:cs="黑体"/>
          <w:sz w:val="24"/>
        </w:rPr>
      </w:pPr>
      <w:r>
        <w:rPr>
          <w:rFonts w:ascii="仿宋" w:eastAsia="仿宋" w:hAnsi="仿宋" w:cs="黑体" w:hint="eastAsia"/>
          <w:sz w:val="24"/>
        </w:rPr>
        <w:t>10）安全运维管理</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86"/>
        <w:gridCol w:w="1701"/>
        <w:gridCol w:w="6378"/>
      </w:tblGrid>
      <w:tr w:rsidR="006B7431" w:rsidTr="00DC717A">
        <w:trPr>
          <w:trHeight w:val="450"/>
          <w:jc w:val="center"/>
        </w:trPr>
        <w:tc>
          <w:tcPr>
            <w:tcW w:w="786"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序号</w:t>
            </w:r>
          </w:p>
        </w:tc>
        <w:tc>
          <w:tcPr>
            <w:tcW w:w="1701"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工作单元名称</w:t>
            </w:r>
          </w:p>
        </w:tc>
        <w:tc>
          <w:tcPr>
            <w:tcW w:w="6378" w:type="dxa"/>
            <w:shd w:val="clear" w:color="auto" w:fill="FFFFFF"/>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工作单元描述</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环境管理</w:t>
            </w:r>
          </w:p>
        </w:tc>
        <w:tc>
          <w:tcPr>
            <w:tcW w:w="6378"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通过访谈、检查是否采取必要的措施对机房的出入控制以及办公环境的人员行为等方面进行安全管理。</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2</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资产管理</w:t>
            </w:r>
          </w:p>
        </w:tc>
        <w:tc>
          <w:tcPr>
            <w:tcW w:w="6378"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通过访谈、检查是否采取必要的措施对系统的资产进行分类标识管理。</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3</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介质管理</w:t>
            </w:r>
          </w:p>
        </w:tc>
        <w:tc>
          <w:tcPr>
            <w:tcW w:w="6378"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通过访谈、检查是否采取必要的措施对介质存放环境、使用、维护和销毁等方面进行管理。</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4</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设备维护管理</w:t>
            </w:r>
          </w:p>
        </w:tc>
        <w:tc>
          <w:tcPr>
            <w:tcW w:w="6378"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通过访谈、检查是否采取必要的措施确保设备在使用、维护和销毁等过程安全。</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5</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漏洞和风险管理</w:t>
            </w:r>
          </w:p>
        </w:tc>
        <w:tc>
          <w:tcPr>
            <w:tcW w:w="6378"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通过访谈、检查安全漏洞和隐患识别、处理情况，以及是否定期开展安全测评以及安全问题的应对措施。</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6</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网络和系统安全管理</w:t>
            </w:r>
          </w:p>
        </w:tc>
        <w:tc>
          <w:tcPr>
            <w:tcW w:w="6378"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是否采取必要的措施对系统的安全配置、系统账户、漏洞扫描和审计日志等方面进行有效的管理。是否采取必要的措施对网络的安全配置、网络用户权限和审计日志等方面进行有效的管理，确保网络安全运行。</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7</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恶意代码防范管理</w:t>
            </w:r>
          </w:p>
        </w:tc>
        <w:tc>
          <w:tcPr>
            <w:tcW w:w="6378"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通过访谈、检查是否采取必要的措施对恶意代码进行有效管理，确保系统具有恶意代码防范能力。</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8</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配置管理</w:t>
            </w:r>
          </w:p>
        </w:tc>
        <w:tc>
          <w:tcPr>
            <w:tcW w:w="6378"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通过访谈、检查基本配置信息管理情况</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9</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密码管理</w:t>
            </w:r>
          </w:p>
        </w:tc>
        <w:tc>
          <w:tcPr>
            <w:tcW w:w="6378"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通过访谈、检查是否能够确保信息系统中密码算法和密钥的使用符合国家密码管理规定。</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10</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变更管理</w:t>
            </w:r>
          </w:p>
        </w:tc>
        <w:tc>
          <w:tcPr>
            <w:tcW w:w="6378"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通过访谈、检查是否采取必要的措施对系统发生的变更进行有效管理。</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11</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备份与恢复管理</w:t>
            </w:r>
          </w:p>
        </w:tc>
        <w:tc>
          <w:tcPr>
            <w:tcW w:w="6378"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通过访谈、检查是否采取必要的措施对重要业务信息，系统数据和系统软件进行备份，并确保必要时能够对这些数据有效地恢复。</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12</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安全事件处置</w:t>
            </w:r>
          </w:p>
        </w:tc>
        <w:tc>
          <w:tcPr>
            <w:tcW w:w="6378"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通过访谈、检查是否采取必要的措施对安全事件进行等级划分和对安全事件的报告、处理过程进行有效的管理。</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13</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应急预案管理</w:t>
            </w:r>
          </w:p>
        </w:tc>
        <w:tc>
          <w:tcPr>
            <w:tcW w:w="6378"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通过访谈、检查是否针对不同安全事件制定相应的应急预案，是否对应急预案展开培训、演练和审查等。</w:t>
            </w:r>
          </w:p>
        </w:tc>
      </w:tr>
      <w:tr w:rsidR="006B7431" w:rsidTr="00DC717A">
        <w:trPr>
          <w:jc w:val="center"/>
        </w:trPr>
        <w:tc>
          <w:tcPr>
            <w:tcW w:w="786"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14</w:t>
            </w:r>
          </w:p>
        </w:tc>
        <w:tc>
          <w:tcPr>
            <w:tcW w:w="1701"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外包运维管理</w:t>
            </w:r>
          </w:p>
        </w:tc>
        <w:tc>
          <w:tcPr>
            <w:tcW w:w="6378" w:type="dxa"/>
            <w:vAlign w:val="center"/>
          </w:tcPr>
          <w:p w:rsidR="006B7431" w:rsidRDefault="006B7431" w:rsidP="00DC717A">
            <w:pPr>
              <w:spacing w:line="360" w:lineRule="auto"/>
              <w:jc w:val="center"/>
              <w:rPr>
                <w:rFonts w:ascii="仿宋" w:eastAsia="仿宋" w:hAnsi="仿宋" w:cs="黑体"/>
                <w:sz w:val="24"/>
              </w:rPr>
            </w:pPr>
            <w:r>
              <w:rPr>
                <w:rFonts w:ascii="仿宋" w:eastAsia="仿宋" w:hAnsi="仿宋" w:cs="黑体" w:hint="eastAsia"/>
                <w:sz w:val="24"/>
              </w:rPr>
              <w:t>通过访谈、检查外包运维服务商选择是否符合国家要求，外包运维保密、服务内容管理等。</w:t>
            </w:r>
          </w:p>
        </w:tc>
      </w:tr>
    </w:tbl>
    <w:p w:rsidR="006B7431" w:rsidRDefault="006B7431" w:rsidP="006B7431">
      <w:pPr>
        <w:spacing w:line="360" w:lineRule="auto"/>
        <w:rPr>
          <w:rFonts w:ascii="仿宋" w:eastAsia="仿宋" w:hAnsi="仿宋" w:cs="黑体"/>
          <w:sz w:val="24"/>
        </w:rPr>
      </w:pPr>
      <w:r>
        <w:rPr>
          <w:rFonts w:ascii="仿宋" w:eastAsia="仿宋" w:hAnsi="仿宋" w:cs="黑体" w:hint="eastAsia"/>
          <w:sz w:val="24"/>
        </w:rPr>
        <w:t>11）安全扩展要求</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按照所测评系统的具体情况选用云计算安全扩展要求、移动互联安全扩展要求、物联网安全扩展要求、工业控制系统安全扩展要求。</w:t>
      </w:r>
    </w:p>
    <w:p w:rsidR="006B7431" w:rsidRDefault="006B7431" w:rsidP="006B7431">
      <w:pPr>
        <w:spacing w:line="360" w:lineRule="auto"/>
        <w:rPr>
          <w:rFonts w:ascii="仿宋" w:eastAsia="仿宋" w:hAnsi="仿宋" w:cs="黑体"/>
          <w:sz w:val="24"/>
        </w:rPr>
      </w:pPr>
      <w:r>
        <w:rPr>
          <w:rFonts w:ascii="仿宋" w:eastAsia="仿宋" w:hAnsi="仿宋" w:cs="黑体" w:hint="eastAsia"/>
          <w:sz w:val="24"/>
        </w:rPr>
        <w:t>12）验证测试相关要求</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按照等级保护测评要求，测评过程中应配备必要的工具、仪器/设备对信息系统进行验证测试，采用的测评工具的生产商应为正规厂商，</w:t>
      </w:r>
      <w:r>
        <w:rPr>
          <w:rStyle w:val="a6"/>
          <w:rFonts w:ascii="Calibri" w:hAnsi="Calibri"/>
        </w:rPr>
        <w:t xml:space="preserve"> </w:t>
      </w:r>
      <w:r>
        <w:rPr>
          <w:rFonts w:ascii="仿宋" w:eastAsia="仿宋" w:hAnsi="仿宋" w:cs="黑体" w:hint="eastAsia"/>
          <w:sz w:val="24"/>
        </w:rPr>
        <w:t>能够对产品进行持续更新并提供质量和安全保障。</w:t>
      </w:r>
    </w:p>
    <w:p w:rsidR="006B7431" w:rsidRDefault="006B7431" w:rsidP="006B7431">
      <w:pPr>
        <w:spacing w:line="360" w:lineRule="auto"/>
        <w:rPr>
          <w:rFonts w:ascii="仿宋" w:eastAsia="仿宋" w:hAnsi="仿宋" w:cs="黑体"/>
          <w:sz w:val="24"/>
        </w:rPr>
      </w:pPr>
      <w:r>
        <w:rPr>
          <w:rFonts w:ascii="仿宋" w:eastAsia="仿宋" w:hAnsi="仿宋" w:cs="黑体" w:hint="eastAsia"/>
          <w:sz w:val="24"/>
        </w:rPr>
        <w:t>验证测试内容包括但不限于以下内：</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1.渗透测试</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验证安全策略正确性；保证用户登录窗体身份验证的安全性；非授权用户不能浏览到未授权内容；不存在跨站点脚本攻击漏洞；脚本不存在SQL、Cookie注入漏洞；安全的处理异常，没有出错页面泄露系统信息；应用和系统漏洞及其他，并提出整改建议。验证内容包括（但不限于）以下几个方面：</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6B7431" w:rsidTr="00DC717A">
        <w:tc>
          <w:tcPr>
            <w:tcW w:w="4261" w:type="dxa"/>
          </w:tcPr>
          <w:p w:rsidR="006B7431" w:rsidRDefault="006B7431" w:rsidP="00DC717A">
            <w:pPr>
              <w:spacing w:line="360" w:lineRule="auto"/>
              <w:ind w:firstLineChars="200" w:firstLine="480"/>
              <w:rPr>
                <w:rFonts w:ascii="仿宋" w:eastAsia="仿宋" w:hAnsi="仿宋" w:cs="黑体"/>
                <w:sz w:val="24"/>
              </w:rPr>
            </w:pPr>
            <w:r>
              <w:rPr>
                <w:rFonts w:ascii="仿宋" w:eastAsia="仿宋" w:hAnsi="仿宋" w:cs="黑体" w:hint="eastAsia"/>
                <w:sz w:val="24"/>
              </w:rPr>
              <w:t>注入</w:t>
            </w:r>
          </w:p>
        </w:tc>
        <w:tc>
          <w:tcPr>
            <w:tcW w:w="4261" w:type="dxa"/>
          </w:tcPr>
          <w:p w:rsidR="006B7431" w:rsidRDefault="006B7431" w:rsidP="00DC717A">
            <w:pPr>
              <w:spacing w:line="360" w:lineRule="auto"/>
              <w:ind w:firstLineChars="200" w:firstLine="480"/>
              <w:rPr>
                <w:rFonts w:ascii="仿宋" w:eastAsia="仿宋" w:hAnsi="仿宋" w:cs="黑体"/>
                <w:sz w:val="24"/>
              </w:rPr>
            </w:pPr>
            <w:r>
              <w:rPr>
                <w:rFonts w:ascii="仿宋" w:eastAsia="仿宋" w:hAnsi="仿宋" w:cs="黑体" w:hint="eastAsia"/>
                <w:sz w:val="24"/>
              </w:rPr>
              <w:t>失效的身份认证</w:t>
            </w:r>
          </w:p>
        </w:tc>
      </w:tr>
      <w:tr w:rsidR="006B7431" w:rsidTr="00DC717A">
        <w:tc>
          <w:tcPr>
            <w:tcW w:w="4261" w:type="dxa"/>
          </w:tcPr>
          <w:p w:rsidR="006B7431" w:rsidRDefault="006B7431" w:rsidP="00DC717A">
            <w:pPr>
              <w:spacing w:line="360" w:lineRule="auto"/>
              <w:ind w:firstLineChars="200" w:firstLine="480"/>
              <w:rPr>
                <w:rFonts w:ascii="仿宋" w:eastAsia="仿宋" w:hAnsi="仿宋" w:cs="黑体"/>
                <w:sz w:val="24"/>
              </w:rPr>
            </w:pPr>
            <w:r>
              <w:rPr>
                <w:rFonts w:ascii="仿宋" w:eastAsia="仿宋" w:hAnsi="仿宋" w:cs="黑体" w:hint="eastAsia"/>
                <w:sz w:val="24"/>
              </w:rPr>
              <w:t>敏感信息泄露</w:t>
            </w:r>
          </w:p>
        </w:tc>
        <w:tc>
          <w:tcPr>
            <w:tcW w:w="4261" w:type="dxa"/>
          </w:tcPr>
          <w:p w:rsidR="006B7431" w:rsidRDefault="006B7431" w:rsidP="00DC717A">
            <w:pPr>
              <w:spacing w:line="360" w:lineRule="auto"/>
              <w:ind w:firstLineChars="200" w:firstLine="480"/>
              <w:rPr>
                <w:rFonts w:ascii="仿宋" w:eastAsia="仿宋" w:hAnsi="仿宋" w:cs="黑体"/>
                <w:sz w:val="24"/>
              </w:rPr>
            </w:pPr>
            <w:r>
              <w:rPr>
                <w:rFonts w:ascii="仿宋" w:eastAsia="仿宋" w:hAnsi="仿宋" w:cs="黑体" w:hint="eastAsia"/>
                <w:sz w:val="24"/>
              </w:rPr>
              <w:t>XML外部实体（XXE）</w:t>
            </w:r>
          </w:p>
        </w:tc>
      </w:tr>
      <w:tr w:rsidR="006B7431" w:rsidTr="00DC717A">
        <w:tc>
          <w:tcPr>
            <w:tcW w:w="4261" w:type="dxa"/>
          </w:tcPr>
          <w:p w:rsidR="006B7431" w:rsidRDefault="006B7431" w:rsidP="00DC717A">
            <w:pPr>
              <w:spacing w:line="360" w:lineRule="auto"/>
              <w:ind w:firstLineChars="200" w:firstLine="480"/>
              <w:rPr>
                <w:rFonts w:ascii="仿宋" w:eastAsia="仿宋" w:hAnsi="仿宋" w:cs="黑体"/>
                <w:sz w:val="24"/>
              </w:rPr>
            </w:pPr>
            <w:r>
              <w:rPr>
                <w:rFonts w:ascii="仿宋" w:eastAsia="仿宋" w:hAnsi="仿宋" w:cs="黑体" w:hint="eastAsia"/>
                <w:sz w:val="24"/>
              </w:rPr>
              <w:t>失效的访问控制</w:t>
            </w:r>
          </w:p>
        </w:tc>
        <w:tc>
          <w:tcPr>
            <w:tcW w:w="4261" w:type="dxa"/>
          </w:tcPr>
          <w:p w:rsidR="006B7431" w:rsidRDefault="006B7431" w:rsidP="00DC717A">
            <w:pPr>
              <w:spacing w:line="360" w:lineRule="auto"/>
              <w:ind w:firstLineChars="200" w:firstLine="480"/>
              <w:rPr>
                <w:rFonts w:ascii="仿宋" w:eastAsia="仿宋" w:hAnsi="仿宋" w:cs="黑体"/>
                <w:sz w:val="24"/>
              </w:rPr>
            </w:pPr>
            <w:r>
              <w:rPr>
                <w:rFonts w:ascii="仿宋" w:eastAsia="仿宋" w:hAnsi="仿宋" w:cs="黑体" w:hint="eastAsia"/>
                <w:sz w:val="24"/>
              </w:rPr>
              <w:t>安全配置错误</w:t>
            </w:r>
          </w:p>
        </w:tc>
      </w:tr>
      <w:tr w:rsidR="006B7431" w:rsidTr="00DC717A">
        <w:tc>
          <w:tcPr>
            <w:tcW w:w="4261" w:type="dxa"/>
          </w:tcPr>
          <w:p w:rsidR="006B7431" w:rsidRDefault="006B7431" w:rsidP="00DC717A">
            <w:pPr>
              <w:spacing w:line="360" w:lineRule="auto"/>
              <w:ind w:firstLineChars="200" w:firstLine="480"/>
              <w:rPr>
                <w:rFonts w:ascii="仿宋" w:eastAsia="仿宋" w:hAnsi="仿宋" w:cs="黑体"/>
                <w:sz w:val="24"/>
              </w:rPr>
            </w:pPr>
            <w:r>
              <w:rPr>
                <w:rFonts w:ascii="仿宋" w:eastAsia="仿宋" w:hAnsi="仿宋" w:cs="黑体" w:hint="eastAsia"/>
                <w:sz w:val="24"/>
              </w:rPr>
              <w:t>跨站脚本（XSS）</w:t>
            </w:r>
          </w:p>
        </w:tc>
        <w:tc>
          <w:tcPr>
            <w:tcW w:w="4261" w:type="dxa"/>
          </w:tcPr>
          <w:p w:rsidR="006B7431" w:rsidRDefault="006B7431" w:rsidP="00DC717A">
            <w:pPr>
              <w:spacing w:line="360" w:lineRule="auto"/>
              <w:ind w:firstLineChars="200" w:firstLine="480"/>
              <w:rPr>
                <w:rFonts w:ascii="仿宋" w:eastAsia="仿宋" w:hAnsi="仿宋" w:cs="黑体"/>
                <w:sz w:val="24"/>
              </w:rPr>
            </w:pPr>
            <w:r>
              <w:rPr>
                <w:rFonts w:ascii="仿宋" w:eastAsia="仿宋" w:hAnsi="仿宋" w:cs="黑体" w:hint="eastAsia"/>
                <w:sz w:val="24"/>
              </w:rPr>
              <w:t>不安全的反序列化</w:t>
            </w:r>
          </w:p>
        </w:tc>
      </w:tr>
      <w:tr w:rsidR="006B7431" w:rsidTr="00DC717A">
        <w:tc>
          <w:tcPr>
            <w:tcW w:w="4261" w:type="dxa"/>
          </w:tcPr>
          <w:p w:rsidR="006B7431" w:rsidRDefault="006B7431" w:rsidP="00DC717A">
            <w:pPr>
              <w:spacing w:line="360" w:lineRule="auto"/>
              <w:ind w:firstLineChars="200" w:firstLine="480"/>
              <w:rPr>
                <w:rFonts w:ascii="仿宋" w:eastAsia="仿宋" w:hAnsi="仿宋" w:cs="黑体"/>
                <w:sz w:val="24"/>
              </w:rPr>
            </w:pPr>
            <w:r>
              <w:rPr>
                <w:rFonts w:ascii="仿宋" w:eastAsia="仿宋" w:hAnsi="仿宋" w:cs="黑体" w:hint="eastAsia"/>
                <w:sz w:val="24"/>
              </w:rPr>
              <w:t>使用含有已知漏洞的组件</w:t>
            </w:r>
          </w:p>
        </w:tc>
        <w:tc>
          <w:tcPr>
            <w:tcW w:w="4261" w:type="dxa"/>
          </w:tcPr>
          <w:p w:rsidR="006B7431" w:rsidRDefault="006B7431" w:rsidP="00DC717A">
            <w:pPr>
              <w:spacing w:line="360" w:lineRule="auto"/>
              <w:ind w:firstLineChars="200" w:firstLine="480"/>
              <w:rPr>
                <w:rFonts w:ascii="仿宋" w:eastAsia="仿宋" w:hAnsi="仿宋" w:cs="黑体"/>
                <w:sz w:val="24"/>
              </w:rPr>
            </w:pPr>
            <w:r>
              <w:rPr>
                <w:rFonts w:ascii="仿宋" w:eastAsia="仿宋" w:hAnsi="仿宋" w:cs="黑体" w:hint="eastAsia"/>
                <w:sz w:val="24"/>
              </w:rPr>
              <w:t>不足的日志记录和监控</w:t>
            </w:r>
          </w:p>
        </w:tc>
      </w:tr>
    </w:tbl>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2．性能测试</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通过模拟手段对网络（包括丢包、时延、带宽等）、软件系统（包括负载、响应）、负载下硬件占用（包含CPU、内存）等进行全面的测评评估验证系统的可靠性、可用性，通过对测试结果的分析，给出相应的整改建议。</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3．漏洞扫描</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据相关标准、规范要求对重要信息系统的安全漏洞进行测评。分析总结系统中存在的主要安全漏洞，指出系统中可能被利用的安全漏洞、系统配置错误等缺陷以及相应的安全加固意见、建议。</w:t>
      </w:r>
    </w:p>
    <w:p w:rsidR="006B7431" w:rsidRDefault="006B7431" w:rsidP="006B7431">
      <w:pPr>
        <w:spacing w:line="360" w:lineRule="auto"/>
        <w:rPr>
          <w:rFonts w:ascii="仿宋" w:eastAsia="仿宋" w:hAnsi="仿宋" w:cs="黑体"/>
          <w:b/>
          <w:sz w:val="24"/>
        </w:rPr>
      </w:pPr>
      <w:r>
        <w:rPr>
          <w:rFonts w:ascii="仿宋" w:eastAsia="仿宋" w:hAnsi="仿宋" w:cs="黑体" w:hint="eastAsia"/>
          <w:b/>
          <w:sz w:val="24"/>
        </w:rPr>
        <w:t>（二）.测评工作步骤</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受委托测评机构对信息系统的初次等级测评可以分为四项活动：测评准备活动、方案编制活动、现场测评活动、分析与报告编制活动。供应商应对等级保护测评各阶段具体工作内容进行描述。</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1.准备活动阶段：对被测系统进行调研分析，明确测评对象、测评方法等工作。</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2.方案编制阶段：制定信息安全等级保护测评项目计划书、测评实施方案，并提交委托方确认。</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3.现场测评阶段：按照等级保护相关标准规范要求从访谈、检查、测试几方面进行测试评估并出具《整改意见》，并在整改过程中提供技术咨询服务。</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4.分析与报告编制：向委托方提交被测信息系统安全等级保护测评报告以及相应文档。</w:t>
      </w:r>
    </w:p>
    <w:p w:rsidR="006B7431" w:rsidRDefault="006B7431" w:rsidP="006B7431">
      <w:pPr>
        <w:spacing w:line="360" w:lineRule="auto"/>
        <w:rPr>
          <w:rFonts w:ascii="仿宋" w:eastAsia="仿宋" w:hAnsi="仿宋" w:cs="黑体"/>
          <w:b/>
          <w:sz w:val="24"/>
        </w:rPr>
      </w:pPr>
      <w:r>
        <w:rPr>
          <w:rFonts w:ascii="仿宋" w:eastAsia="仿宋" w:hAnsi="仿宋" w:cs="黑体" w:hint="eastAsia"/>
          <w:b/>
          <w:sz w:val="24"/>
        </w:rPr>
        <w:t>（三）.实施要求</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1．系统梳理</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协助金堂县第一人民医院完成待测信息系统梳理工作。</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2．初测</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对本项目所涉及信息系统进行现场测评，初次测评完成后提交初评的整改意见报告。</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3．整改加固协助</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协助金堂县第一人民医院对测评过程中发现的安全问题进行技术整改加固工作，并进行整改后的回归测评。</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4．成果递交</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整理测评结果，提交被测信息系统安全等级保护测评报告以及相应文档。</w:t>
      </w:r>
    </w:p>
    <w:p w:rsidR="006B7431" w:rsidRDefault="006B7431" w:rsidP="006B7431">
      <w:pPr>
        <w:spacing w:line="360" w:lineRule="auto"/>
        <w:rPr>
          <w:rFonts w:ascii="仿宋" w:eastAsia="仿宋" w:hAnsi="仿宋" w:cs="黑体"/>
          <w:b/>
          <w:sz w:val="24"/>
        </w:rPr>
      </w:pPr>
      <w:r>
        <w:rPr>
          <w:rFonts w:ascii="仿宋" w:eastAsia="仿宋" w:hAnsi="仿宋" w:cs="黑体" w:hint="eastAsia"/>
          <w:b/>
          <w:sz w:val="24"/>
        </w:rPr>
        <w:t>（四）.项目管理与实施保障</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对项目进行科学严格的管理，通过系统计划、有序组织、科学指导和有效控制，促进项目全面顺利实施，供应商必须提供完整的项目管理方案，并符合以下要求：</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1．供应商及其测评人员应当严格执行有关国家信息安全等级保护相关标准和有关规定，提供客观、公平、公正、有效的等级保护测评服务，并承担相应的法律责任。</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2．应具备能够保证其公正性、独立性的质量体系，确保测评活动不受任何可能影响测评结果的商业、财务、健康、环境等方面的压力。</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3．供应商在对被测评单位开展等级保护测评服务之前需与被测评单位签订保密协议，测评过程中向被测评单位借阅的文档资料应在测评工作结束后全部归还被测评单位，未经被测评单位允许，不得擅自复制、保留。</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4．供应商的岗位配置要至少配置测评工程师、总测评工程师、技术主管、质量主管、保密安全员和档案管理员，其中项目经理、技术主管、质量主管、保密安全员和档案管理员应独立配置，不能有兼任的情况。</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5．测评人员要求</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参与此次等级保护测评的供应商其测评人员应具备并符合以下要求：</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（1）开展此次等级保护测评工作的人员仅限于中华人民共和国境内的中国公民，且无犯罪记录。</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（2）开展此次等级保护测评工作的人员应由取得等级测评师证书（等级测评人员应由初级、中级和高级）的人员组成。</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（3）开展此次等级保护测评工作的人员应具备从事信息系统安全测评相关工作三年以上工作经验，开展等级保护测评工作不少于一年，参与同类行业信息安全测评项目。</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（4）针对软件、网络、安全等方面的测评技术人员除具有信息安全等级保护测评师证书以外，还应该持有相关技术资格证书。</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（5）测评项目组人员在对开展等级保护测评工作之前需签订保密协议。</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6．测评工具要求</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（1）采用的测评工具必须获得正版授权，并在有效期内，不得使用盗版软件。</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（2）采用的测评工具在功能、性能等满足使用要求前提下，应优先采用具有国内自主知识产权的同类产品。</w:t>
      </w:r>
    </w:p>
    <w:p w:rsidR="006B7431" w:rsidRDefault="006B7431" w:rsidP="006B7431">
      <w:pPr>
        <w:spacing w:line="360" w:lineRule="auto"/>
        <w:ind w:firstLineChars="200" w:firstLine="480"/>
        <w:rPr>
          <w:rFonts w:ascii="仿宋" w:eastAsia="仿宋" w:hAnsi="仿宋" w:cs="黑体"/>
          <w:sz w:val="24"/>
        </w:rPr>
      </w:pPr>
      <w:r>
        <w:rPr>
          <w:rFonts w:ascii="仿宋" w:eastAsia="仿宋" w:hAnsi="仿宋" w:cs="黑体" w:hint="eastAsia"/>
          <w:sz w:val="24"/>
        </w:rPr>
        <w:t>（3）测评机构所使用的测评工具不会对系统产生破坏或负面影响。</w:t>
      </w:r>
    </w:p>
    <w:p w:rsidR="006B7431" w:rsidRDefault="006B7431" w:rsidP="006B7431">
      <w:pPr>
        <w:pStyle w:val="a5"/>
        <w:spacing w:line="400" w:lineRule="exact"/>
        <w:ind w:firstLineChars="0" w:firstLine="0"/>
        <w:rPr>
          <w:rFonts w:ascii="仿宋" w:eastAsia="仿宋" w:hAnsi="仿宋"/>
          <w:b/>
          <w:sz w:val="24"/>
        </w:rPr>
      </w:pPr>
      <w:r>
        <w:rPr>
          <w:rFonts w:ascii="仿宋" w:eastAsia="仿宋" w:hAnsi="仿宋" w:hint="eastAsia"/>
          <w:b/>
          <w:sz w:val="24"/>
        </w:rPr>
        <w:t>*四、商务</w:t>
      </w:r>
      <w:r>
        <w:rPr>
          <w:rFonts w:ascii="仿宋" w:eastAsia="仿宋" w:hAnsi="仿宋"/>
          <w:b/>
          <w:sz w:val="24"/>
        </w:rPr>
        <w:t>要求</w:t>
      </w:r>
    </w:p>
    <w:p w:rsidR="006B7431" w:rsidRDefault="006B7431" w:rsidP="006B7431">
      <w:pPr>
        <w:pStyle w:val="a5"/>
        <w:spacing w:line="400" w:lineRule="exact"/>
        <w:ind w:firstLine="480"/>
        <w:rPr>
          <w:rFonts w:ascii="仿宋" w:eastAsia="仿宋" w:hAnsi="仿宋"/>
          <w:sz w:val="24"/>
        </w:rPr>
      </w:pPr>
      <w:r>
        <w:rPr>
          <w:rFonts w:ascii="仿宋" w:eastAsia="仿宋" w:hAnsi="仿宋" w:hint="eastAsia"/>
          <w:sz w:val="24"/>
        </w:rPr>
        <w:t>1．服务期限及地点</w:t>
      </w:r>
    </w:p>
    <w:p w:rsidR="006B7431" w:rsidRDefault="006B7431" w:rsidP="006B7431">
      <w:pPr>
        <w:pStyle w:val="a5"/>
        <w:spacing w:line="400" w:lineRule="exact"/>
        <w:ind w:firstLine="480"/>
        <w:rPr>
          <w:rFonts w:ascii="仿宋" w:eastAsia="仿宋" w:hAnsi="仿宋"/>
          <w:sz w:val="24"/>
        </w:rPr>
      </w:pPr>
      <w:r>
        <w:rPr>
          <w:rFonts w:ascii="仿宋" w:eastAsia="仿宋" w:hAnsi="仿宋" w:hint="eastAsia"/>
          <w:sz w:val="24"/>
        </w:rPr>
        <w:t>1.1 服务期限：合同签订后45工作日完成所有工作，因采购人原因工期延期的供应商可以书面形式申请工期顺延。</w:t>
      </w:r>
    </w:p>
    <w:p w:rsidR="006B7431" w:rsidRDefault="006B7431" w:rsidP="006B7431">
      <w:pPr>
        <w:pStyle w:val="a5"/>
        <w:spacing w:line="400" w:lineRule="exact"/>
        <w:ind w:firstLine="480"/>
        <w:rPr>
          <w:rFonts w:ascii="仿宋" w:eastAsia="仿宋" w:hAnsi="仿宋"/>
          <w:sz w:val="24"/>
        </w:rPr>
      </w:pPr>
      <w:r>
        <w:rPr>
          <w:rFonts w:ascii="仿宋" w:eastAsia="仿宋" w:hAnsi="仿宋" w:hint="eastAsia"/>
          <w:sz w:val="24"/>
        </w:rPr>
        <w:t>1.2 服务地点：采购人指定地点。</w:t>
      </w:r>
    </w:p>
    <w:p w:rsidR="006B7431" w:rsidRDefault="006B7431" w:rsidP="006B7431">
      <w:pPr>
        <w:pStyle w:val="a5"/>
        <w:spacing w:line="400" w:lineRule="exact"/>
        <w:ind w:firstLine="480"/>
        <w:rPr>
          <w:rFonts w:ascii="仿宋" w:eastAsia="仿宋" w:hAnsi="仿宋"/>
          <w:sz w:val="24"/>
        </w:rPr>
      </w:pPr>
      <w:r>
        <w:rPr>
          <w:rFonts w:ascii="仿宋" w:eastAsia="仿宋" w:hAnsi="仿宋" w:hint="eastAsia"/>
          <w:sz w:val="24"/>
        </w:rPr>
        <w:t>2．付款方法和条件：合同签订后供应商向采购人开具正式发票（含税）等付款凭证资料递交给采购人，采购人在收到成交供应商相关资料后按季度支付。</w:t>
      </w:r>
    </w:p>
    <w:p w:rsidR="006B7431" w:rsidRDefault="006B7431" w:rsidP="006B7431">
      <w:pPr>
        <w:pStyle w:val="a5"/>
        <w:spacing w:line="400" w:lineRule="exact"/>
        <w:ind w:firstLine="480"/>
        <w:rPr>
          <w:rFonts w:ascii="仿宋" w:eastAsia="仿宋" w:hAnsi="仿宋"/>
          <w:sz w:val="24"/>
        </w:rPr>
      </w:pPr>
      <w:r>
        <w:rPr>
          <w:rFonts w:ascii="仿宋" w:eastAsia="仿宋" w:hAnsi="仿宋" w:hint="eastAsia"/>
          <w:sz w:val="24"/>
        </w:rPr>
        <w:t>3、提供一年维保服务，维保内容：提供信息网络安全咨询服务；每季度对采购人信息网络安全进行测试分析并给出报告。</w:t>
      </w:r>
    </w:p>
    <w:p w:rsidR="006B7431" w:rsidRPr="006B7431" w:rsidRDefault="006B7431" w:rsidP="006B7431">
      <w:pPr>
        <w:rPr>
          <w:rFonts w:hint="eastAsia"/>
        </w:rPr>
      </w:pPr>
      <w:bookmarkStart w:id="0" w:name="_GoBack"/>
      <w:bookmarkEnd w:id="0"/>
    </w:p>
    <w:sectPr w:rsidR="006B7431" w:rsidRPr="006B74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A72" w:rsidRDefault="00691A72" w:rsidP="0060765B">
      <w:r>
        <w:separator/>
      </w:r>
    </w:p>
  </w:endnote>
  <w:endnote w:type="continuationSeparator" w:id="0">
    <w:p w:rsidR="00691A72" w:rsidRDefault="00691A72" w:rsidP="0060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A72" w:rsidRDefault="00691A72" w:rsidP="0060765B">
      <w:r>
        <w:separator/>
      </w:r>
    </w:p>
  </w:footnote>
  <w:footnote w:type="continuationSeparator" w:id="0">
    <w:p w:rsidR="00691A72" w:rsidRDefault="00691A72" w:rsidP="00607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D7"/>
    <w:rsid w:val="004E43D7"/>
    <w:rsid w:val="0060765B"/>
    <w:rsid w:val="00691A72"/>
    <w:rsid w:val="006B7431"/>
    <w:rsid w:val="00BD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4A778D-02EF-408E-872E-DDD9C2DD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60765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0765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6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65B"/>
    <w:rPr>
      <w:sz w:val="18"/>
      <w:szCs w:val="18"/>
    </w:rPr>
  </w:style>
  <w:style w:type="paragraph" w:styleId="a4">
    <w:name w:val="footer"/>
    <w:basedOn w:val="a"/>
    <w:link w:val="Char0"/>
    <w:uiPriority w:val="99"/>
    <w:unhideWhenUsed/>
    <w:rsid w:val="0060765B"/>
    <w:pPr>
      <w:tabs>
        <w:tab w:val="center" w:pos="4153"/>
        <w:tab w:val="right" w:pos="8306"/>
      </w:tabs>
      <w:snapToGrid w:val="0"/>
      <w:jc w:val="left"/>
    </w:pPr>
    <w:rPr>
      <w:sz w:val="18"/>
      <w:szCs w:val="18"/>
    </w:rPr>
  </w:style>
  <w:style w:type="character" w:customStyle="1" w:styleId="Char0">
    <w:name w:val="页脚 Char"/>
    <w:basedOn w:val="a0"/>
    <w:link w:val="a4"/>
    <w:uiPriority w:val="99"/>
    <w:rsid w:val="0060765B"/>
    <w:rPr>
      <w:sz w:val="18"/>
      <w:szCs w:val="18"/>
    </w:rPr>
  </w:style>
  <w:style w:type="character" w:customStyle="1" w:styleId="1Char">
    <w:name w:val="标题 1 Char"/>
    <w:basedOn w:val="a0"/>
    <w:link w:val="1"/>
    <w:uiPriority w:val="9"/>
    <w:rsid w:val="0060765B"/>
    <w:rPr>
      <w:b/>
      <w:bCs/>
      <w:kern w:val="44"/>
      <w:sz w:val="44"/>
      <w:szCs w:val="44"/>
    </w:rPr>
  </w:style>
  <w:style w:type="character" w:customStyle="1" w:styleId="2Char">
    <w:name w:val="标题 2 Char"/>
    <w:basedOn w:val="a0"/>
    <w:link w:val="2"/>
    <w:uiPriority w:val="9"/>
    <w:rsid w:val="0060765B"/>
    <w:rPr>
      <w:rFonts w:asciiTheme="majorHAnsi" w:eastAsiaTheme="majorEastAsia" w:hAnsiTheme="majorHAnsi" w:cstheme="majorBidi"/>
      <w:b/>
      <w:bCs/>
      <w:sz w:val="32"/>
      <w:szCs w:val="32"/>
    </w:rPr>
  </w:style>
  <w:style w:type="paragraph" w:styleId="a5">
    <w:name w:val="Normal Indent"/>
    <w:basedOn w:val="a"/>
    <w:link w:val="Char1"/>
    <w:qFormat/>
    <w:rsid w:val="006B7431"/>
    <w:pPr>
      <w:ind w:firstLineChars="200" w:firstLine="420"/>
    </w:pPr>
    <w:rPr>
      <w:rFonts w:ascii="Times New Roman" w:eastAsia="宋体" w:hAnsi="Times New Roman" w:cs="Times New Roman"/>
      <w:szCs w:val="24"/>
    </w:rPr>
  </w:style>
  <w:style w:type="character" w:styleId="a6">
    <w:name w:val="annotation reference"/>
    <w:uiPriority w:val="99"/>
    <w:qFormat/>
    <w:rsid w:val="006B7431"/>
    <w:rPr>
      <w:sz w:val="21"/>
      <w:szCs w:val="21"/>
    </w:rPr>
  </w:style>
  <w:style w:type="character" w:customStyle="1" w:styleId="Char1">
    <w:name w:val="正文缩进 Char"/>
    <w:link w:val="a5"/>
    <w:rsid w:val="006B743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1089</Words>
  <Characters>6210</Characters>
  <Application>Microsoft Office Word</Application>
  <DocSecurity>0</DocSecurity>
  <Lines>51</Lines>
  <Paragraphs>14</Paragraphs>
  <ScaleCrop>false</ScaleCrop>
  <Company>微软公司</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3</cp:revision>
  <dcterms:created xsi:type="dcterms:W3CDTF">2021-07-01T06:29:00Z</dcterms:created>
  <dcterms:modified xsi:type="dcterms:W3CDTF">2021-07-02T05:29:00Z</dcterms:modified>
</cp:coreProperties>
</file>