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57" w:rsidRPr="00EF27D0" w:rsidRDefault="00247357" w:rsidP="00247357">
      <w:pPr>
        <w:spacing w:line="400" w:lineRule="exact"/>
        <w:ind w:firstLineChars="98" w:firstLine="235"/>
        <w:rPr>
          <w:rFonts w:ascii="仿宋" w:eastAsia="仿宋" w:hAnsi="仿宋"/>
          <w:sz w:val="24"/>
        </w:rPr>
      </w:pPr>
      <w:bookmarkStart w:id="0" w:name="_Toc217446094"/>
      <w:r w:rsidRPr="00EF27D0">
        <w:rPr>
          <w:rFonts w:ascii="仿宋" w:eastAsia="仿宋" w:hAnsi="仿宋" w:hint="eastAsia"/>
          <w:sz w:val="24"/>
        </w:rPr>
        <w:t>前提：本章中标注“★”的条款为本项目的实质性条款，投标人不满足的，将按照无效投标处理。</w:t>
      </w:r>
    </w:p>
    <w:p w:rsidR="00247357" w:rsidRPr="00EF27D0" w:rsidRDefault="00247357" w:rsidP="00247357">
      <w:pPr>
        <w:pStyle w:val="2"/>
        <w:spacing w:line="400" w:lineRule="exact"/>
        <w:ind w:firstLineChars="98" w:firstLine="236"/>
        <w:rPr>
          <w:rFonts w:ascii="仿宋" w:eastAsia="仿宋" w:hAnsi="仿宋"/>
          <w:sz w:val="24"/>
          <w:szCs w:val="24"/>
        </w:rPr>
      </w:pPr>
      <w:r w:rsidRPr="00EF27D0">
        <w:rPr>
          <w:rFonts w:ascii="仿宋" w:eastAsia="仿宋" w:hAnsi="仿宋" w:hint="eastAsia"/>
          <w:sz w:val="24"/>
          <w:szCs w:val="24"/>
        </w:rPr>
        <w:t>（一）. 项目概述</w:t>
      </w:r>
      <w:bookmarkEnd w:id="0"/>
    </w:p>
    <w:p w:rsidR="00247357" w:rsidRPr="00EF27D0" w:rsidRDefault="00247357" w:rsidP="00247357">
      <w:pPr>
        <w:pStyle w:val="a3"/>
        <w:spacing w:line="400" w:lineRule="exact"/>
        <w:ind w:firstLine="480"/>
        <w:rPr>
          <w:rFonts w:ascii="仿宋" w:eastAsia="仿宋" w:hAnsi="仿宋"/>
          <w:bCs/>
          <w:sz w:val="24"/>
        </w:rPr>
      </w:pPr>
      <w:bookmarkStart w:id="1" w:name="_Toc217446095"/>
      <w:r w:rsidRPr="00EF27D0">
        <w:rPr>
          <w:rFonts w:ascii="仿宋" w:eastAsia="仿宋" w:hAnsi="仿宋" w:hint="eastAsia"/>
          <w:bCs/>
          <w:sz w:val="24"/>
        </w:rPr>
        <w:t>1.项目</w:t>
      </w:r>
      <w:r w:rsidRPr="00EF27D0">
        <w:rPr>
          <w:rFonts w:ascii="仿宋" w:eastAsia="仿宋" w:hAnsi="仿宋"/>
          <w:bCs/>
          <w:sz w:val="24"/>
        </w:rPr>
        <w:t>概况</w:t>
      </w:r>
      <w:r w:rsidRPr="00EF27D0">
        <w:rPr>
          <w:rFonts w:ascii="仿宋" w:eastAsia="仿宋" w:hAnsi="仿宋" w:hint="eastAsia"/>
          <w:bCs/>
          <w:sz w:val="24"/>
        </w:rPr>
        <w:t>：</w:t>
      </w:r>
    </w:p>
    <w:p w:rsidR="00247357" w:rsidRPr="00EF27D0" w:rsidRDefault="00247357" w:rsidP="00247357">
      <w:pPr>
        <w:pStyle w:val="a3"/>
        <w:spacing w:line="400" w:lineRule="exact"/>
        <w:ind w:firstLine="480"/>
        <w:rPr>
          <w:rFonts w:ascii="仿宋" w:eastAsia="仿宋" w:hAnsi="仿宋"/>
          <w:bCs/>
          <w:sz w:val="24"/>
        </w:rPr>
      </w:pPr>
      <w:r w:rsidRPr="00EF27D0">
        <w:rPr>
          <w:rFonts w:ascii="仿宋" w:eastAsia="仿宋" w:hAnsi="仿宋" w:hint="eastAsia"/>
          <w:bCs/>
          <w:sz w:val="24"/>
        </w:rPr>
        <w:t>金堂县卫生健康信息平台中运行涉及县级平台和基层医疗机构重要数据，若出现业务服务器宕机，会造成县级平台、基层医疗机构无法开始正常业务。部署一套容灾备份系统，当生产服务器宕机且无法恢复时，可第一时间切换到容灾备份系统，业务同步接管，且不影响业务数据的连续性，当正式库数据损坏丢失无法使用的情况下，在容灾备份系统中通过数据恢复功能恢复到指定的时间节点，并能实现在线回迁到正式库。</w:t>
      </w:r>
    </w:p>
    <w:p w:rsidR="00247357" w:rsidRPr="00EF27D0" w:rsidRDefault="00247357" w:rsidP="00247357">
      <w:pPr>
        <w:pStyle w:val="a3"/>
        <w:spacing w:line="400" w:lineRule="exact"/>
        <w:ind w:firstLine="480"/>
        <w:rPr>
          <w:rFonts w:ascii="仿宋" w:eastAsia="仿宋" w:hAnsi="仿宋"/>
          <w:bCs/>
          <w:sz w:val="24"/>
        </w:rPr>
      </w:pPr>
      <w:r w:rsidRPr="00EF27D0">
        <w:rPr>
          <w:rFonts w:ascii="仿宋" w:eastAsia="仿宋" w:hAnsi="仿宋" w:hint="eastAsia"/>
          <w:bCs/>
          <w:sz w:val="24"/>
        </w:rPr>
        <w:t>金堂县卫生健康信息平台内网已部署安全感知平台及潜伏威胁探针，能够很好的对内网经核心交换设备流量进行潜伏威胁检测和预警，但基层聚合支付、健康金堂微信公众号、大规模核酸检测系统等外网业务应用无法进行检测和预警，为降低安全风险，本次项目在外网需要部署潜伏威胁探针并将现有的2台防火墙优化，增加上网行为管理、入侵防御等功能。</w:t>
      </w:r>
    </w:p>
    <w:p w:rsidR="00247357" w:rsidRPr="00EF27D0" w:rsidRDefault="00247357" w:rsidP="00247357">
      <w:pPr>
        <w:pStyle w:val="a3"/>
        <w:spacing w:line="400" w:lineRule="exact"/>
        <w:ind w:firstLine="480"/>
        <w:rPr>
          <w:rFonts w:ascii="仿宋" w:eastAsia="仿宋" w:hAnsi="仿宋"/>
          <w:bCs/>
          <w:sz w:val="24"/>
        </w:rPr>
      </w:pPr>
      <w:r w:rsidRPr="00EF27D0">
        <w:rPr>
          <w:rFonts w:ascii="仿宋" w:eastAsia="仿宋" w:hAnsi="仿宋" w:hint="eastAsia"/>
          <w:bCs/>
          <w:sz w:val="24"/>
        </w:rPr>
        <w:t>金堂县卫生健康信息平台共接入800余台基层医疗机构终端，现在25个乡镇医疗单位都在出口配备了一台防火墙，但是由于基层医疗机构无专业安全管理人员，无法对基层防火墙配置合理的安全策略，在县级平台数据中心端部署管理平台，实现对基层医疗机构防火墙统一运维管理、监控以及安全策略的统一下发，从而完善县级平台整体安全建设体系，建立内外网整体安全感知中心。</w:t>
      </w:r>
    </w:p>
    <w:p w:rsidR="00247357" w:rsidRPr="00EF27D0" w:rsidRDefault="00247357" w:rsidP="00247357">
      <w:pPr>
        <w:pStyle w:val="a3"/>
        <w:spacing w:line="400" w:lineRule="exact"/>
        <w:ind w:firstLine="480"/>
        <w:rPr>
          <w:rFonts w:ascii="仿宋" w:eastAsia="仿宋" w:hAnsi="仿宋"/>
          <w:bCs/>
          <w:sz w:val="24"/>
        </w:rPr>
      </w:pPr>
      <w:r w:rsidRPr="00EF27D0">
        <w:rPr>
          <w:rFonts w:ascii="仿宋" w:eastAsia="仿宋" w:hAnsi="仿宋" w:hint="eastAsia"/>
          <w:bCs/>
          <w:sz w:val="24"/>
        </w:rPr>
        <w:t>随着金堂县卫生健康信息平台及五大中心陆续上线，以及所有医疗机构部署中医特色系统，我单位的医疗数据量不断扩大，现有数据存储空间不足，需将平台数据存储进行扩容。</w:t>
      </w:r>
    </w:p>
    <w:p w:rsidR="00247357" w:rsidRPr="00EF27D0" w:rsidRDefault="00247357" w:rsidP="00247357">
      <w:pPr>
        <w:pStyle w:val="a3"/>
        <w:spacing w:line="400" w:lineRule="exact"/>
        <w:ind w:firstLine="480"/>
        <w:rPr>
          <w:rFonts w:ascii="仿宋" w:eastAsia="仿宋" w:hAnsi="仿宋"/>
          <w:bCs/>
          <w:sz w:val="24"/>
        </w:rPr>
      </w:pPr>
      <w:r w:rsidRPr="00EF27D0">
        <w:rPr>
          <w:rFonts w:ascii="仿宋" w:eastAsia="仿宋" w:hAnsi="仿宋" w:hint="eastAsia"/>
          <w:bCs/>
          <w:sz w:val="24"/>
        </w:rPr>
        <w:t>2.标的名称及</w:t>
      </w:r>
      <w:r w:rsidRPr="00EF27D0">
        <w:rPr>
          <w:rFonts w:ascii="仿宋" w:eastAsia="仿宋" w:hAnsi="仿宋"/>
          <w:bCs/>
          <w:sz w:val="24"/>
        </w:rPr>
        <w:t>所属行业</w:t>
      </w:r>
      <w:r w:rsidRPr="00EF27D0">
        <w:rPr>
          <w:rFonts w:ascii="仿宋" w:eastAsia="仿宋" w:hAnsi="仿宋" w:hint="eastAsia"/>
          <w:bCs/>
          <w:sz w:val="24"/>
        </w:rPr>
        <w:t>：</w:t>
      </w:r>
    </w:p>
    <w:tbl>
      <w:tblPr>
        <w:tblStyle w:val="a4"/>
        <w:tblW w:w="8296" w:type="dxa"/>
        <w:jc w:val="center"/>
        <w:tblLayout w:type="fixed"/>
        <w:tblLook w:val="04A0" w:firstRow="1" w:lastRow="0" w:firstColumn="1" w:lastColumn="0" w:noHBand="0" w:noVBand="1"/>
      </w:tblPr>
      <w:tblGrid>
        <w:gridCol w:w="1271"/>
        <w:gridCol w:w="1418"/>
        <w:gridCol w:w="4110"/>
        <w:gridCol w:w="1497"/>
      </w:tblGrid>
      <w:tr w:rsidR="00247357" w:rsidRPr="00EF27D0" w:rsidTr="00EA6A38">
        <w:trPr>
          <w:jc w:val="center"/>
        </w:trPr>
        <w:tc>
          <w:tcPr>
            <w:tcW w:w="1271" w:type="dxa"/>
            <w:vMerge w:val="restart"/>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包号：</w:t>
            </w:r>
            <w:r w:rsidRPr="00EF27D0">
              <w:rPr>
                <w:rFonts w:ascii="仿宋" w:eastAsia="仿宋" w:hAnsi="仿宋"/>
                <w:bCs/>
                <w:sz w:val="24"/>
              </w:rPr>
              <w:t>01</w:t>
            </w: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品目号</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标的</w:t>
            </w:r>
            <w:r w:rsidRPr="00EF27D0">
              <w:rPr>
                <w:rFonts w:ascii="仿宋" w:eastAsia="仿宋" w:hAnsi="仿宋"/>
                <w:bCs/>
                <w:sz w:val="24"/>
              </w:rPr>
              <w:t>名称</w:t>
            </w:r>
          </w:p>
        </w:tc>
        <w:tc>
          <w:tcPr>
            <w:tcW w:w="1497"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所属行业</w:t>
            </w:r>
          </w:p>
        </w:tc>
      </w:tr>
      <w:tr w:rsidR="00247357" w:rsidRPr="00EF27D0" w:rsidTr="00EA6A38">
        <w:trPr>
          <w:jc w:val="center"/>
        </w:trPr>
        <w:tc>
          <w:tcPr>
            <w:tcW w:w="1271" w:type="dxa"/>
            <w:vMerge/>
            <w:vAlign w:val="center"/>
          </w:tcPr>
          <w:p w:rsidR="00247357" w:rsidRPr="00EF27D0" w:rsidRDefault="00247357" w:rsidP="00EA6A38">
            <w:pPr>
              <w:pStyle w:val="a3"/>
              <w:spacing w:after="0" w:line="360" w:lineRule="auto"/>
              <w:ind w:firstLineChars="0" w:firstLine="0"/>
              <w:rPr>
                <w:rFonts w:ascii="仿宋" w:eastAsia="仿宋" w:hAnsi="仿宋"/>
                <w:bCs/>
                <w:sz w:val="24"/>
              </w:rPr>
            </w:pP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bCs/>
                <w:sz w:val="24"/>
              </w:rPr>
              <w:t>01-01</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外网潜伏威胁探针</w:t>
            </w:r>
          </w:p>
        </w:tc>
        <w:tc>
          <w:tcPr>
            <w:tcW w:w="1497" w:type="dxa"/>
            <w:vMerge w:val="restart"/>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bCs/>
                <w:sz w:val="24"/>
              </w:rPr>
              <w:t>工业</w:t>
            </w:r>
          </w:p>
        </w:tc>
      </w:tr>
      <w:tr w:rsidR="00247357" w:rsidRPr="00EF27D0" w:rsidTr="00EA6A38">
        <w:trPr>
          <w:jc w:val="center"/>
        </w:trPr>
        <w:tc>
          <w:tcPr>
            <w:tcW w:w="1271" w:type="dxa"/>
            <w:vMerge/>
            <w:vAlign w:val="center"/>
          </w:tcPr>
          <w:p w:rsidR="00247357" w:rsidRPr="00EF27D0" w:rsidRDefault="00247357" w:rsidP="00EA6A38">
            <w:pPr>
              <w:pStyle w:val="a3"/>
              <w:spacing w:after="0" w:line="360" w:lineRule="auto"/>
              <w:ind w:firstLineChars="0" w:firstLine="0"/>
              <w:rPr>
                <w:rFonts w:ascii="仿宋" w:eastAsia="仿宋" w:hAnsi="仿宋"/>
                <w:bCs/>
                <w:sz w:val="24"/>
              </w:rPr>
            </w:pP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bCs/>
                <w:sz w:val="24"/>
              </w:rPr>
              <w:t>01-02</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防火墙安全组件授权</w:t>
            </w:r>
          </w:p>
        </w:tc>
        <w:tc>
          <w:tcPr>
            <w:tcW w:w="1497" w:type="dxa"/>
            <w:vMerge/>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p>
        </w:tc>
      </w:tr>
      <w:tr w:rsidR="00247357" w:rsidRPr="00EF27D0" w:rsidTr="00EA6A38">
        <w:trPr>
          <w:jc w:val="center"/>
        </w:trPr>
        <w:tc>
          <w:tcPr>
            <w:tcW w:w="1271" w:type="dxa"/>
            <w:vMerge/>
            <w:vAlign w:val="center"/>
          </w:tcPr>
          <w:p w:rsidR="00247357" w:rsidRPr="00EF27D0" w:rsidRDefault="00247357" w:rsidP="00EA6A38">
            <w:pPr>
              <w:pStyle w:val="a3"/>
              <w:spacing w:after="0" w:line="360" w:lineRule="auto"/>
              <w:ind w:firstLineChars="0" w:firstLine="0"/>
              <w:rPr>
                <w:rFonts w:ascii="仿宋" w:eastAsia="仿宋" w:hAnsi="仿宋"/>
                <w:bCs/>
                <w:sz w:val="24"/>
              </w:rPr>
            </w:pP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01-03</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防火墙集中管理中心</w:t>
            </w:r>
          </w:p>
        </w:tc>
        <w:tc>
          <w:tcPr>
            <w:tcW w:w="1497" w:type="dxa"/>
            <w:vMerge/>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p>
        </w:tc>
      </w:tr>
      <w:tr w:rsidR="00247357" w:rsidRPr="00EF27D0" w:rsidTr="00EA6A38">
        <w:trPr>
          <w:jc w:val="center"/>
        </w:trPr>
        <w:tc>
          <w:tcPr>
            <w:tcW w:w="1271" w:type="dxa"/>
            <w:vMerge/>
            <w:vAlign w:val="center"/>
          </w:tcPr>
          <w:p w:rsidR="00247357" w:rsidRPr="00EF27D0" w:rsidRDefault="00247357" w:rsidP="00EA6A38">
            <w:pPr>
              <w:pStyle w:val="a3"/>
              <w:spacing w:after="0" w:line="360" w:lineRule="auto"/>
              <w:ind w:firstLineChars="0" w:firstLine="0"/>
              <w:rPr>
                <w:rFonts w:ascii="仿宋" w:eastAsia="仿宋" w:hAnsi="仿宋"/>
                <w:bCs/>
                <w:sz w:val="24"/>
              </w:rPr>
            </w:pP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01-04</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容灾和备份</w:t>
            </w:r>
          </w:p>
        </w:tc>
        <w:tc>
          <w:tcPr>
            <w:tcW w:w="1497" w:type="dxa"/>
            <w:vMerge/>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p>
        </w:tc>
      </w:tr>
      <w:tr w:rsidR="00247357" w:rsidRPr="00EF27D0" w:rsidTr="00EA6A38">
        <w:trPr>
          <w:jc w:val="center"/>
        </w:trPr>
        <w:tc>
          <w:tcPr>
            <w:tcW w:w="1271" w:type="dxa"/>
            <w:vMerge/>
            <w:vAlign w:val="center"/>
          </w:tcPr>
          <w:p w:rsidR="00247357" w:rsidRPr="00EF27D0" w:rsidRDefault="00247357" w:rsidP="00EA6A38">
            <w:pPr>
              <w:pStyle w:val="a3"/>
              <w:spacing w:after="0" w:line="360" w:lineRule="auto"/>
              <w:ind w:firstLineChars="0" w:firstLine="0"/>
              <w:rPr>
                <w:rFonts w:ascii="仿宋" w:eastAsia="仿宋" w:hAnsi="仿宋"/>
                <w:bCs/>
                <w:sz w:val="24"/>
              </w:rPr>
            </w:pPr>
          </w:p>
        </w:tc>
        <w:tc>
          <w:tcPr>
            <w:tcW w:w="1418"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01-05</w:t>
            </w:r>
          </w:p>
        </w:tc>
        <w:tc>
          <w:tcPr>
            <w:tcW w:w="4110" w:type="dxa"/>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r w:rsidRPr="00EF27D0">
              <w:rPr>
                <w:rFonts w:ascii="仿宋" w:eastAsia="仿宋" w:hAnsi="仿宋" w:hint="eastAsia"/>
                <w:bCs/>
                <w:sz w:val="24"/>
              </w:rPr>
              <w:t>数据备份存储</w:t>
            </w:r>
          </w:p>
        </w:tc>
        <w:tc>
          <w:tcPr>
            <w:tcW w:w="1497" w:type="dxa"/>
            <w:vMerge/>
            <w:vAlign w:val="center"/>
          </w:tcPr>
          <w:p w:rsidR="00247357" w:rsidRPr="00EF27D0" w:rsidRDefault="00247357" w:rsidP="00EA6A38">
            <w:pPr>
              <w:pStyle w:val="a3"/>
              <w:spacing w:after="0" w:line="360" w:lineRule="auto"/>
              <w:ind w:firstLineChars="0" w:firstLine="0"/>
              <w:jc w:val="center"/>
              <w:rPr>
                <w:rFonts w:ascii="仿宋" w:eastAsia="仿宋" w:hAnsi="仿宋"/>
                <w:bCs/>
                <w:sz w:val="24"/>
              </w:rPr>
            </w:pPr>
          </w:p>
        </w:tc>
      </w:tr>
    </w:tbl>
    <w:p w:rsidR="00247357" w:rsidRPr="00EF27D0" w:rsidRDefault="00247357" w:rsidP="00247357">
      <w:pPr>
        <w:pStyle w:val="2"/>
        <w:spacing w:line="400" w:lineRule="exact"/>
        <w:ind w:firstLineChars="98" w:firstLine="236"/>
        <w:rPr>
          <w:rFonts w:ascii="仿宋" w:eastAsia="仿宋" w:hAnsi="仿宋"/>
          <w:sz w:val="24"/>
          <w:szCs w:val="24"/>
        </w:rPr>
      </w:pPr>
      <w:r w:rsidRPr="00EF27D0">
        <w:rPr>
          <w:rFonts w:ascii="仿宋" w:eastAsia="仿宋" w:hAnsi="仿宋" w:hint="eastAsia"/>
          <w:sz w:val="24"/>
          <w:szCs w:val="24"/>
        </w:rPr>
        <w:lastRenderedPageBreak/>
        <w:t>★（二）. 商务要求</w:t>
      </w:r>
    </w:p>
    <w:p w:rsidR="00247357" w:rsidRPr="00EF27D0" w:rsidRDefault="00247357" w:rsidP="00247357">
      <w:pPr>
        <w:spacing w:line="500" w:lineRule="exact"/>
        <w:rPr>
          <w:rFonts w:ascii="仿宋" w:eastAsia="仿宋" w:hAnsi="仿宋"/>
          <w:bCs/>
          <w:sz w:val="24"/>
        </w:rPr>
      </w:pPr>
      <w:r w:rsidRPr="00EF27D0">
        <w:rPr>
          <w:rFonts w:ascii="仿宋" w:eastAsia="仿宋" w:hAnsi="仿宋" w:hint="eastAsia"/>
          <w:bCs/>
          <w:sz w:val="24"/>
        </w:rPr>
        <w:t>1．交货期及地点</w:t>
      </w:r>
    </w:p>
    <w:p w:rsidR="00247357" w:rsidRPr="00EF27D0" w:rsidRDefault="00247357" w:rsidP="00247357">
      <w:pPr>
        <w:spacing w:line="520" w:lineRule="exact"/>
        <w:rPr>
          <w:rFonts w:ascii="仿宋" w:eastAsia="仿宋" w:hAnsi="仿宋"/>
          <w:sz w:val="24"/>
        </w:rPr>
      </w:pPr>
      <w:r w:rsidRPr="00EF27D0">
        <w:rPr>
          <w:rFonts w:ascii="仿宋" w:eastAsia="仿宋" w:hAnsi="仿宋" w:hint="eastAsia"/>
          <w:sz w:val="24"/>
        </w:rPr>
        <w:t>1.1 交货期：合同签订生效，接到采购人正式通知后在</w:t>
      </w:r>
      <w:r w:rsidRPr="00EF27D0">
        <w:rPr>
          <w:rFonts w:ascii="仿宋" w:eastAsia="仿宋" w:hAnsi="仿宋"/>
          <w:sz w:val="24"/>
        </w:rPr>
        <w:t>30</w:t>
      </w:r>
      <w:r w:rsidRPr="00EF27D0">
        <w:rPr>
          <w:rFonts w:ascii="仿宋" w:eastAsia="仿宋" w:hAnsi="仿宋" w:hint="eastAsia"/>
          <w:sz w:val="24"/>
        </w:rPr>
        <w:t>个工作日内完成全部货物的送货，并交付采购人验收、使用。税费、运输费和完成本项目的一切费用均由投标人自行承担。</w:t>
      </w:r>
    </w:p>
    <w:p w:rsidR="00247357" w:rsidRPr="00EF27D0" w:rsidRDefault="00247357" w:rsidP="00247357">
      <w:pPr>
        <w:spacing w:line="520" w:lineRule="exact"/>
        <w:rPr>
          <w:rFonts w:ascii="仿宋" w:eastAsia="仿宋" w:hAnsi="仿宋"/>
          <w:sz w:val="24"/>
        </w:rPr>
      </w:pPr>
      <w:r w:rsidRPr="00EF27D0">
        <w:rPr>
          <w:rFonts w:ascii="仿宋" w:eastAsia="仿宋" w:hAnsi="仿宋" w:hint="eastAsia"/>
          <w:sz w:val="24"/>
        </w:rPr>
        <w:t>1.2 交货地点:金堂县第一人民医院。</w:t>
      </w:r>
    </w:p>
    <w:p w:rsidR="00247357" w:rsidRPr="00EF27D0" w:rsidRDefault="00247357" w:rsidP="00247357">
      <w:pPr>
        <w:spacing w:line="500" w:lineRule="exact"/>
        <w:rPr>
          <w:rFonts w:ascii="仿宋" w:eastAsia="仿宋" w:hAnsi="仿宋"/>
          <w:bCs/>
          <w:sz w:val="24"/>
        </w:rPr>
      </w:pPr>
      <w:r w:rsidRPr="00EF27D0">
        <w:rPr>
          <w:rFonts w:ascii="仿宋" w:eastAsia="仿宋" w:hAnsi="仿宋" w:hint="eastAsia"/>
          <w:bCs/>
          <w:sz w:val="24"/>
        </w:rPr>
        <w:t>2．付款方法和条件：合同签订后中标人开具正式发票（含税）等付款凭证资料递交给采购人，采购人在收到中标人相关资料后支付合同总金额30%的，安装调试完成验收签字后，采购人向中标人支付合同总金额65%，余款5%在质保维保到期后后支付。</w:t>
      </w:r>
    </w:p>
    <w:p w:rsidR="00247357" w:rsidRPr="00EF27D0" w:rsidRDefault="00247357" w:rsidP="00247357">
      <w:pPr>
        <w:spacing w:line="500" w:lineRule="exact"/>
        <w:rPr>
          <w:rFonts w:ascii="仿宋" w:eastAsia="仿宋" w:hAnsi="仿宋"/>
          <w:bCs/>
          <w:sz w:val="24"/>
        </w:rPr>
      </w:pPr>
      <w:r w:rsidRPr="00EF27D0">
        <w:rPr>
          <w:rFonts w:ascii="仿宋" w:eastAsia="仿宋" w:hAnsi="仿宋" w:hint="eastAsia"/>
          <w:bCs/>
          <w:sz w:val="24"/>
        </w:rPr>
        <w:t>3.质保期：</w:t>
      </w:r>
    </w:p>
    <w:p w:rsidR="00247357" w:rsidRPr="00EF27D0" w:rsidRDefault="00247357" w:rsidP="00247357">
      <w:pPr>
        <w:spacing w:line="520" w:lineRule="exact"/>
        <w:rPr>
          <w:rFonts w:ascii="仿宋" w:eastAsia="仿宋" w:hAnsi="仿宋"/>
          <w:sz w:val="24"/>
        </w:rPr>
      </w:pPr>
      <w:r w:rsidRPr="00EF27D0">
        <w:rPr>
          <w:rFonts w:ascii="仿宋" w:eastAsia="仿宋" w:hAnsi="仿宋" w:hint="eastAsia"/>
          <w:sz w:val="24"/>
        </w:rPr>
        <w:t>3.1质保期为</w:t>
      </w:r>
      <w:r w:rsidRPr="00EF27D0">
        <w:rPr>
          <w:rFonts w:ascii="仿宋" w:eastAsia="仿宋" w:hAnsi="仿宋"/>
          <w:sz w:val="24"/>
        </w:rPr>
        <w:t>3</w:t>
      </w:r>
      <w:r w:rsidRPr="00EF27D0">
        <w:rPr>
          <w:rFonts w:ascii="仿宋" w:eastAsia="仿宋" w:hAnsi="仿宋" w:hint="eastAsia"/>
          <w:sz w:val="24"/>
        </w:rPr>
        <w:t>年，并在质保的3年内提供维保服务</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3.2质保期内供应商应负责设备的维修及抢修以及及时提供所更换的零部件，维修更换的材料和配件以及供应商技术服务人员等均含在本次项目报价内。</w:t>
      </w:r>
    </w:p>
    <w:p w:rsidR="00247357" w:rsidRPr="00EF27D0" w:rsidRDefault="00247357" w:rsidP="00247357">
      <w:pPr>
        <w:spacing w:line="500" w:lineRule="exact"/>
        <w:rPr>
          <w:rFonts w:ascii="仿宋" w:eastAsia="仿宋" w:hAnsi="仿宋"/>
          <w:bCs/>
          <w:sz w:val="24"/>
        </w:rPr>
      </w:pPr>
      <w:r w:rsidRPr="00EF27D0">
        <w:rPr>
          <w:rFonts w:ascii="仿宋" w:eastAsia="仿宋" w:hAnsi="仿宋" w:hint="eastAsia"/>
          <w:bCs/>
          <w:sz w:val="24"/>
        </w:rPr>
        <w:t>4. 交货时应提供以下技术资料（如涉及）</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4.</w:t>
      </w:r>
      <w:r w:rsidRPr="00EF27D0">
        <w:rPr>
          <w:rFonts w:ascii="仿宋" w:eastAsia="仿宋" w:hAnsi="仿宋"/>
          <w:sz w:val="24"/>
        </w:rPr>
        <w:t>1</w:t>
      </w:r>
      <w:r w:rsidRPr="00EF27D0">
        <w:rPr>
          <w:rFonts w:ascii="仿宋" w:eastAsia="仿宋" w:hAnsi="仿宋" w:hint="eastAsia"/>
          <w:sz w:val="24"/>
        </w:rPr>
        <w:t>提供主机及配套设备</w:t>
      </w:r>
      <w:r w:rsidRPr="00EF27D0">
        <w:rPr>
          <w:rFonts w:ascii="仿宋" w:eastAsia="仿宋" w:hAnsi="仿宋"/>
          <w:sz w:val="24"/>
        </w:rPr>
        <w:t>的安装图纸及说明</w:t>
      </w:r>
      <w:r w:rsidRPr="00EF27D0">
        <w:rPr>
          <w:rFonts w:ascii="仿宋" w:eastAsia="仿宋" w:hAnsi="仿宋" w:hint="eastAsia"/>
          <w:sz w:val="24"/>
        </w:rPr>
        <w:t>；</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4.</w:t>
      </w:r>
      <w:r w:rsidRPr="00EF27D0">
        <w:rPr>
          <w:rFonts w:ascii="仿宋" w:eastAsia="仿宋" w:hAnsi="仿宋"/>
          <w:sz w:val="24"/>
        </w:rPr>
        <w:t>2</w:t>
      </w:r>
      <w:r w:rsidRPr="00EF27D0">
        <w:rPr>
          <w:rFonts w:ascii="仿宋" w:eastAsia="仿宋" w:hAnsi="仿宋" w:hint="eastAsia"/>
          <w:sz w:val="24"/>
        </w:rPr>
        <w:t>提供主机及配套设备使用</w:t>
      </w:r>
      <w:r w:rsidRPr="00EF27D0">
        <w:rPr>
          <w:rFonts w:ascii="仿宋" w:eastAsia="仿宋" w:hAnsi="仿宋"/>
          <w:sz w:val="24"/>
        </w:rPr>
        <w:t>说明书</w:t>
      </w:r>
      <w:r w:rsidRPr="00EF27D0">
        <w:rPr>
          <w:rFonts w:ascii="仿宋" w:eastAsia="仿宋" w:hAnsi="仿宋" w:hint="eastAsia"/>
          <w:sz w:val="24"/>
        </w:rPr>
        <w:t>、维护手册；</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4.</w:t>
      </w:r>
      <w:r w:rsidRPr="00EF27D0">
        <w:rPr>
          <w:rFonts w:ascii="仿宋" w:eastAsia="仿宋" w:hAnsi="仿宋"/>
          <w:sz w:val="24"/>
        </w:rPr>
        <w:t>3</w:t>
      </w:r>
      <w:r w:rsidRPr="00EF27D0">
        <w:rPr>
          <w:rFonts w:ascii="仿宋" w:eastAsia="仿宋" w:hAnsi="仿宋" w:hint="eastAsia"/>
          <w:sz w:val="24"/>
        </w:rPr>
        <w:t>备件手册、零件及易损件的图纸及相关资料；</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4.</w:t>
      </w:r>
      <w:r w:rsidRPr="00EF27D0">
        <w:rPr>
          <w:rFonts w:ascii="仿宋" w:eastAsia="仿宋" w:hAnsi="仿宋"/>
          <w:sz w:val="24"/>
        </w:rPr>
        <w:t>4</w:t>
      </w:r>
      <w:r w:rsidRPr="00EF27D0">
        <w:rPr>
          <w:rFonts w:ascii="仿宋" w:eastAsia="仿宋" w:hAnsi="仿宋" w:hint="eastAsia"/>
          <w:sz w:val="24"/>
        </w:rPr>
        <w:t>其它相关技术资料。</w:t>
      </w:r>
    </w:p>
    <w:p w:rsidR="00247357" w:rsidRPr="00EF27D0" w:rsidRDefault="00247357" w:rsidP="00247357">
      <w:pPr>
        <w:spacing w:line="500" w:lineRule="exact"/>
        <w:rPr>
          <w:rFonts w:ascii="仿宋" w:eastAsia="仿宋" w:hAnsi="仿宋"/>
          <w:bCs/>
          <w:sz w:val="24"/>
        </w:rPr>
      </w:pPr>
      <w:r w:rsidRPr="00EF27D0">
        <w:rPr>
          <w:rFonts w:ascii="仿宋" w:eastAsia="仿宋" w:hAnsi="仿宋" w:hint="eastAsia"/>
          <w:bCs/>
          <w:sz w:val="24"/>
        </w:rPr>
        <w:t>5.安装调试及验收：</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5.1中标人负责设备安装、调试。</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5.2货物到达生产现场后，中标人接到采购人通知后7日内到达现场组织安装、</w:t>
      </w:r>
      <w:r w:rsidRPr="00EF27D0">
        <w:rPr>
          <w:rFonts w:ascii="仿宋" w:eastAsia="仿宋" w:hAnsi="仿宋" w:hint="eastAsia"/>
          <w:sz w:val="24"/>
        </w:rPr>
        <w:lastRenderedPageBreak/>
        <w:t>调试，达到正常运行要求，保证采购人正常使用。所需的费用包括在投标总价格中。</w:t>
      </w:r>
    </w:p>
    <w:p w:rsidR="00247357" w:rsidRPr="00EF27D0" w:rsidRDefault="00247357" w:rsidP="00247357">
      <w:pPr>
        <w:spacing w:line="500" w:lineRule="exact"/>
        <w:rPr>
          <w:rFonts w:ascii="仿宋" w:eastAsia="仿宋" w:hAnsi="仿宋"/>
          <w:sz w:val="24"/>
        </w:rPr>
      </w:pPr>
      <w:r w:rsidRPr="00EF27D0">
        <w:rPr>
          <w:rFonts w:ascii="仿宋" w:eastAsia="仿宋" w:hAnsi="仿宋" w:hint="eastAsia"/>
          <w:sz w:val="24"/>
        </w:rPr>
        <w:t>5.3中标人应就设备的安装、调试、操作、维修、保养等对采购人维修技术人员进行培训。设备安装调试完毕后，中标人应对采购人操作人员进行现场培训，直至采购人的技术人员能独立操作，同时能完成一般常见故障的维修工作。</w:t>
      </w:r>
    </w:p>
    <w:p w:rsidR="00247357" w:rsidRPr="00EF27D0" w:rsidRDefault="00247357" w:rsidP="00247357">
      <w:pPr>
        <w:pStyle w:val="2"/>
        <w:spacing w:line="400" w:lineRule="exact"/>
        <w:ind w:firstLineChars="98" w:firstLine="236"/>
        <w:rPr>
          <w:rFonts w:ascii="仿宋" w:eastAsia="仿宋" w:hAnsi="仿宋"/>
          <w:sz w:val="24"/>
          <w:szCs w:val="24"/>
        </w:rPr>
      </w:pPr>
      <w:r w:rsidRPr="00EF27D0">
        <w:rPr>
          <w:rFonts w:ascii="仿宋" w:eastAsia="仿宋" w:hAnsi="仿宋" w:hint="eastAsia"/>
          <w:sz w:val="24"/>
          <w:szCs w:val="24"/>
        </w:rPr>
        <w:t>（三）.技术、服务要求</w:t>
      </w:r>
      <w:bookmarkEnd w:id="1"/>
    </w:p>
    <w:tbl>
      <w:tblPr>
        <w:tblStyle w:val="a4"/>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5098"/>
        <w:gridCol w:w="851"/>
        <w:gridCol w:w="713"/>
      </w:tblGrid>
      <w:tr w:rsidR="00247357" w:rsidRPr="00EF27D0" w:rsidTr="00EA6A38">
        <w:trPr>
          <w:trHeight w:val="408"/>
          <w:jc w:val="center"/>
        </w:trPr>
        <w:tc>
          <w:tcPr>
            <w:tcW w:w="1134" w:type="dxa"/>
            <w:tcBorders>
              <w:right w:val="single" w:sz="4" w:space="0" w:color="auto"/>
            </w:tcBorders>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品目号</w:t>
            </w:r>
          </w:p>
        </w:tc>
        <w:tc>
          <w:tcPr>
            <w:tcW w:w="1134" w:type="dxa"/>
            <w:tcBorders>
              <w:right w:val="single" w:sz="4" w:space="0" w:color="auto"/>
            </w:tcBorders>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名称</w:t>
            </w:r>
          </w:p>
        </w:tc>
        <w:tc>
          <w:tcPr>
            <w:tcW w:w="5098" w:type="dxa"/>
            <w:tcBorders>
              <w:left w:val="single" w:sz="4" w:space="0" w:color="auto"/>
            </w:tcBorders>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功能技术参数要求</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数量</w:t>
            </w:r>
          </w:p>
        </w:tc>
        <w:tc>
          <w:tcPr>
            <w:tcW w:w="713"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备注</w:t>
            </w:r>
          </w:p>
        </w:tc>
      </w:tr>
      <w:tr w:rsidR="00247357" w:rsidRPr="00EF27D0" w:rsidTr="00EA6A38">
        <w:trPr>
          <w:trHeight w:val="90"/>
          <w:jc w:val="center"/>
        </w:trPr>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01-01</w:t>
            </w:r>
          </w:p>
        </w:tc>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外网潜伏威胁探针</w:t>
            </w:r>
          </w:p>
        </w:tc>
        <w:tc>
          <w:tcPr>
            <w:tcW w:w="5098" w:type="dxa"/>
            <w:vAlign w:val="center"/>
          </w:tcPr>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1、设备应具备报文检测引擎,可实现IP碎片重组、TCP流重组、应用层协议识别与解析等，要求设备能够还原和记录网络的通信行为</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2、▲与现有的64G内存、16T存储空间、4个千兆网口的态势感知系统兼容。</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3、性能参数：设备吞吐量≥1Gbps。</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4、★硬件参数：内存大小：≥4G，硬盘容量：≥64G minisata SSD，电源：单电源，接口：≥6千兆电口。</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1套</w:t>
            </w:r>
          </w:p>
        </w:tc>
        <w:tc>
          <w:tcPr>
            <w:tcW w:w="713" w:type="dxa"/>
            <w:vAlign w:val="center"/>
          </w:tcPr>
          <w:p w:rsidR="00247357" w:rsidRPr="00EF27D0" w:rsidRDefault="00247357" w:rsidP="00EA6A38">
            <w:pPr>
              <w:spacing w:after="0" w:line="360" w:lineRule="auto"/>
              <w:jc w:val="center"/>
              <w:rPr>
                <w:rFonts w:ascii="仿宋" w:eastAsia="仿宋" w:hAnsi="仿宋"/>
                <w:sz w:val="24"/>
              </w:rPr>
            </w:pPr>
          </w:p>
        </w:tc>
      </w:tr>
      <w:tr w:rsidR="00247357" w:rsidRPr="00EF27D0" w:rsidTr="00EA6A38">
        <w:trPr>
          <w:trHeight w:val="90"/>
          <w:jc w:val="center"/>
        </w:trPr>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01-02</w:t>
            </w:r>
          </w:p>
        </w:tc>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防火墙安全组件授权</w:t>
            </w:r>
          </w:p>
        </w:tc>
        <w:tc>
          <w:tcPr>
            <w:tcW w:w="5098" w:type="dxa"/>
            <w:vAlign w:val="center"/>
          </w:tcPr>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1、提供现有的两台内网防火墙LIS</w:t>
            </w:r>
            <w:r w:rsidRPr="00EF27D0">
              <w:rPr>
                <w:rFonts w:ascii="仿宋" w:eastAsia="仿宋" w:hAnsi="仿宋"/>
                <w:sz w:val="24"/>
              </w:rPr>
              <w:t>-</w:t>
            </w:r>
            <w:r w:rsidRPr="00EF27D0">
              <w:rPr>
                <w:rFonts w:ascii="仿宋" w:eastAsia="仿宋" w:hAnsi="仿宋" w:hint="eastAsia"/>
                <w:sz w:val="24"/>
              </w:rPr>
              <w:t>F</w:t>
            </w:r>
            <w:r w:rsidRPr="00EF27D0">
              <w:rPr>
                <w:rFonts w:ascii="仿宋" w:eastAsia="仿宋" w:hAnsi="仿宋"/>
                <w:sz w:val="24"/>
              </w:rPr>
              <w:t>1000</w:t>
            </w:r>
            <w:r w:rsidRPr="00EF27D0">
              <w:rPr>
                <w:rFonts w:ascii="仿宋" w:eastAsia="仿宋" w:hAnsi="仿宋" w:hint="eastAsia"/>
                <w:sz w:val="24"/>
              </w:rPr>
              <w:t>的设备功能升级服务</w:t>
            </w:r>
            <w:r w:rsidRPr="00EF27D0">
              <w:rPr>
                <w:rFonts w:ascii="仿宋" w:eastAsia="仿宋" w:hAnsi="仿宋"/>
                <w:sz w:val="24"/>
              </w:rPr>
              <w:t>，</w:t>
            </w:r>
            <w:r w:rsidRPr="00EF27D0">
              <w:rPr>
                <w:rFonts w:ascii="仿宋" w:eastAsia="仿宋" w:hAnsi="仿宋" w:hint="eastAsia"/>
                <w:sz w:val="24"/>
              </w:rPr>
              <w:t>（三个组件三年授权）包括入侵防御功能</w:t>
            </w:r>
            <w:r w:rsidRPr="00EF27D0">
              <w:rPr>
                <w:rFonts w:ascii="仿宋" w:eastAsia="仿宋" w:hAnsi="仿宋"/>
                <w:sz w:val="24"/>
              </w:rPr>
              <w:t>、</w:t>
            </w:r>
            <w:r w:rsidRPr="00EF27D0">
              <w:rPr>
                <w:rFonts w:ascii="仿宋" w:eastAsia="仿宋" w:hAnsi="仿宋" w:hint="eastAsia"/>
                <w:sz w:val="24"/>
              </w:rPr>
              <w:t>行为管理功能</w:t>
            </w:r>
            <w:r w:rsidRPr="00EF27D0">
              <w:rPr>
                <w:rFonts w:ascii="仿宋" w:eastAsia="仿宋" w:hAnsi="仿宋"/>
                <w:sz w:val="24"/>
              </w:rPr>
              <w:t>、</w:t>
            </w:r>
            <w:r w:rsidRPr="00EF27D0">
              <w:rPr>
                <w:rFonts w:ascii="仿宋" w:eastAsia="仿宋" w:hAnsi="仿宋" w:hint="eastAsia"/>
                <w:sz w:val="24"/>
              </w:rPr>
              <w:t>防病毒功能。</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sz w:val="24"/>
              </w:rPr>
              <w:t>1</w:t>
            </w:r>
            <w:r w:rsidRPr="00EF27D0">
              <w:rPr>
                <w:rFonts w:ascii="仿宋" w:eastAsia="仿宋" w:hAnsi="仿宋" w:hint="eastAsia"/>
                <w:sz w:val="24"/>
              </w:rPr>
              <w:t>次</w:t>
            </w:r>
          </w:p>
        </w:tc>
        <w:tc>
          <w:tcPr>
            <w:tcW w:w="713" w:type="dxa"/>
            <w:vAlign w:val="center"/>
          </w:tcPr>
          <w:p w:rsidR="00247357" w:rsidRPr="00EF27D0" w:rsidRDefault="00247357" w:rsidP="00EA6A38">
            <w:pPr>
              <w:spacing w:after="0" w:line="360" w:lineRule="auto"/>
              <w:jc w:val="center"/>
              <w:rPr>
                <w:rFonts w:ascii="仿宋" w:eastAsia="仿宋" w:hAnsi="仿宋"/>
                <w:sz w:val="24"/>
              </w:rPr>
            </w:pPr>
          </w:p>
        </w:tc>
      </w:tr>
      <w:tr w:rsidR="00247357" w:rsidRPr="00EF27D0" w:rsidTr="00EA6A38">
        <w:trPr>
          <w:trHeight w:val="90"/>
          <w:jc w:val="center"/>
        </w:trPr>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01-03</w:t>
            </w:r>
          </w:p>
        </w:tc>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防火墙集中管理中心</w:t>
            </w:r>
          </w:p>
        </w:tc>
        <w:tc>
          <w:tcPr>
            <w:tcW w:w="5098" w:type="dxa"/>
            <w:vAlign w:val="center"/>
          </w:tcPr>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1、★内存≥16G，系统盘≥240G SSD，SATA数据盘≥1*1T，千兆网口≥6个；</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2、设备需要支持单臂模式；</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3、▲本次所投产品需要承诺后续与现有各乡镇出口防火墙兼容</w:t>
            </w:r>
            <w:r w:rsidRPr="00EF27D0">
              <w:rPr>
                <w:rFonts w:ascii="仿宋" w:eastAsia="仿宋" w:hAnsi="仿宋"/>
                <w:sz w:val="24"/>
              </w:rPr>
              <w:t>，</w:t>
            </w:r>
            <w:r w:rsidRPr="00EF27D0">
              <w:rPr>
                <w:rFonts w:ascii="仿宋" w:eastAsia="仿宋" w:hAnsi="仿宋" w:hint="eastAsia"/>
                <w:sz w:val="24"/>
                <w:lang w:eastAsia="zh-Hans"/>
              </w:rPr>
              <w:t>并实现</w:t>
            </w:r>
            <w:r w:rsidRPr="00EF27D0">
              <w:rPr>
                <w:rFonts w:ascii="仿宋" w:eastAsia="仿宋" w:hAnsi="仿宋"/>
                <w:sz w:val="24"/>
              </w:rPr>
              <w:t>统一运维管理、监控以及安全策略的统一下发</w:t>
            </w:r>
            <w:r w:rsidRPr="00EF27D0">
              <w:rPr>
                <w:rFonts w:ascii="仿宋" w:eastAsia="仿宋" w:hAnsi="仿宋" w:hint="eastAsia"/>
                <w:sz w:val="24"/>
              </w:rPr>
              <w:t>；（提供承诺函并加盖投标人公章）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4</w:t>
            </w:r>
            <w:r w:rsidRPr="00EF27D0">
              <w:rPr>
                <w:rFonts w:ascii="仿宋" w:eastAsia="仿宋" w:hAnsi="仿宋" w:hint="eastAsia"/>
                <w:sz w:val="24"/>
              </w:rPr>
              <w:t>、内置日志中心，记录管理员操作日志，管理员也可自行设定过滤规则来查看所需日志信</w:t>
            </w:r>
            <w:r w:rsidRPr="00EF27D0">
              <w:rPr>
                <w:rFonts w:ascii="仿宋" w:eastAsia="仿宋" w:hAnsi="仿宋" w:hint="eastAsia"/>
                <w:sz w:val="24"/>
              </w:rPr>
              <w:lastRenderedPageBreak/>
              <w:t>息；</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5</w:t>
            </w:r>
            <w:r w:rsidRPr="00EF27D0">
              <w:rPr>
                <w:rFonts w:ascii="仿宋" w:eastAsia="仿宋" w:hAnsi="仿宋" w:hint="eastAsia"/>
                <w:sz w:val="24"/>
              </w:rPr>
              <w:t>、▲本次配置具有由中心端到受控端的统一策略下发，包括地址转换、应用控制策略、病毒防御策略、web过滤策略、IPS防护策略、流控通道策略等功能；（提供设备功能界面截图证明，加盖投标人公章）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6、</w:t>
            </w:r>
            <w:r w:rsidRPr="00EF27D0">
              <w:rPr>
                <w:rFonts w:ascii="仿宋" w:eastAsia="仿宋" w:hAnsi="仿宋" w:hint="eastAsia"/>
                <w:sz w:val="24"/>
              </w:rPr>
              <w:t>▲本次配置具有按不同区域来指定不同的管理员功能；（提供设备功能界面截图证明，加盖投标人公章）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7、</w:t>
            </w:r>
            <w:r w:rsidRPr="00EF27D0">
              <w:rPr>
                <w:rFonts w:ascii="仿宋" w:eastAsia="仿宋" w:hAnsi="仿宋" w:cs="Arial"/>
                <w:sz w:val="24"/>
              </w:rPr>
              <w:t>▲</w:t>
            </w:r>
            <w:r w:rsidRPr="00EF27D0">
              <w:rPr>
                <w:rFonts w:ascii="仿宋" w:eastAsia="仿宋" w:hAnsi="仿宋"/>
                <w:sz w:val="24"/>
              </w:rPr>
              <w:t>对全网分支网络安全告警，如系统漏洞、攻击、僵尸主机等安全风险进行告警</w:t>
            </w:r>
            <w:r w:rsidRPr="00EF27D0">
              <w:rPr>
                <w:rFonts w:ascii="仿宋" w:eastAsia="仿宋" w:hAnsi="仿宋" w:hint="eastAsia"/>
                <w:sz w:val="24"/>
              </w:rPr>
              <w:t>；</w:t>
            </w:r>
            <w:r w:rsidRPr="00EF27D0">
              <w:rPr>
                <w:rFonts w:ascii="仿宋" w:eastAsia="仿宋" w:hAnsi="仿宋"/>
                <w:sz w:val="24"/>
              </w:rPr>
              <w:t>（</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8、</w:t>
            </w:r>
            <w:r w:rsidRPr="00EF27D0">
              <w:rPr>
                <w:rFonts w:ascii="仿宋" w:eastAsia="仿宋" w:hAnsi="仿宋" w:cs="Arial"/>
                <w:sz w:val="24"/>
              </w:rPr>
              <w:t>▲</w:t>
            </w:r>
            <w:r w:rsidRPr="00EF27D0">
              <w:rPr>
                <w:rFonts w:ascii="仿宋" w:eastAsia="仿宋" w:hAnsi="仿宋" w:hint="eastAsia"/>
                <w:sz w:val="24"/>
              </w:rPr>
              <w:t>本次配置具有</w:t>
            </w:r>
            <w:r w:rsidRPr="00EF27D0">
              <w:rPr>
                <w:rFonts w:ascii="仿宋" w:eastAsia="仿宋" w:hAnsi="仿宋"/>
                <w:sz w:val="24"/>
              </w:rPr>
              <w:t>可视化展示某个应用的实时传输的总流速及TOP IP占用流速详情</w:t>
            </w:r>
            <w:r w:rsidRPr="00EF27D0">
              <w:rPr>
                <w:rFonts w:ascii="仿宋" w:eastAsia="仿宋" w:hAnsi="仿宋" w:hint="eastAsia"/>
                <w:sz w:val="24"/>
              </w:rPr>
              <w:t>功能。</w:t>
            </w:r>
            <w:r w:rsidRPr="00EF27D0">
              <w:rPr>
                <w:rFonts w:ascii="仿宋" w:eastAsia="仿宋" w:hAnsi="仿宋"/>
                <w:sz w:val="24"/>
              </w:rPr>
              <w:t>（</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lastRenderedPageBreak/>
              <w:t>1套</w:t>
            </w:r>
          </w:p>
        </w:tc>
        <w:tc>
          <w:tcPr>
            <w:tcW w:w="713" w:type="dxa"/>
            <w:vAlign w:val="center"/>
          </w:tcPr>
          <w:p w:rsidR="00247357" w:rsidRPr="00EF27D0" w:rsidRDefault="00247357" w:rsidP="00EA6A38">
            <w:pPr>
              <w:spacing w:after="0" w:line="360" w:lineRule="auto"/>
              <w:jc w:val="center"/>
              <w:rPr>
                <w:rFonts w:ascii="仿宋" w:eastAsia="仿宋" w:hAnsi="仿宋"/>
                <w:sz w:val="24"/>
              </w:rPr>
            </w:pPr>
          </w:p>
        </w:tc>
      </w:tr>
      <w:tr w:rsidR="00247357" w:rsidRPr="00EF27D0" w:rsidTr="00EA6A38">
        <w:trPr>
          <w:trHeight w:val="408"/>
          <w:jc w:val="center"/>
        </w:trPr>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lastRenderedPageBreak/>
              <w:t>01-04</w:t>
            </w:r>
          </w:p>
        </w:tc>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容灾和备份</w:t>
            </w:r>
          </w:p>
        </w:tc>
        <w:tc>
          <w:tcPr>
            <w:tcW w:w="5098" w:type="dxa"/>
            <w:vAlign w:val="center"/>
          </w:tcPr>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w:t>
            </w:r>
            <w:r w:rsidRPr="00EF27D0">
              <w:rPr>
                <w:rFonts w:ascii="仿宋" w:eastAsia="仿宋" w:hAnsi="仿宋" w:hint="eastAsia"/>
                <w:sz w:val="24"/>
              </w:rPr>
              <w:t>★</w:t>
            </w:r>
            <w:r w:rsidRPr="00EF27D0">
              <w:rPr>
                <w:rFonts w:ascii="仿宋" w:eastAsia="仿宋" w:hAnsi="仿宋"/>
                <w:sz w:val="24"/>
              </w:rPr>
              <w:t>CPU核数≥2颗Silver 4210R、主频≥2.4Ghz、内存≥128G、硬盘≥2*960G SSD、≥6*6T SATA、千兆电口≥6个、万兆光口≥2个，</w:t>
            </w:r>
            <w:r w:rsidRPr="00EF27D0">
              <w:rPr>
                <w:rFonts w:ascii="仿宋" w:eastAsia="仿宋" w:hAnsi="仿宋" w:hint="eastAsia"/>
                <w:sz w:val="24"/>
              </w:rPr>
              <w:t>配置</w:t>
            </w:r>
            <w:r w:rsidRPr="00EF27D0">
              <w:rPr>
                <w:rFonts w:ascii="仿宋" w:eastAsia="仿宋" w:hAnsi="仿宋"/>
                <w:sz w:val="24"/>
              </w:rPr>
              <w:t>冗余双电源；</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2、本次招标要求配置计算虚拟化授权许可≥6C，存储虚拟化授权无容量限制；同时需要对原有平台进行容灾服务，配置虚拟机容灾授权许可≥8个；</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3、</w:t>
            </w:r>
            <w:r w:rsidRPr="00EF27D0">
              <w:rPr>
                <w:rFonts w:ascii="仿宋" w:eastAsia="仿宋" w:hAnsi="仿宋" w:cs="宋体" w:hint="eastAsia"/>
                <w:sz w:val="24"/>
              </w:rPr>
              <w:t>▲</w:t>
            </w:r>
            <w:r w:rsidRPr="00EF27D0">
              <w:rPr>
                <w:rFonts w:ascii="仿宋" w:eastAsia="仿宋" w:hAnsi="仿宋"/>
                <w:sz w:val="24"/>
              </w:rPr>
              <w:t>支持单节点的一块或多块缓存盘（SSD）拔出后，集群内所有的虚拟机正常运行未出现中断，其中一台虚拟机硬盘拔出前后磁盘读写（IO）性能</w:t>
            </w:r>
            <w:r w:rsidRPr="00EF27D0">
              <w:rPr>
                <w:rFonts w:ascii="仿宋" w:eastAsia="仿宋" w:hAnsi="仿宋" w:hint="eastAsia"/>
                <w:sz w:val="24"/>
              </w:rPr>
              <w:t>无下降</w:t>
            </w:r>
            <w:r w:rsidRPr="00EF27D0">
              <w:rPr>
                <w:rFonts w:ascii="仿宋" w:eastAsia="仿宋" w:hAnsi="仿宋"/>
                <w:sz w:val="24"/>
              </w:rPr>
              <w:t>；（需</w:t>
            </w:r>
            <w:r w:rsidRPr="00EF27D0">
              <w:rPr>
                <w:rFonts w:ascii="仿宋" w:eastAsia="仿宋" w:hAnsi="仿宋" w:hint="eastAsia"/>
                <w:sz w:val="24"/>
              </w:rPr>
              <w:t>提供经国家认可具有</w:t>
            </w:r>
            <w:r w:rsidRPr="00EF27D0">
              <w:rPr>
                <w:rFonts w:ascii="仿宋" w:eastAsia="仿宋" w:hAnsi="仿宋"/>
                <w:sz w:val="24"/>
              </w:rPr>
              <w:t>“CMA”</w:t>
            </w:r>
            <w:r w:rsidRPr="00EF27D0">
              <w:rPr>
                <w:rFonts w:ascii="仿宋" w:eastAsia="仿宋" w:hAnsi="仿宋" w:hint="eastAsia"/>
                <w:sz w:val="24"/>
              </w:rPr>
              <w:t>或“CNAS”资质的第三方检测机构出具</w:t>
            </w:r>
            <w:r w:rsidRPr="00EF27D0">
              <w:rPr>
                <w:rFonts w:ascii="仿宋" w:eastAsia="仿宋" w:hAnsi="仿宋"/>
                <w:sz w:val="24"/>
              </w:rPr>
              <w:t>的证明材料</w:t>
            </w:r>
            <w:r w:rsidRPr="00EF27D0">
              <w:rPr>
                <w:rFonts w:ascii="仿宋" w:eastAsia="仿宋" w:hAnsi="仿宋" w:hint="eastAsia"/>
                <w:sz w:val="24"/>
              </w:rPr>
              <w:t>并加盖投标人公章</w:t>
            </w:r>
            <w:r w:rsidRPr="00EF27D0">
              <w:rPr>
                <w:rFonts w:ascii="仿宋" w:eastAsia="仿宋" w:hAnsi="仿宋"/>
                <w:sz w:val="24"/>
              </w:rPr>
              <w:t>）</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lastRenderedPageBreak/>
              <w:t>4、</w:t>
            </w:r>
            <w:r w:rsidRPr="00EF27D0">
              <w:rPr>
                <w:rFonts w:ascii="仿宋" w:eastAsia="仿宋" w:hAnsi="仿宋" w:cs="宋体" w:hint="eastAsia"/>
                <w:sz w:val="24"/>
              </w:rPr>
              <w:t>▲</w:t>
            </w:r>
            <w:r w:rsidRPr="00EF27D0">
              <w:rPr>
                <w:rFonts w:ascii="仿宋" w:eastAsia="仿宋" w:hAnsi="仿宋"/>
                <w:sz w:val="24"/>
              </w:rPr>
              <w:t>支持条带化功能，并且支持以虚拟磁盘为单位设置不同的条带数；（</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5、</w:t>
            </w:r>
            <w:r w:rsidRPr="00EF27D0">
              <w:rPr>
                <w:rFonts w:ascii="仿宋" w:eastAsia="仿宋" w:hAnsi="仿宋" w:cs="宋体" w:hint="eastAsia"/>
                <w:sz w:val="24"/>
              </w:rPr>
              <w:t>▲</w:t>
            </w:r>
            <w:r w:rsidRPr="00EF27D0">
              <w:rPr>
                <w:rFonts w:ascii="仿宋" w:eastAsia="仿宋" w:hAnsi="仿宋"/>
                <w:sz w:val="24"/>
              </w:rPr>
              <w:t>要求容灾备份一体机的虚拟存储可支持Oracle RAC，支持共享盘，及共享块设备，支持向导式安装，降低部署复杂度；（</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6、</w:t>
            </w:r>
            <w:r w:rsidRPr="00EF27D0">
              <w:rPr>
                <w:rFonts w:ascii="仿宋" w:eastAsia="仿宋" w:hAnsi="仿宋" w:cs="宋体" w:hint="eastAsia"/>
                <w:sz w:val="24"/>
              </w:rPr>
              <w:t>▲</w:t>
            </w:r>
            <w:r w:rsidRPr="00EF27D0">
              <w:rPr>
                <w:rFonts w:ascii="仿宋" w:eastAsia="仿宋" w:hAnsi="仿宋"/>
                <w:sz w:val="24"/>
              </w:rPr>
              <w:t>支持识别假死主机并标签化为亚健康主机，通过邮件或短信告警提醒用户进行处理，并限制重要业务在亚健康主机上运行；（</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7、支持对容灾平台虚拟机的精细化权限管理，可根据单个虚拟机开关机、打开控制台、删除等操作设定不同的权限，管理员也可以根据用户需求分配权限；</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8、</w:t>
            </w:r>
            <w:r w:rsidRPr="00EF27D0">
              <w:rPr>
                <w:rFonts w:ascii="仿宋" w:eastAsia="仿宋" w:hAnsi="仿宋" w:cs="宋体" w:hint="eastAsia"/>
                <w:sz w:val="24"/>
              </w:rPr>
              <w:t>▲</w:t>
            </w:r>
            <w:r w:rsidRPr="00EF27D0">
              <w:rPr>
                <w:rFonts w:ascii="仿宋" w:eastAsia="仿宋" w:hAnsi="仿宋"/>
                <w:sz w:val="24"/>
              </w:rPr>
              <w:t>支持容灾平台中的集群资源环境一键检测，对硬件健康、平台底层的虚拟化的运行状态和配置，进行</w:t>
            </w:r>
            <w:r w:rsidRPr="00EF27D0">
              <w:rPr>
                <w:rFonts w:ascii="仿宋" w:eastAsia="仿宋" w:hAnsi="仿宋" w:hint="eastAsia"/>
                <w:sz w:val="24"/>
              </w:rPr>
              <w:t>不少于三个</w:t>
            </w:r>
            <w:r w:rsidRPr="00EF27D0">
              <w:rPr>
                <w:rFonts w:ascii="仿宋" w:eastAsia="仿宋" w:hAnsi="仿宋"/>
                <w:sz w:val="24"/>
              </w:rPr>
              <w:t>维度进行检查，提供定位问题功能；（</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9、</w:t>
            </w:r>
            <w:r w:rsidRPr="00EF27D0">
              <w:rPr>
                <w:rFonts w:ascii="仿宋" w:eastAsia="仿宋" w:hAnsi="仿宋" w:cs="宋体" w:hint="eastAsia"/>
                <w:sz w:val="24"/>
              </w:rPr>
              <w:t>▲</w:t>
            </w:r>
            <w:r w:rsidRPr="00EF27D0">
              <w:rPr>
                <w:rFonts w:ascii="仿宋" w:eastAsia="仿宋" w:hAnsi="仿宋"/>
                <w:sz w:val="24"/>
              </w:rPr>
              <w:t>要求所投产品能够支持无代理跨物理主机的虚拟机USB映射，并且当发生虚拟机迁移到其它物理主机时，虚拟机仍然能够正常使用迁移前所在物理主机上的USB资源；（</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10、支持对oracle、sqlserver、Weblogic数据库及中间件进行大屏监控，</w:t>
            </w:r>
            <w:r w:rsidRPr="00EF27D0">
              <w:rPr>
                <w:rFonts w:ascii="仿宋" w:eastAsia="仿宋" w:hAnsi="仿宋" w:hint="eastAsia"/>
                <w:sz w:val="24"/>
              </w:rPr>
              <w:t>支持</w:t>
            </w:r>
            <w:r w:rsidRPr="00EF27D0">
              <w:rPr>
                <w:rFonts w:ascii="仿宋" w:eastAsia="仿宋" w:hAnsi="仿宋"/>
                <w:sz w:val="24"/>
              </w:rPr>
              <w:t>对数据库的语句的故障定位排错，执行时延分析；</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11、</w:t>
            </w:r>
            <w:r w:rsidRPr="00EF27D0">
              <w:rPr>
                <w:rFonts w:ascii="仿宋" w:eastAsia="仿宋" w:hAnsi="仿宋" w:cs="宋体" w:hint="eastAsia"/>
                <w:sz w:val="24"/>
              </w:rPr>
              <w:t>▲</w:t>
            </w:r>
            <w:r w:rsidRPr="00EF27D0">
              <w:rPr>
                <w:rFonts w:ascii="仿宋" w:eastAsia="仿宋" w:hAnsi="仿宋"/>
                <w:sz w:val="24"/>
              </w:rPr>
              <w:t>在管理平台上可以通过拖拽虚拟设备图</w:t>
            </w:r>
            <w:r w:rsidRPr="00EF27D0">
              <w:rPr>
                <w:rFonts w:ascii="仿宋" w:eastAsia="仿宋" w:hAnsi="仿宋"/>
                <w:sz w:val="24"/>
              </w:rPr>
              <w:lastRenderedPageBreak/>
              <w:t>标和连线完成网络拓扑的构建，并且可以连接、开启、关闭虚拟网络设备，支持对整个平台虚拟设备实现统一的管理；（</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12、容灾备份平台内部配置分布式防火墙，能够基于监测虚机IP地址和端口进行东西向流量隔离控制，并提供实时拦截日志，以及支持“数据直通ByPass”功能；</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13、</w:t>
            </w:r>
            <w:r w:rsidRPr="00EF27D0">
              <w:rPr>
                <w:rFonts w:ascii="仿宋" w:eastAsia="仿宋" w:hAnsi="仿宋" w:cs="宋体" w:hint="eastAsia"/>
                <w:sz w:val="24"/>
              </w:rPr>
              <w:t>▲</w:t>
            </w:r>
            <w:r w:rsidRPr="00EF27D0">
              <w:rPr>
                <w:rFonts w:ascii="仿宋" w:eastAsia="仿宋" w:hAnsi="仿宋"/>
                <w:sz w:val="24"/>
              </w:rPr>
              <w:t>提供虚拟路由器、虚拟交换机等设备的连通性探测功能，能够定位到出现故障的虚拟网络设备，排查问题保障业务的连续性</w:t>
            </w:r>
            <w:r w:rsidRPr="00EF27D0">
              <w:rPr>
                <w:rFonts w:ascii="仿宋" w:eastAsia="仿宋" w:hAnsi="仿宋" w:hint="eastAsia"/>
                <w:sz w:val="24"/>
              </w:rPr>
              <w:t>。</w:t>
            </w:r>
            <w:r w:rsidRPr="00EF27D0">
              <w:rPr>
                <w:rFonts w:ascii="仿宋" w:eastAsia="仿宋" w:hAnsi="仿宋"/>
                <w:sz w:val="24"/>
              </w:rPr>
              <w:t>（</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p w:rsidR="00247357" w:rsidRPr="00EF27D0" w:rsidRDefault="00247357" w:rsidP="00EA6A38">
            <w:pPr>
              <w:spacing w:after="0" w:line="360" w:lineRule="auto"/>
              <w:rPr>
                <w:rFonts w:ascii="仿宋" w:eastAsia="仿宋" w:hAnsi="仿宋"/>
                <w:sz w:val="24"/>
              </w:rPr>
            </w:pPr>
            <w:r w:rsidRPr="00EF27D0">
              <w:rPr>
                <w:rFonts w:ascii="仿宋" w:eastAsia="仿宋" w:hAnsi="仿宋"/>
                <w:sz w:val="24"/>
              </w:rPr>
              <w:t>14、</w:t>
            </w:r>
            <w:r w:rsidRPr="00EF27D0">
              <w:rPr>
                <w:rFonts w:ascii="仿宋" w:eastAsia="仿宋" w:hAnsi="仿宋" w:cs="宋体" w:hint="eastAsia"/>
                <w:sz w:val="24"/>
              </w:rPr>
              <w:t>▲</w:t>
            </w:r>
            <w:r w:rsidRPr="00EF27D0">
              <w:rPr>
                <w:rFonts w:ascii="仿宋" w:eastAsia="仿宋" w:hAnsi="仿宋" w:hint="eastAsia"/>
                <w:sz w:val="24"/>
              </w:rPr>
              <w:t>内置持续数据保护CDP软件模块，能够动态的开启和关闭，对正在运行的虚拟机，在不需要重启或中断业务的情况下，就可以开启CDP</w:t>
            </w:r>
            <w:r w:rsidRPr="00EF27D0">
              <w:rPr>
                <w:rFonts w:ascii="仿宋" w:eastAsia="仿宋" w:hAnsi="仿宋"/>
                <w:sz w:val="24"/>
              </w:rPr>
              <w:t>。</w:t>
            </w:r>
            <w:r w:rsidRPr="00EF27D0">
              <w:rPr>
                <w:rFonts w:ascii="仿宋" w:eastAsia="仿宋" w:hAnsi="仿宋" w:hint="eastAsia"/>
                <w:sz w:val="24"/>
              </w:rPr>
              <w:t>对于重要系统的数据持续数据保护，支持在线回退。</w:t>
            </w:r>
            <w:r w:rsidRPr="00EF27D0">
              <w:rPr>
                <w:rFonts w:ascii="仿宋" w:eastAsia="仿宋" w:hAnsi="仿宋"/>
                <w:sz w:val="24"/>
              </w:rPr>
              <w:t>（</w:t>
            </w:r>
            <w:r w:rsidRPr="00EF27D0">
              <w:rPr>
                <w:rFonts w:ascii="仿宋" w:eastAsia="仿宋" w:hAnsi="仿宋" w:hint="eastAsia"/>
                <w:sz w:val="24"/>
              </w:rPr>
              <w:t>提供设备功能界面截图，</w:t>
            </w:r>
            <w:r w:rsidRPr="00EF27D0">
              <w:rPr>
                <w:rFonts w:ascii="仿宋" w:eastAsia="仿宋" w:hAnsi="仿宋"/>
                <w:sz w:val="24"/>
              </w:rPr>
              <w:t>加盖</w:t>
            </w:r>
            <w:r w:rsidRPr="00EF27D0">
              <w:rPr>
                <w:rFonts w:ascii="仿宋" w:eastAsia="仿宋" w:hAnsi="仿宋" w:hint="eastAsia"/>
                <w:sz w:val="24"/>
              </w:rPr>
              <w:t>投标人</w:t>
            </w:r>
            <w:r w:rsidRPr="00EF27D0">
              <w:rPr>
                <w:rFonts w:ascii="仿宋" w:eastAsia="仿宋" w:hAnsi="仿宋"/>
                <w:sz w:val="24"/>
              </w:rPr>
              <w:t>公章）</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lastRenderedPageBreak/>
              <w:t>1套</w:t>
            </w:r>
          </w:p>
        </w:tc>
        <w:tc>
          <w:tcPr>
            <w:tcW w:w="713" w:type="dxa"/>
            <w:vAlign w:val="center"/>
          </w:tcPr>
          <w:p w:rsidR="00247357" w:rsidRPr="00EF27D0" w:rsidRDefault="00247357" w:rsidP="00EA6A38">
            <w:pPr>
              <w:spacing w:after="0" w:line="360" w:lineRule="auto"/>
              <w:jc w:val="center"/>
              <w:rPr>
                <w:rFonts w:ascii="仿宋" w:eastAsia="仿宋" w:hAnsi="仿宋"/>
                <w:sz w:val="24"/>
              </w:rPr>
            </w:pPr>
          </w:p>
        </w:tc>
      </w:tr>
      <w:tr w:rsidR="00247357" w:rsidRPr="00EF27D0" w:rsidTr="00EA6A38">
        <w:trPr>
          <w:trHeight w:val="408"/>
          <w:jc w:val="center"/>
        </w:trPr>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lastRenderedPageBreak/>
              <w:t>01-05</w:t>
            </w:r>
          </w:p>
        </w:tc>
        <w:tc>
          <w:tcPr>
            <w:tcW w:w="1134"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t>数据备份存储</w:t>
            </w:r>
          </w:p>
        </w:tc>
        <w:tc>
          <w:tcPr>
            <w:tcW w:w="5098" w:type="dxa"/>
            <w:vAlign w:val="center"/>
          </w:tcPr>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1、磁盘阵列数量：1台</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2、磁盘阵列容量配置：最大配置199块SFF或者96块LFF，最大容量576TB，本次配置12块4TB硬盘。</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3、存储控制器：本次配置2个控制器。</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4、高速缓存配置：≥4GB/控制器，存储系统掉电无需电池进行保护。</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5、控制器缓存扩展：支持控制器SSD缓存扩展，扩展容量≥200GB/控制器</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6、主机端口:≥4个8Gbps FC主机端口/控制器</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7、动态扩容：最大512个LUN，配置LUN动态</w:t>
            </w:r>
            <w:r w:rsidRPr="00EF27D0">
              <w:rPr>
                <w:rFonts w:ascii="仿宋" w:eastAsia="仿宋" w:hAnsi="仿宋" w:hint="eastAsia"/>
                <w:sz w:val="24"/>
              </w:rPr>
              <w:lastRenderedPageBreak/>
              <w:t>扩容许可</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8、管理软件:随机配置管理配置软件，要求WEB管理界面</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9、单一LUN最大支持容量:≥128TB</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 xml:space="preserve">10、支持硬盘类型:支持SSD，SAS和SAS MDL磁盘， </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11、磁盘转速调整技术:可以根据I/O访问特点对磁盘转速进行调整，对没有I/O访问的磁盘实现停转（SPIN Down）</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12、磁盘容错方式:支持RAID 0，1, 3, 5, 6, 10, 50</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13、硬盘混插:支持SSD，SAS和SATA在同一磁盘笼磁盘混插</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14、虚拟化阵列:允许数据卷跨越同时最多199块硬盘，无需进行Raid后空间再绑定</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15、快照及克隆:配制磁盘快照功能，最少配制64个快照和卷克隆，可扩至512个</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16、数据复制:支持数据异步复制</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17、自动分级存储:提供数据自动分级存储。可实现单个LUN中的数据，按照实际的I/O压力自动在SSD、SAS和SATA硬盘之间进行自动迁移。自动分级存储功能支持I/O每个卷可在三个不同类型的硬盘之间进行自动迁移。可以进行手动或自动迁移。</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18、精简配置:提供卷的精简配置管理功能，即实际主机映射的存储空间超出存储实际拥有的磁盘空间。要求精简配置支持空间在线回收。</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19、断电保护:要求支持断电时将控制器缓存数据写入硬件存储设备中，可永久保护</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lastRenderedPageBreak/>
              <w:t>20、微码升级:支持在线的微码升级（双控制器）</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21、容量扩展能力:≥199个硬盘，支持热插拔扩容</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22、虚拟化支持:支持Vdisk跨多个磁盘笼</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23、负载均衡:支持Windows,Linux多路径负载，要求配置16个多路径负载均衡许可</w:t>
            </w:r>
          </w:p>
          <w:p w:rsidR="00247357" w:rsidRPr="00EF27D0" w:rsidRDefault="00247357" w:rsidP="00EA6A38">
            <w:pPr>
              <w:spacing w:after="0" w:line="360" w:lineRule="auto"/>
              <w:rPr>
                <w:rFonts w:ascii="仿宋" w:eastAsia="仿宋" w:hAnsi="仿宋"/>
                <w:sz w:val="24"/>
              </w:rPr>
            </w:pPr>
            <w:r w:rsidRPr="00EF27D0">
              <w:rPr>
                <w:rFonts w:ascii="仿宋" w:eastAsia="仿宋" w:hAnsi="仿宋" w:hint="eastAsia"/>
                <w:sz w:val="24"/>
              </w:rPr>
              <w:t>24、冗余电源和风扇:配置冗余电源和风扇。</w:t>
            </w:r>
          </w:p>
        </w:tc>
        <w:tc>
          <w:tcPr>
            <w:tcW w:w="851" w:type="dxa"/>
            <w:vAlign w:val="center"/>
          </w:tcPr>
          <w:p w:rsidR="00247357" w:rsidRPr="00EF27D0" w:rsidRDefault="00247357" w:rsidP="00EA6A38">
            <w:pPr>
              <w:spacing w:after="0" w:line="360" w:lineRule="auto"/>
              <w:jc w:val="center"/>
              <w:rPr>
                <w:rFonts w:ascii="仿宋" w:eastAsia="仿宋" w:hAnsi="仿宋"/>
                <w:sz w:val="24"/>
              </w:rPr>
            </w:pPr>
            <w:r w:rsidRPr="00EF27D0">
              <w:rPr>
                <w:rFonts w:ascii="仿宋" w:eastAsia="仿宋" w:hAnsi="仿宋" w:hint="eastAsia"/>
                <w:sz w:val="24"/>
              </w:rPr>
              <w:lastRenderedPageBreak/>
              <w:t>1台</w:t>
            </w:r>
          </w:p>
        </w:tc>
        <w:tc>
          <w:tcPr>
            <w:tcW w:w="713" w:type="dxa"/>
            <w:vAlign w:val="center"/>
          </w:tcPr>
          <w:p w:rsidR="00247357" w:rsidRPr="00EF27D0" w:rsidRDefault="00247357" w:rsidP="00EA6A38">
            <w:pPr>
              <w:spacing w:after="0" w:line="360" w:lineRule="auto"/>
              <w:jc w:val="center"/>
              <w:rPr>
                <w:rFonts w:ascii="仿宋" w:eastAsia="仿宋" w:hAnsi="仿宋"/>
                <w:sz w:val="24"/>
              </w:rPr>
            </w:pPr>
          </w:p>
        </w:tc>
      </w:tr>
    </w:tbl>
    <w:p w:rsidR="00247357" w:rsidRPr="00EF27D0" w:rsidRDefault="00247357" w:rsidP="00247357">
      <w:pPr>
        <w:spacing w:line="360" w:lineRule="auto"/>
        <w:rPr>
          <w:rFonts w:ascii="仿宋" w:eastAsia="仿宋" w:hAnsi="仿宋"/>
          <w:sz w:val="24"/>
        </w:rPr>
      </w:pPr>
    </w:p>
    <w:p w:rsidR="00247357" w:rsidRPr="00EF27D0" w:rsidRDefault="00247357" w:rsidP="00247357">
      <w:pPr>
        <w:widowControl/>
        <w:spacing w:after="0" w:line="240" w:lineRule="auto"/>
        <w:jc w:val="left"/>
        <w:rPr>
          <w:rFonts w:ascii="仿宋" w:eastAsia="仿宋" w:hAnsi="仿宋"/>
          <w:sz w:val="24"/>
        </w:rPr>
      </w:pPr>
      <w:r w:rsidRPr="00EF27D0">
        <w:rPr>
          <w:rFonts w:ascii="仿宋" w:eastAsia="仿宋" w:hAnsi="仿宋"/>
          <w:sz w:val="24"/>
        </w:rPr>
        <w:br w:type="page"/>
      </w:r>
    </w:p>
    <w:p w:rsidR="00236184" w:rsidRDefault="00247357">
      <w:pPr>
        <w:rPr>
          <w:rFonts w:hint="eastAsia"/>
        </w:rPr>
      </w:pPr>
      <w:bookmarkStart w:id="2" w:name="_GoBack"/>
      <w:bookmarkEnd w:id="2"/>
    </w:p>
    <w:sectPr w:rsidR="00236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5A"/>
    <w:rsid w:val="00247357"/>
    <w:rsid w:val="00721C9D"/>
    <w:rsid w:val="009B6BA0"/>
    <w:rsid w:val="00F6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01EE-225B-477D-814A-16F3514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357"/>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247357"/>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47357"/>
    <w:rPr>
      <w:rFonts w:ascii="Arial" w:eastAsia="黑体" w:hAnsi="Arial" w:cs="Times New Roman"/>
      <w:b/>
      <w:bCs/>
      <w:sz w:val="32"/>
      <w:szCs w:val="32"/>
    </w:rPr>
  </w:style>
  <w:style w:type="paragraph" w:styleId="a3">
    <w:name w:val="Normal Indent"/>
    <w:basedOn w:val="a"/>
    <w:qFormat/>
    <w:rsid w:val="00247357"/>
    <w:pPr>
      <w:ind w:firstLineChars="200" w:firstLine="200"/>
    </w:pPr>
  </w:style>
  <w:style w:type="table" w:styleId="a4">
    <w:name w:val="Table Grid"/>
    <w:basedOn w:val="a1"/>
    <w:uiPriority w:val="59"/>
    <w:qFormat/>
    <w:rsid w:val="0024735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644</Words>
  <Characters>3675</Characters>
  <Application>Microsoft Office Word</Application>
  <DocSecurity>0</DocSecurity>
  <Lines>30</Lines>
  <Paragraphs>8</Paragraphs>
  <ScaleCrop>false</ScaleCrop>
  <Company>微软中国</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2021-12-08T08:42:00Z</dcterms:created>
  <dcterms:modified xsi:type="dcterms:W3CDTF">2021-12-08T08:42:00Z</dcterms:modified>
</cp:coreProperties>
</file>