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AE" w:rsidRDefault="007F3CAE" w:rsidP="007F3CAE">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7F3CAE" w:rsidRDefault="007F3CAE" w:rsidP="007F3CAE">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w:t>
      </w:r>
      <w:r>
        <w:rPr>
          <w:rFonts w:ascii="仿宋" w:eastAsia="仿宋" w:hAnsi="仿宋"/>
          <w:sz w:val="24"/>
        </w:rPr>
        <w:t>*”的条款为本项目的实质性条款，投标人不满足的，将按照无效投标处理。</w:t>
      </w:r>
      <w:r>
        <w:rPr>
          <w:rFonts w:ascii="仿宋" w:eastAsia="仿宋" w:hAnsi="仿宋" w:hint="eastAsia"/>
          <w:sz w:val="24"/>
        </w:rPr>
        <w:t>本章中标注“★</w:t>
      </w:r>
      <w:r>
        <w:rPr>
          <w:rFonts w:ascii="仿宋" w:eastAsia="仿宋" w:hAnsi="仿宋"/>
          <w:sz w:val="24"/>
        </w:rPr>
        <w:t>”的条款为本项目的</w:t>
      </w:r>
      <w:r>
        <w:rPr>
          <w:rFonts w:ascii="仿宋" w:eastAsia="仿宋" w:hAnsi="仿宋" w:hint="eastAsia"/>
          <w:sz w:val="24"/>
        </w:rPr>
        <w:t>重点扣分</w:t>
      </w:r>
      <w:r>
        <w:rPr>
          <w:rFonts w:ascii="仿宋" w:eastAsia="仿宋" w:hAnsi="仿宋"/>
          <w:sz w:val="24"/>
        </w:rPr>
        <w:t>条款，投标人不满足的，将</w:t>
      </w:r>
      <w:r>
        <w:rPr>
          <w:rFonts w:ascii="仿宋" w:eastAsia="仿宋" w:hAnsi="仿宋" w:hint="eastAsia"/>
          <w:sz w:val="24"/>
        </w:rPr>
        <w:t>做重点扣分处理</w:t>
      </w:r>
      <w:r>
        <w:rPr>
          <w:rFonts w:ascii="仿宋" w:eastAsia="仿宋" w:hAnsi="仿宋"/>
          <w:sz w:val="24"/>
        </w:rPr>
        <w:t>。</w:t>
      </w:r>
    </w:p>
    <w:p w:rsidR="007F3CAE" w:rsidRDefault="007F3CAE" w:rsidP="007F3CA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 xml:space="preserve">. </w:t>
      </w:r>
      <w:r>
        <w:rPr>
          <w:rFonts w:ascii="仿宋" w:eastAsia="仿宋" w:hAnsi="仿宋" w:hint="eastAsia"/>
          <w:sz w:val="24"/>
          <w:szCs w:val="24"/>
        </w:rPr>
        <w:t>项目概述</w:t>
      </w:r>
      <w:bookmarkEnd w:id="0"/>
    </w:p>
    <w:p w:rsidR="007F3CAE" w:rsidRDefault="007F3CAE" w:rsidP="007F3CAE">
      <w:pPr>
        <w:pStyle w:val="a5"/>
        <w:spacing w:line="400" w:lineRule="exact"/>
        <w:ind w:firstLine="480"/>
        <w:rPr>
          <w:rFonts w:ascii="仿宋" w:eastAsia="仿宋" w:hAnsi="仿宋"/>
          <w:bCs/>
          <w:sz w:val="24"/>
        </w:rPr>
      </w:pPr>
      <w:bookmarkStart w:id="1"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：为了加强我院计量监督管理，保证院内设备仪器量值的准确可靠，保障设备仪器在使用过程中医护人员及患者的安全，现通过公开招标的方式采购2021年计量检测服务供应商一名。</w:t>
      </w:r>
    </w:p>
    <w:p w:rsidR="007F3CAE" w:rsidRDefault="007F3CAE" w:rsidP="007F3CAE">
      <w:pPr>
        <w:pStyle w:val="a5"/>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a7"/>
        <w:tblW w:w="7910" w:type="dxa"/>
        <w:jc w:val="center"/>
        <w:tblLayout w:type="fixed"/>
        <w:tblLook w:val="04A0" w:firstRow="1" w:lastRow="0" w:firstColumn="1" w:lastColumn="0" w:noHBand="0" w:noVBand="1"/>
      </w:tblPr>
      <w:tblGrid>
        <w:gridCol w:w="1001"/>
        <w:gridCol w:w="4835"/>
        <w:gridCol w:w="2074"/>
      </w:tblGrid>
      <w:tr w:rsidR="007F3CAE" w:rsidTr="00AF70C9">
        <w:trPr>
          <w:jc w:val="center"/>
        </w:trPr>
        <w:tc>
          <w:tcPr>
            <w:tcW w:w="1001" w:type="dxa"/>
          </w:tcPr>
          <w:p w:rsidR="007F3CAE" w:rsidRDefault="007F3CAE" w:rsidP="00AF70C9">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品目号</w:t>
            </w:r>
          </w:p>
        </w:tc>
        <w:tc>
          <w:tcPr>
            <w:tcW w:w="4835" w:type="dxa"/>
          </w:tcPr>
          <w:p w:rsidR="007F3CAE" w:rsidRDefault="007F3CAE" w:rsidP="00AF70C9">
            <w:pPr>
              <w:pStyle w:val="a5"/>
              <w:spacing w:line="400" w:lineRule="exact"/>
              <w:ind w:firstLineChars="0" w:firstLine="0"/>
              <w:jc w:val="center"/>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2074" w:type="dxa"/>
          </w:tcPr>
          <w:p w:rsidR="007F3CAE" w:rsidRDefault="007F3CAE" w:rsidP="00AF70C9">
            <w:pPr>
              <w:pStyle w:val="a5"/>
              <w:spacing w:line="400" w:lineRule="exact"/>
              <w:ind w:firstLineChars="0" w:firstLine="0"/>
              <w:jc w:val="center"/>
              <w:rPr>
                <w:rFonts w:ascii="仿宋" w:eastAsia="仿宋" w:hAnsi="仿宋"/>
                <w:bCs/>
                <w:sz w:val="24"/>
              </w:rPr>
            </w:pPr>
            <w:r>
              <w:rPr>
                <w:rFonts w:ascii="仿宋" w:eastAsia="仿宋" w:hAnsi="仿宋" w:hint="eastAsia"/>
                <w:bCs/>
                <w:sz w:val="24"/>
              </w:rPr>
              <w:t>所属行业</w:t>
            </w:r>
          </w:p>
        </w:tc>
      </w:tr>
      <w:tr w:rsidR="007F3CAE" w:rsidTr="00AF70C9">
        <w:trPr>
          <w:jc w:val="center"/>
        </w:trPr>
        <w:tc>
          <w:tcPr>
            <w:tcW w:w="1001" w:type="dxa"/>
          </w:tcPr>
          <w:p w:rsidR="007F3CAE" w:rsidRDefault="007F3CAE" w:rsidP="00AF70C9">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w:t>
            </w:r>
          </w:p>
        </w:tc>
        <w:tc>
          <w:tcPr>
            <w:tcW w:w="4835" w:type="dxa"/>
          </w:tcPr>
          <w:p w:rsidR="007F3CAE" w:rsidRDefault="007F3CAE" w:rsidP="00AF70C9">
            <w:pPr>
              <w:pStyle w:val="a6"/>
              <w:jc w:val="center"/>
              <w:rPr>
                <w:rFonts w:ascii="仿宋" w:eastAsia="仿宋" w:hAnsi="仿宋"/>
                <w:bCs/>
                <w:sz w:val="24"/>
              </w:rPr>
            </w:pPr>
            <w:r>
              <w:rPr>
                <w:rFonts w:ascii="仿宋" w:eastAsia="仿宋" w:hAnsi="仿宋" w:hint="eastAsia"/>
                <w:bCs/>
                <w:sz w:val="24"/>
              </w:rPr>
              <w:t>计量检测服务</w:t>
            </w:r>
          </w:p>
        </w:tc>
        <w:tc>
          <w:tcPr>
            <w:tcW w:w="2074" w:type="dxa"/>
          </w:tcPr>
          <w:p w:rsidR="007F3CAE" w:rsidRDefault="007F3CAE" w:rsidP="00AF70C9">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其他未列明行业</w:t>
            </w:r>
          </w:p>
        </w:tc>
      </w:tr>
    </w:tbl>
    <w:p w:rsidR="007F3CAE" w:rsidRDefault="007F3CAE" w:rsidP="007F3CAE">
      <w:pPr>
        <w:pStyle w:val="2"/>
        <w:spacing w:line="400" w:lineRule="exact"/>
        <w:ind w:firstLineChars="200" w:firstLine="480"/>
        <w:rPr>
          <w:rFonts w:ascii="仿宋" w:eastAsia="仿宋" w:hAnsi="仿宋"/>
          <w:b w:val="0"/>
          <w:sz w:val="24"/>
          <w:szCs w:val="24"/>
        </w:rPr>
      </w:pPr>
      <w:r>
        <w:rPr>
          <w:rFonts w:ascii="仿宋" w:eastAsia="仿宋" w:hAnsi="仿宋" w:hint="eastAsia"/>
          <w:b w:val="0"/>
          <w:sz w:val="24"/>
          <w:szCs w:val="24"/>
        </w:rPr>
        <w:t>3.计量检测清单：</w:t>
      </w:r>
    </w:p>
    <w:tbl>
      <w:tblPr>
        <w:tblW w:w="8517" w:type="dxa"/>
        <w:jc w:val="center"/>
        <w:tblLayout w:type="fixed"/>
        <w:tblLook w:val="04A0" w:firstRow="1" w:lastRow="0" w:firstColumn="1" w:lastColumn="0" w:noHBand="0" w:noVBand="1"/>
      </w:tblPr>
      <w:tblGrid>
        <w:gridCol w:w="571"/>
        <w:gridCol w:w="2660"/>
        <w:gridCol w:w="3029"/>
        <w:gridCol w:w="2257"/>
      </w:tblGrid>
      <w:tr w:rsidR="007F3CAE" w:rsidTr="00AF70C9">
        <w:trPr>
          <w:trHeight w:val="360"/>
          <w:jc w:val="center"/>
        </w:trPr>
        <w:tc>
          <w:tcPr>
            <w:tcW w:w="571" w:type="dxa"/>
            <w:tcBorders>
              <w:top w:val="single" w:sz="4" w:space="0" w:color="auto"/>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序号</w:t>
            </w:r>
          </w:p>
        </w:tc>
        <w:tc>
          <w:tcPr>
            <w:tcW w:w="2660" w:type="dxa"/>
            <w:tcBorders>
              <w:top w:val="single" w:sz="4" w:space="0" w:color="auto"/>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检测项目</w:t>
            </w:r>
          </w:p>
        </w:tc>
        <w:tc>
          <w:tcPr>
            <w:tcW w:w="3029" w:type="dxa"/>
            <w:tcBorders>
              <w:top w:val="single" w:sz="4" w:space="0" w:color="auto"/>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备注</w:t>
            </w:r>
          </w:p>
        </w:tc>
        <w:tc>
          <w:tcPr>
            <w:tcW w:w="2257" w:type="dxa"/>
            <w:tcBorders>
              <w:top w:val="single" w:sz="4" w:space="0" w:color="auto"/>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b/>
                <w:bCs/>
                <w:color w:val="000000"/>
                <w:kern w:val="0"/>
                <w:sz w:val="24"/>
              </w:rPr>
            </w:pPr>
            <w:r>
              <w:rPr>
                <w:rFonts w:ascii="仿宋" w:eastAsia="仿宋" w:hAnsi="仿宋" w:cs="仿宋" w:hint="eastAsia"/>
                <w:b/>
                <w:bCs/>
                <w:color w:val="000000"/>
                <w:kern w:val="0"/>
                <w:sz w:val="24"/>
              </w:rPr>
              <w:t>单价限价（元）</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冰箱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低温冰箱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超低温冰箱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超低温保存箱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电热恒温培养箱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隔水式恒温培养箱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冷藏冷冻柜</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冷藏冷冻箱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9</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冷冻冰箱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CO2培养箱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11</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立式低温保存箱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12</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立式冷藏柜</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lastRenderedPageBreak/>
              <w:t>13</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立式冷藏箱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14</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低温冰柜</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冷冻冰柜</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16</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冷冻冷藏箱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17</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立式超低温保存箱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18</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深低温冰箱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19</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药品保存箱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医用低温保存箱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21</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医用冷藏箱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22</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转换型冷藏/冷冻箱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23</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霉菌培养箱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24</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尿液分析仪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25</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全自动分析仪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1220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26</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生化培养箱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27</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生物安全柜</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含检漏1500，不含1000</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1000/1500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28</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卧式冷藏柜</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（环境试验设备）</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29</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灭菌器</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手提400、立式600</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400/600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电子体温计</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单探头200/双探头300</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200/300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31</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冰箱温度计</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32</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温湿度记录仪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33</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红外线测温仪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500度以上500/500度以下300</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300/500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34</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数显测温仪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数显温湿度表</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36</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温湿度表</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37</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数字温度计</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38</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智能温度采集器</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200/探头</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39</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kern w:val="0"/>
                <w:sz w:val="24"/>
              </w:rPr>
              <w:t>电解质分析仪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40</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体重秤</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41</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电子体重秤</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电子婴儿秤</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43</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细胞分析仪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610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44</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kern w:val="0"/>
                <w:sz w:val="24"/>
              </w:rPr>
            </w:pPr>
            <w:r>
              <w:rPr>
                <w:rFonts w:ascii="仿宋" w:eastAsia="仿宋" w:hAnsi="仿宋" w:cs="仿宋" w:hint="eastAsia"/>
                <w:color w:val="000000"/>
                <w:kern w:val="0"/>
                <w:sz w:val="24"/>
              </w:rPr>
              <w:t>电子台秤</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45</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台秤</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lastRenderedPageBreak/>
              <w:t>46</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架盘天平</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47</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电子天平</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2～500g , 1～20kg/100～500g , 1～20kg/100～500g ,1～20kg/100～200kg/&gt;1000kg</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540/450/320/1040/</w:t>
            </w:r>
          </w:p>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1590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48</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扭力天平</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1kg以下</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90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49</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原子荧光光度计</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680</w:t>
            </w:r>
          </w:p>
        </w:tc>
      </w:tr>
      <w:tr w:rsidR="007F3CAE" w:rsidTr="00AF70C9">
        <w:trPr>
          <w:trHeight w:val="330"/>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50</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荧光分光光度计</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A，B，C级/200～700nm</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360</w:t>
            </w:r>
          </w:p>
        </w:tc>
      </w:tr>
      <w:tr w:rsidR="007F3CAE" w:rsidTr="00AF70C9">
        <w:trPr>
          <w:trHeight w:val="345"/>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51</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紫外可见分光光度计</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单光束/双光束</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650/1000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52</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可调移液器</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130</w:t>
            </w:r>
          </w:p>
        </w:tc>
      </w:tr>
      <w:tr w:rsidR="007F3CAE" w:rsidTr="00AF70C9">
        <w:trPr>
          <w:trHeight w:val="419"/>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53</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定量移液器</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130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54</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移液器（8道）</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55</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瓶口分液器</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56</w:t>
            </w:r>
          </w:p>
        </w:tc>
        <w:tc>
          <w:tcPr>
            <w:tcW w:w="2660" w:type="dxa"/>
            <w:tcBorders>
              <w:top w:val="nil"/>
              <w:left w:val="nil"/>
              <w:bottom w:val="single" w:sz="4" w:space="0" w:color="auto"/>
              <w:right w:val="single" w:sz="4" w:space="0" w:color="auto"/>
            </w:tcBorders>
            <w:shd w:val="clear" w:color="000000" w:fill="FFFFFF"/>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离心机</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57</w:t>
            </w:r>
          </w:p>
        </w:tc>
        <w:tc>
          <w:tcPr>
            <w:tcW w:w="2660" w:type="dxa"/>
            <w:tcBorders>
              <w:top w:val="nil"/>
              <w:left w:val="nil"/>
              <w:bottom w:val="single" w:sz="4" w:space="0" w:color="auto"/>
              <w:right w:val="single" w:sz="4" w:space="0" w:color="auto"/>
            </w:tcBorders>
            <w:shd w:val="clear" w:color="000000" w:fill="FFFFFF"/>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酶标分析仪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770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58</w:t>
            </w:r>
          </w:p>
        </w:tc>
        <w:tc>
          <w:tcPr>
            <w:tcW w:w="2660" w:type="dxa"/>
            <w:tcBorders>
              <w:top w:val="nil"/>
              <w:left w:val="nil"/>
              <w:bottom w:val="single" w:sz="4" w:space="0" w:color="auto"/>
              <w:right w:val="single" w:sz="4" w:space="0" w:color="auto"/>
            </w:tcBorders>
            <w:shd w:val="clear" w:color="000000" w:fill="FFFFFF"/>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kern w:val="0"/>
                <w:sz w:val="24"/>
              </w:rPr>
              <w:t>显微镜</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59</w:t>
            </w:r>
          </w:p>
        </w:tc>
        <w:tc>
          <w:tcPr>
            <w:tcW w:w="2660" w:type="dxa"/>
            <w:tcBorders>
              <w:top w:val="nil"/>
              <w:left w:val="nil"/>
              <w:bottom w:val="single" w:sz="4" w:space="0" w:color="auto"/>
              <w:right w:val="single" w:sz="4" w:space="0" w:color="auto"/>
            </w:tcBorders>
            <w:shd w:val="clear" w:color="000000" w:fill="FFFFFF"/>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荧光显微镜</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1400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60</w:t>
            </w:r>
          </w:p>
        </w:tc>
        <w:tc>
          <w:tcPr>
            <w:tcW w:w="2660" w:type="dxa"/>
            <w:tcBorders>
              <w:top w:val="nil"/>
              <w:left w:val="nil"/>
              <w:bottom w:val="single" w:sz="4" w:space="0" w:color="auto"/>
              <w:right w:val="single" w:sz="4" w:space="0" w:color="auto"/>
            </w:tcBorders>
            <w:shd w:val="clear" w:color="000000" w:fill="FFFFFF"/>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分度吸量管</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61</w:t>
            </w:r>
          </w:p>
        </w:tc>
        <w:tc>
          <w:tcPr>
            <w:tcW w:w="2660" w:type="dxa"/>
            <w:tcBorders>
              <w:top w:val="nil"/>
              <w:left w:val="nil"/>
              <w:bottom w:val="single" w:sz="4" w:space="0" w:color="auto"/>
              <w:right w:val="single" w:sz="4" w:space="0" w:color="auto"/>
            </w:tcBorders>
            <w:shd w:val="clear" w:color="000000" w:fill="FFFFFF"/>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滴定管</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80</w:t>
            </w:r>
          </w:p>
        </w:tc>
      </w:tr>
      <w:tr w:rsidR="007F3CAE" w:rsidTr="00AF70C9">
        <w:trPr>
          <w:trHeight w:val="497"/>
          <w:jc w:val="center"/>
        </w:trPr>
        <w:tc>
          <w:tcPr>
            <w:tcW w:w="571" w:type="dxa"/>
            <w:tcBorders>
              <w:top w:val="nil"/>
              <w:left w:val="single" w:sz="4" w:space="0" w:color="auto"/>
              <w:bottom w:val="single" w:sz="4" w:space="0" w:color="auto"/>
              <w:right w:val="single" w:sz="4" w:space="0" w:color="auto"/>
            </w:tcBorders>
            <w:shd w:val="clear" w:color="auto" w:fill="auto"/>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62</w:t>
            </w:r>
          </w:p>
        </w:tc>
        <w:tc>
          <w:tcPr>
            <w:tcW w:w="2660" w:type="dxa"/>
            <w:tcBorders>
              <w:top w:val="nil"/>
              <w:left w:val="nil"/>
              <w:bottom w:val="single" w:sz="4" w:space="0" w:color="auto"/>
              <w:right w:val="single" w:sz="4" w:space="0" w:color="auto"/>
            </w:tcBorders>
            <w:shd w:val="clear" w:color="000000" w:fill="FFFFFF"/>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量筒</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w:t>
            </w:r>
          </w:p>
        </w:tc>
      </w:tr>
      <w:tr w:rsidR="007F3CAE" w:rsidTr="00AF70C9">
        <w:trPr>
          <w:trHeight w:val="402"/>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63</w:t>
            </w:r>
          </w:p>
        </w:tc>
        <w:tc>
          <w:tcPr>
            <w:tcW w:w="2660" w:type="dxa"/>
            <w:tcBorders>
              <w:top w:val="single" w:sz="4" w:space="0" w:color="auto"/>
              <w:left w:val="nil"/>
              <w:bottom w:val="single" w:sz="4" w:space="0" w:color="auto"/>
              <w:right w:val="single" w:sz="4" w:space="0" w:color="auto"/>
            </w:tcBorders>
            <w:shd w:val="clear" w:color="000000" w:fill="FFFFFF"/>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浮标式氧气吸入器</w:t>
            </w:r>
          </w:p>
        </w:tc>
        <w:tc>
          <w:tcPr>
            <w:tcW w:w="3029" w:type="dxa"/>
            <w:tcBorders>
              <w:top w:val="single" w:sz="4" w:space="0" w:color="auto"/>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single" w:sz="4" w:space="0" w:color="auto"/>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64</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中心供氧氧气吸入器</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35</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65</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医用彩色多普勒超声诊断仪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66</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医用超声诊断仪超声源</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67</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胎儿监护仪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68</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除颤仪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69</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注射泵（单通道）</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70</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注射泵（双通道）</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400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71</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kern w:val="0"/>
                <w:sz w:val="24"/>
              </w:rPr>
            </w:pPr>
            <w:r>
              <w:rPr>
                <w:rFonts w:ascii="仿宋" w:eastAsia="仿宋" w:hAnsi="仿宋" w:cs="仿宋" w:hint="eastAsia"/>
                <w:color w:val="000000"/>
                <w:kern w:val="0"/>
                <w:sz w:val="24"/>
              </w:rPr>
              <w:t>输液泵</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72</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高频电刀</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73</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呼吸机</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74</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婴儿培养箱</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75</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血液透析机</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76</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肺功能仪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lastRenderedPageBreak/>
              <w:t>77</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医用激光源</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360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78</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核磁共振成像系统</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5000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79</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高压灭菌器（压力部分）</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80</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高压灭菌器（安全阀）</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81</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安全阀</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120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82</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加速器</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3340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83</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治疗水平计量仪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kern w:val="0"/>
                <w:sz w:val="24"/>
              </w:rPr>
              <w:t xml:space="preserve">　</w:t>
            </w: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2900</w:t>
            </w:r>
          </w:p>
        </w:tc>
      </w:tr>
      <w:tr w:rsidR="007F3CAE" w:rsidTr="00AF70C9">
        <w:trPr>
          <w:trHeight w:val="402"/>
          <w:jc w:val="center"/>
        </w:trPr>
        <w:tc>
          <w:tcPr>
            <w:tcW w:w="571" w:type="dxa"/>
            <w:tcBorders>
              <w:top w:val="nil"/>
              <w:left w:val="single" w:sz="4" w:space="0" w:color="auto"/>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84</w:t>
            </w:r>
          </w:p>
        </w:tc>
        <w:tc>
          <w:tcPr>
            <w:tcW w:w="2660"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脉搏血氧仪</w:t>
            </w:r>
          </w:p>
        </w:tc>
        <w:tc>
          <w:tcPr>
            <w:tcW w:w="3029"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p>
        </w:tc>
        <w:tc>
          <w:tcPr>
            <w:tcW w:w="2257" w:type="dxa"/>
            <w:tcBorders>
              <w:top w:val="nil"/>
              <w:left w:val="nil"/>
              <w:bottom w:val="single" w:sz="4" w:space="0" w:color="auto"/>
              <w:right w:val="single" w:sz="4" w:space="0" w:color="auto"/>
            </w:tcBorders>
            <w:vAlign w:val="center"/>
          </w:tcPr>
          <w:p w:rsidR="007F3CAE" w:rsidRDefault="007F3CAE" w:rsidP="00AF70C9">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r>
    </w:tbl>
    <w:p w:rsidR="007F3CAE" w:rsidRDefault="007F3CAE" w:rsidP="007F3CAE"/>
    <w:p w:rsidR="007F3CAE" w:rsidRDefault="007F3CAE" w:rsidP="007F3CA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 xml:space="preserve">. </w:t>
      </w:r>
      <w:r>
        <w:rPr>
          <w:rFonts w:ascii="仿宋" w:eastAsia="仿宋" w:hAnsi="仿宋" w:hint="eastAsia"/>
          <w:sz w:val="24"/>
          <w:szCs w:val="24"/>
        </w:rPr>
        <w:t>商务要求</w:t>
      </w:r>
    </w:p>
    <w:p w:rsidR="007F3CAE" w:rsidRDefault="007F3CAE" w:rsidP="007F3CAE">
      <w:pPr>
        <w:spacing w:line="360" w:lineRule="auto"/>
        <w:ind w:firstLineChars="200" w:firstLine="480"/>
        <w:rPr>
          <w:rFonts w:ascii="仿宋" w:eastAsia="仿宋" w:hAnsi="仿宋" w:cs="仿宋"/>
          <w:sz w:val="24"/>
        </w:rPr>
      </w:pPr>
      <w:r>
        <w:rPr>
          <w:rFonts w:ascii="仿宋" w:eastAsia="仿宋" w:hAnsi="仿宋" w:cs="仿宋" w:hint="eastAsia"/>
          <w:sz w:val="24"/>
        </w:rPr>
        <w:t>1．服务期限及服务地点</w:t>
      </w:r>
    </w:p>
    <w:p w:rsidR="007F3CAE" w:rsidRDefault="007F3CAE" w:rsidP="007F3CAE">
      <w:pPr>
        <w:spacing w:line="360" w:lineRule="auto"/>
        <w:ind w:firstLineChars="200" w:firstLine="480"/>
        <w:rPr>
          <w:rFonts w:ascii="仿宋" w:eastAsia="仿宋" w:hAnsi="仿宋" w:cs="仿宋"/>
          <w:sz w:val="24"/>
        </w:rPr>
      </w:pPr>
      <w:r>
        <w:rPr>
          <w:rFonts w:ascii="仿宋" w:eastAsia="仿宋" w:hAnsi="仿宋" w:cs="仿宋" w:hint="eastAsia"/>
          <w:sz w:val="24"/>
        </w:rPr>
        <w:t>1.1 服务期限：合同签订之日起一年。</w:t>
      </w:r>
    </w:p>
    <w:p w:rsidR="007F3CAE" w:rsidRDefault="007F3CAE" w:rsidP="007F3CAE">
      <w:pPr>
        <w:spacing w:line="360" w:lineRule="auto"/>
        <w:ind w:firstLineChars="200" w:firstLine="480"/>
        <w:rPr>
          <w:rFonts w:ascii="仿宋" w:eastAsia="仿宋" w:hAnsi="仿宋" w:cs="仿宋"/>
          <w:sz w:val="24"/>
        </w:rPr>
      </w:pPr>
      <w:r>
        <w:rPr>
          <w:rFonts w:ascii="仿宋" w:eastAsia="仿宋" w:hAnsi="仿宋" w:cs="仿宋" w:hint="eastAsia"/>
          <w:sz w:val="24"/>
        </w:rPr>
        <w:t>1.2 服务地点: 成都市第七人民医院。</w:t>
      </w:r>
    </w:p>
    <w:p w:rsidR="007F3CAE" w:rsidRDefault="007F3CAE" w:rsidP="007F3CAE">
      <w:pPr>
        <w:spacing w:line="360" w:lineRule="auto"/>
        <w:ind w:firstLineChars="200" w:firstLine="480"/>
        <w:rPr>
          <w:rFonts w:ascii="仿宋" w:eastAsia="仿宋" w:hAnsi="仿宋" w:cs="仿宋"/>
          <w:sz w:val="24"/>
        </w:rPr>
      </w:pPr>
      <w:r>
        <w:rPr>
          <w:rFonts w:ascii="仿宋" w:eastAsia="仿宋" w:hAnsi="仿宋" w:cs="仿宋" w:hint="eastAsia"/>
          <w:sz w:val="24"/>
        </w:rPr>
        <w:t>2．付款方式：据实结算。按实际计量检测的计量器具清单和收费标准核计费用总额。结算前，计量检测单位须向采购人出具合法有效完整的完税发票及凭证资料，每年年底根据实际检测费用进行支付结算。</w:t>
      </w:r>
    </w:p>
    <w:p w:rsidR="007F3CAE" w:rsidRDefault="007F3CAE" w:rsidP="007F3CAE">
      <w:pPr>
        <w:spacing w:line="360" w:lineRule="auto"/>
        <w:ind w:firstLineChars="200" w:firstLine="480"/>
        <w:rPr>
          <w:rFonts w:ascii="仿宋" w:eastAsia="仿宋" w:hAnsi="仿宋" w:cs="仿宋"/>
          <w:sz w:val="24"/>
        </w:rPr>
      </w:pPr>
      <w:r>
        <w:rPr>
          <w:rFonts w:ascii="仿宋" w:eastAsia="仿宋" w:hAnsi="仿宋" w:cs="仿宋" w:hint="eastAsia"/>
          <w:sz w:val="24"/>
        </w:rPr>
        <w:t>3.报价方式：采用单项合计报价，各单项限价为各项最高限价；超过各单项最高限价的报价为无效报价；</w:t>
      </w:r>
    </w:p>
    <w:p w:rsidR="007F3CAE" w:rsidRDefault="007F3CAE" w:rsidP="007F3CAE">
      <w:pPr>
        <w:spacing w:line="360" w:lineRule="auto"/>
        <w:ind w:firstLineChars="200" w:firstLine="480"/>
        <w:rPr>
          <w:rFonts w:ascii="仿宋" w:eastAsia="仿宋" w:hAnsi="仿宋" w:cs="仿宋"/>
          <w:sz w:val="24"/>
        </w:rPr>
      </w:pPr>
      <w:r>
        <w:rPr>
          <w:rFonts w:ascii="仿宋" w:eastAsia="仿宋" w:hAnsi="仿宋" w:cs="仿宋" w:hint="eastAsia"/>
          <w:sz w:val="24"/>
        </w:rPr>
        <w:t>4.售后要求：计量检测单位根据采购人提供的计量器具造册登记信息，对需要送检或现场校准检测的计量器具，与采购人协调，及时安排送检和现场服务时间，至少提前14天通知采购人，采购人提前做好相应准备工作。对采购人新购器具和需修理的计量器具，计量检测单位优先安排以满足采购人的使用要求。</w:t>
      </w:r>
    </w:p>
    <w:p w:rsidR="007F3CAE" w:rsidRDefault="007F3CAE" w:rsidP="007F3CAE">
      <w:pPr>
        <w:pStyle w:val="2"/>
        <w:spacing w:line="360" w:lineRule="auto"/>
        <w:ind w:firstLineChars="200" w:firstLine="480"/>
        <w:rPr>
          <w:rFonts w:ascii="仿宋" w:eastAsia="仿宋" w:hAnsi="仿宋" w:cs="仿宋"/>
          <w:b w:val="0"/>
          <w:bCs w:val="0"/>
          <w:sz w:val="24"/>
          <w:szCs w:val="24"/>
        </w:rPr>
      </w:pPr>
      <w:r>
        <w:rPr>
          <w:rFonts w:ascii="仿宋" w:eastAsia="仿宋" w:hAnsi="仿宋" w:cs="仿宋" w:hint="eastAsia"/>
          <w:b w:val="0"/>
          <w:bCs w:val="0"/>
          <w:sz w:val="24"/>
          <w:szCs w:val="24"/>
        </w:rPr>
        <w:t>5.项目交付的时间和地点：计量检测单位检测完毕后，7个工作日内向采购人出具检定、校准或检测报告。报告领取地点：计量检测单位所在地客户服务中心或双方约定的地址。</w:t>
      </w:r>
    </w:p>
    <w:p w:rsidR="007F3CAE" w:rsidRDefault="007F3CAE" w:rsidP="007F3CAE">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技术</w:t>
      </w:r>
      <w:r>
        <w:rPr>
          <w:rFonts w:ascii="仿宋" w:eastAsia="仿宋" w:hAnsi="仿宋"/>
          <w:sz w:val="24"/>
          <w:szCs w:val="24"/>
        </w:rPr>
        <w:t>服务要求</w:t>
      </w:r>
      <w:bookmarkEnd w:id="1"/>
    </w:p>
    <w:p w:rsidR="007F3CAE" w:rsidRDefault="007F3CAE" w:rsidP="007F3CAE">
      <w:pPr>
        <w:spacing w:line="360" w:lineRule="auto"/>
        <w:ind w:firstLineChars="200" w:firstLine="480"/>
        <w:rPr>
          <w:rFonts w:ascii="仿宋" w:eastAsia="仿宋" w:hAnsi="仿宋" w:cs="仿宋"/>
          <w:sz w:val="24"/>
        </w:rPr>
      </w:pPr>
      <w:r>
        <w:rPr>
          <w:rFonts w:ascii="仿宋" w:eastAsia="仿宋" w:hAnsi="仿宋" w:cs="仿宋" w:hint="eastAsia"/>
          <w:sz w:val="24"/>
        </w:rPr>
        <w:t>★1、检测单位对检测项目应配备经考核合格的标准检测器具；对于量大的项目如环境试验设备（温度、湿度）项目、医用超声项目，医用输液泵、注射泵</w:t>
      </w:r>
      <w:r>
        <w:rPr>
          <w:rFonts w:ascii="仿宋" w:eastAsia="仿宋" w:hAnsi="仿宋" w:cs="仿宋" w:hint="eastAsia"/>
          <w:sz w:val="24"/>
        </w:rPr>
        <w:lastRenderedPageBreak/>
        <w:t>项目、氧气吸入器项目应具有五套以上标准器具。</w:t>
      </w:r>
    </w:p>
    <w:p w:rsidR="007F3CAE" w:rsidRDefault="007F3CAE" w:rsidP="007F3CAE">
      <w:pPr>
        <w:spacing w:line="360" w:lineRule="auto"/>
        <w:ind w:firstLineChars="200" w:firstLine="480"/>
        <w:rPr>
          <w:rFonts w:ascii="仿宋" w:eastAsia="仿宋" w:hAnsi="仿宋" w:cs="仿宋"/>
          <w:sz w:val="24"/>
        </w:rPr>
      </w:pPr>
      <w:r>
        <w:rPr>
          <w:rFonts w:ascii="仿宋" w:eastAsia="仿宋" w:hAnsi="仿宋" w:cs="仿宋" w:hint="eastAsia"/>
          <w:sz w:val="24"/>
        </w:rPr>
        <w:t>★2、检测单位对检测项目应配备具有计量检定员证书或者拥有计量专业项目考核合格证明的注册计量师证的专业技术人员2人以上；对于量大的项目如环境试验设备（温度、湿度）项目、医用超声项目，医用输液泵、注射泵项目、氧气吸入器项目应配备具有计量检定员证书或者拥有计量专业项目考核合格证明的注册计量师证的专业技术人员5人以上。</w:t>
      </w:r>
    </w:p>
    <w:p w:rsidR="007F3CAE" w:rsidRDefault="007F3CAE" w:rsidP="007F3CAE">
      <w:pPr>
        <w:spacing w:line="360" w:lineRule="auto"/>
        <w:ind w:firstLineChars="200" w:firstLine="480"/>
        <w:rPr>
          <w:rFonts w:ascii="仿宋" w:eastAsia="仿宋" w:hAnsi="仿宋" w:cs="仿宋"/>
          <w:sz w:val="24"/>
        </w:rPr>
      </w:pPr>
      <w:r>
        <w:rPr>
          <w:rFonts w:ascii="仿宋" w:eastAsia="仿宋" w:hAnsi="仿宋" w:cs="仿宋" w:hint="eastAsia"/>
          <w:sz w:val="24"/>
        </w:rPr>
        <w:t>★3、检测单位自身需具备能覆盖采购人所需检测项目95%以上的检测资质和能力；并提供检测项目的社会公用计量标准证书，传递地区或范围为成都行政区域。</w:t>
      </w:r>
    </w:p>
    <w:p w:rsidR="007F3CAE" w:rsidRDefault="007F3CAE" w:rsidP="007F3CAE">
      <w:pPr>
        <w:pStyle w:val="a5"/>
        <w:spacing w:line="400" w:lineRule="exact"/>
        <w:ind w:firstLineChars="175" w:firstLine="420"/>
        <w:rPr>
          <w:rFonts w:ascii="仿宋" w:eastAsia="仿宋" w:hAnsi="仿宋"/>
          <w:b/>
          <w:bCs/>
          <w:sz w:val="24"/>
        </w:rPr>
      </w:pPr>
      <w:r>
        <w:rPr>
          <w:rFonts w:ascii="仿宋" w:eastAsia="仿宋" w:hAnsi="仿宋" w:cs="仿宋" w:hint="eastAsia"/>
          <w:sz w:val="24"/>
        </w:rPr>
        <w:t>4、医院提出检测需求后及时进行检测并在完成检测后7个工作日内出具符合国家相关规定的检测报告。</w:t>
      </w:r>
    </w:p>
    <w:p w:rsidR="007F3CAE" w:rsidRDefault="007F3CAE" w:rsidP="007F3CAE">
      <w:pPr>
        <w:pStyle w:val="a5"/>
        <w:spacing w:line="400" w:lineRule="exact"/>
        <w:ind w:firstLineChars="175" w:firstLine="422"/>
        <w:rPr>
          <w:rFonts w:ascii="仿宋" w:eastAsia="仿宋" w:hAnsi="仿宋"/>
          <w:b/>
          <w:bCs/>
          <w:sz w:val="24"/>
        </w:rPr>
      </w:pPr>
    </w:p>
    <w:p w:rsidR="007F3CAE" w:rsidRDefault="007F3CAE" w:rsidP="007F3CAE">
      <w:pPr>
        <w:pStyle w:val="1"/>
        <w:spacing w:line="400" w:lineRule="exact"/>
        <w:jc w:val="center"/>
        <w:rPr>
          <w:rFonts w:ascii="仿宋" w:eastAsia="仿宋" w:hAnsi="仿宋"/>
          <w:sz w:val="36"/>
          <w:szCs w:val="36"/>
        </w:rPr>
        <w:sectPr w:rsidR="007F3CAE">
          <w:pgSz w:w="11906" w:h="16838"/>
          <w:pgMar w:top="1440" w:right="1800" w:bottom="1440" w:left="1800" w:header="851" w:footer="992" w:gutter="0"/>
          <w:cols w:space="720"/>
          <w:docGrid w:type="lines" w:linePitch="312"/>
        </w:sectPr>
      </w:pPr>
    </w:p>
    <w:p w:rsidR="003F6DFE" w:rsidRPr="007F3CAE" w:rsidRDefault="003F6DFE">
      <w:bookmarkStart w:id="2" w:name="_GoBack"/>
      <w:bookmarkEnd w:id="2"/>
    </w:p>
    <w:sectPr w:rsidR="003F6DFE" w:rsidRPr="007F3C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7B5" w:rsidRDefault="003507B5" w:rsidP="007F3CAE">
      <w:r>
        <w:separator/>
      </w:r>
    </w:p>
  </w:endnote>
  <w:endnote w:type="continuationSeparator" w:id="0">
    <w:p w:rsidR="003507B5" w:rsidRDefault="003507B5" w:rsidP="007F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7B5" w:rsidRDefault="003507B5" w:rsidP="007F3CAE">
      <w:r>
        <w:separator/>
      </w:r>
    </w:p>
  </w:footnote>
  <w:footnote w:type="continuationSeparator" w:id="0">
    <w:p w:rsidR="003507B5" w:rsidRDefault="003507B5" w:rsidP="007F3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DC"/>
    <w:rsid w:val="002F48DC"/>
    <w:rsid w:val="003507B5"/>
    <w:rsid w:val="003F6DFE"/>
    <w:rsid w:val="007F3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3E94F-C4AF-4BF7-9E47-62A88162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7F3CAE"/>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7F3CAE"/>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C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CAE"/>
    <w:rPr>
      <w:sz w:val="18"/>
      <w:szCs w:val="18"/>
    </w:rPr>
  </w:style>
  <w:style w:type="paragraph" w:styleId="a4">
    <w:name w:val="footer"/>
    <w:basedOn w:val="a"/>
    <w:link w:val="Char0"/>
    <w:uiPriority w:val="99"/>
    <w:unhideWhenUsed/>
    <w:rsid w:val="007F3CAE"/>
    <w:pPr>
      <w:tabs>
        <w:tab w:val="center" w:pos="4153"/>
        <w:tab w:val="right" w:pos="8306"/>
      </w:tabs>
      <w:snapToGrid w:val="0"/>
      <w:jc w:val="left"/>
    </w:pPr>
    <w:rPr>
      <w:sz w:val="18"/>
      <w:szCs w:val="18"/>
    </w:rPr>
  </w:style>
  <w:style w:type="character" w:customStyle="1" w:styleId="Char0">
    <w:name w:val="页脚 Char"/>
    <w:basedOn w:val="a0"/>
    <w:link w:val="a4"/>
    <w:uiPriority w:val="99"/>
    <w:rsid w:val="007F3CAE"/>
    <w:rPr>
      <w:sz w:val="18"/>
      <w:szCs w:val="18"/>
    </w:rPr>
  </w:style>
  <w:style w:type="character" w:customStyle="1" w:styleId="1Char">
    <w:name w:val="标题 1 Char"/>
    <w:basedOn w:val="a0"/>
    <w:link w:val="1"/>
    <w:qFormat/>
    <w:rsid w:val="007F3CAE"/>
    <w:rPr>
      <w:rFonts w:ascii="Calibri" w:eastAsia="宋体" w:hAnsi="Calibri" w:cs="Times New Roman"/>
      <w:b/>
      <w:bCs/>
      <w:kern w:val="44"/>
      <w:sz w:val="44"/>
      <w:szCs w:val="44"/>
    </w:rPr>
  </w:style>
  <w:style w:type="character" w:customStyle="1" w:styleId="2Char">
    <w:name w:val="标题 2 Char"/>
    <w:basedOn w:val="a0"/>
    <w:link w:val="2"/>
    <w:rsid w:val="007F3CAE"/>
    <w:rPr>
      <w:rFonts w:ascii="Arial" w:eastAsia="黑体" w:hAnsi="Arial" w:cs="Times New Roman"/>
      <w:b/>
      <w:bCs/>
      <w:sz w:val="32"/>
      <w:szCs w:val="32"/>
    </w:rPr>
  </w:style>
  <w:style w:type="paragraph" w:styleId="a5">
    <w:name w:val="Normal Indent"/>
    <w:basedOn w:val="a"/>
    <w:qFormat/>
    <w:rsid w:val="007F3CAE"/>
    <w:pPr>
      <w:spacing w:after="160" w:line="259" w:lineRule="auto"/>
      <w:ind w:firstLineChars="200" w:firstLine="200"/>
    </w:pPr>
    <w:rPr>
      <w:rFonts w:ascii="Calibri" w:eastAsia="宋体" w:hAnsi="Calibri" w:cs="Times New Roman"/>
      <w:szCs w:val="24"/>
    </w:rPr>
  </w:style>
  <w:style w:type="paragraph" w:styleId="a6">
    <w:name w:val="annotation text"/>
    <w:basedOn w:val="a"/>
    <w:link w:val="Char1"/>
    <w:qFormat/>
    <w:rsid w:val="007F3CAE"/>
    <w:pPr>
      <w:spacing w:after="160" w:line="259" w:lineRule="auto"/>
      <w:jc w:val="left"/>
    </w:pPr>
    <w:rPr>
      <w:rFonts w:ascii="Calibri" w:eastAsia="宋体" w:hAnsi="Calibri" w:cs="Times New Roman"/>
      <w:szCs w:val="24"/>
    </w:rPr>
  </w:style>
  <w:style w:type="character" w:customStyle="1" w:styleId="Char1">
    <w:name w:val="批注文字 Char"/>
    <w:basedOn w:val="a0"/>
    <w:link w:val="a6"/>
    <w:qFormat/>
    <w:rsid w:val="007F3CAE"/>
    <w:rPr>
      <w:rFonts w:ascii="Calibri" w:eastAsia="宋体" w:hAnsi="Calibri" w:cs="Times New Roman"/>
      <w:szCs w:val="24"/>
    </w:rPr>
  </w:style>
  <w:style w:type="table" w:styleId="a7">
    <w:name w:val="Table Grid"/>
    <w:basedOn w:val="a1"/>
    <w:qFormat/>
    <w:rsid w:val="007F3CA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413</Words>
  <Characters>2360</Characters>
  <Application>Microsoft Office Word</Application>
  <DocSecurity>0</DocSecurity>
  <Lines>19</Lines>
  <Paragraphs>5</Paragraphs>
  <ScaleCrop>false</ScaleCrop>
  <Company>Microsoft</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2021-09-08T05:51:00Z</dcterms:created>
  <dcterms:modified xsi:type="dcterms:W3CDTF">2021-09-08T05:52:00Z</dcterms:modified>
</cp:coreProperties>
</file>