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F3" w:rsidRDefault="003D7EF3" w:rsidP="003D7EF3">
      <w:pPr>
        <w:pStyle w:val="a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采购项目技术、服务、政府采购合同内容条款及其他商务要求</w:t>
      </w:r>
    </w:p>
    <w:p w:rsidR="003D7EF3" w:rsidRDefault="003D7EF3" w:rsidP="003D7EF3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 w:hint="eastAsia"/>
          <w:sz w:val="24"/>
          <w:szCs w:val="24"/>
        </w:rPr>
      </w:pPr>
      <w:bookmarkStart w:id="0" w:name="PO_默认文件内容_27"/>
      <w:r>
        <w:rPr>
          <w:rFonts w:ascii="仿宋" w:eastAsia="仿宋" w:hAnsi="仿宋" w:hint="eastAsia"/>
          <w:sz w:val="24"/>
          <w:szCs w:val="24"/>
        </w:rPr>
        <w:t>前提：本章采购需求中标注“*”号的条款为本次磋商采购项目的实质性要求，供应商应全部满足。</w:t>
      </w:r>
    </w:p>
    <w:p w:rsidR="003D7EF3" w:rsidRDefault="003D7EF3" w:rsidP="003D7EF3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.项目概述</w:t>
      </w:r>
    </w:p>
    <w:p w:rsidR="003D7EF3" w:rsidRDefault="003D7EF3" w:rsidP="003D7EF3">
      <w:pPr>
        <w:pStyle w:val="a3"/>
        <w:spacing w:line="400" w:lineRule="exact"/>
        <w:ind w:firstLine="480"/>
        <w:rPr>
          <w:rFonts w:ascii="仿宋" w:eastAsia="仿宋" w:hAnsi="仿宋" w:hint="eastAsia"/>
          <w:spacing w:val="-4"/>
          <w:sz w:val="24"/>
        </w:rPr>
      </w:pPr>
      <w:r>
        <w:rPr>
          <w:rFonts w:ascii="仿宋" w:eastAsia="仿宋" w:hAnsi="仿宋" w:hint="eastAsia"/>
          <w:bCs/>
          <w:sz w:val="24"/>
        </w:rPr>
        <w:t>1、为深入贯彻党的十九大提出的“建设知识型、技能型、创新型劳动者大军，营造劳动光荣的社会风尚和精益求精的敬业风气”等相关精神，积极实施《康养职业技能培训计划》，通过举办四川省康养发展高峰论坛暨</w:t>
      </w:r>
      <w:proofErr w:type="gramStart"/>
      <w:r>
        <w:rPr>
          <w:rFonts w:ascii="仿宋" w:eastAsia="仿宋" w:hAnsi="仿宋" w:hint="eastAsia"/>
          <w:bCs/>
          <w:sz w:val="24"/>
        </w:rPr>
        <w:t>首届康养护理职业</w:t>
      </w:r>
      <w:proofErr w:type="gramEnd"/>
      <w:r>
        <w:rPr>
          <w:rFonts w:ascii="仿宋" w:eastAsia="仿宋" w:hAnsi="仿宋" w:hint="eastAsia"/>
          <w:bCs/>
          <w:sz w:val="24"/>
        </w:rPr>
        <w:t>技能大赛开幕仪式，全面整合四川康养产业资源、人才培养资源和智库专家资源，全域营造劳动光荣、技能宝贵、创造伟大的社会风尚，全心打造享誉全国的“天府工匠”，全力助推四川康养产业高质量发展。温江区拟于下半年开展四川省康养发展高峰论坛暨</w:t>
      </w:r>
      <w:proofErr w:type="gramStart"/>
      <w:r>
        <w:rPr>
          <w:rFonts w:ascii="仿宋" w:eastAsia="仿宋" w:hAnsi="仿宋" w:hint="eastAsia"/>
          <w:bCs/>
          <w:sz w:val="24"/>
        </w:rPr>
        <w:t>首届康养护理职业</w:t>
      </w:r>
      <w:proofErr w:type="gramEnd"/>
      <w:r>
        <w:rPr>
          <w:rFonts w:ascii="仿宋" w:eastAsia="仿宋" w:hAnsi="仿宋" w:hint="eastAsia"/>
          <w:bCs/>
          <w:sz w:val="24"/>
        </w:rPr>
        <w:t>技能大赛开幕仪式活动</w:t>
      </w:r>
      <w:r>
        <w:rPr>
          <w:rFonts w:ascii="仿宋" w:eastAsia="仿宋" w:hAnsi="仿宋" w:hint="eastAsia"/>
          <w:spacing w:val="-4"/>
          <w:sz w:val="24"/>
        </w:rPr>
        <w:t>。</w:t>
      </w:r>
    </w:p>
    <w:p w:rsidR="003D7EF3" w:rsidRDefault="003D7EF3" w:rsidP="003D7EF3">
      <w:pPr>
        <w:pStyle w:val="a3"/>
        <w:spacing w:line="400" w:lineRule="exact"/>
        <w:ind w:firstLine="464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spacing w:val="-4"/>
          <w:sz w:val="24"/>
        </w:rPr>
        <w:t>2、采购标的名称及所属行业：</w:t>
      </w:r>
      <w:r>
        <w:rPr>
          <w:rFonts w:ascii="仿宋" w:eastAsia="仿宋" w:hAnsi="仿宋" w:hint="eastAsia"/>
          <w:sz w:val="24"/>
        </w:rPr>
        <w:t>四川省康养发展高峰论坛服务外包，</w:t>
      </w:r>
      <w:r>
        <w:rPr>
          <w:rFonts w:ascii="仿宋" w:eastAsia="仿宋" w:hAnsi="仿宋" w:hint="eastAsia"/>
          <w:spacing w:val="-4"/>
          <w:sz w:val="24"/>
        </w:rPr>
        <w:t>其他未列明行业。</w:t>
      </w:r>
    </w:p>
    <w:p w:rsidR="003D7EF3" w:rsidRDefault="003D7EF3" w:rsidP="003D7EF3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*二.商务要求</w:t>
      </w:r>
    </w:p>
    <w:p w:rsidR="003D7EF3" w:rsidRDefault="003D7EF3" w:rsidP="003D7EF3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（一）服务时间：2021年9月底前完成。</w:t>
      </w:r>
    </w:p>
    <w:p w:rsidR="003D7EF3" w:rsidRDefault="003D7EF3" w:rsidP="003D7EF3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（二）服务地点：温江区。</w:t>
      </w:r>
    </w:p>
    <w:p w:rsidR="003D7EF3" w:rsidRDefault="003D7EF3" w:rsidP="003D7EF3">
      <w:pPr>
        <w:pStyle w:val="a3"/>
        <w:spacing w:line="400" w:lineRule="exact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bCs/>
          <w:sz w:val="24"/>
        </w:rPr>
        <w:t>（三）付款方式及条件：</w:t>
      </w:r>
      <w:r>
        <w:rPr>
          <w:rFonts w:ascii="仿宋" w:eastAsia="仿宋" w:hAnsi="仿宋" w:hint="eastAsia"/>
          <w:sz w:val="24"/>
        </w:rPr>
        <w:t xml:space="preserve">合同签订后 10 </w:t>
      </w:r>
      <w:proofErr w:type="gramStart"/>
      <w:r>
        <w:rPr>
          <w:rFonts w:ascii="仿宋" w:eastAsia="仿宋" w:hAnsi="仿宋" w:hint="eastAsia"/>
          <w:sz w:val="24"/>
        </w:rPr>
        <w:t>个</w:t>
      </w:r>
      <w:proofErr w:type="gramEnd"/>
      <w:r>
        <w:rPr>
          <w:rFonts w:ascii="仿宋" w:eastAsia="仿宋" w:hAnsi="仿宋" w:hint="eastAsia"/>
          <w:sz w:val="24"/>
        </w:rPr>
        <w:t>工作日内支付合同金额的 30%作为预付款；活动完毕并经验收合格后支付余下 70%，购单位应当自收到发票后20日内将资金支付到合同约定的供应商账户。</w:t>
      </w:r>
    </w:p>
    <w:p w:rsidR="003D7EF3" w:rsidRDefault="003D7EF3" w:rsidP="003D7EF3">
      <w:pPr>
        <w:pStyle w:val="a3"/>
        <w:spacing w:line="400" w:lineRule="exact"/>
        <w:ind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（四）验收：</w:t>
      </w:r>
    </w:p>
    <w:p w:rsidR="003D7EF3" w:rsidRDefault="003D7EF3" w:rsidP="003D7EF3">
      <w:pPr>
        <w:pStyle w:val="a3"/>
        <w:spacing w:line="360" w:lineRule="auto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1.本项目采购人将严格按照《财政部关于进一步加强政府采购需求和履约验收管理的指导意见》（财库〔2016〕205 号）的要求进行验收。</w:t>
      </w:r>
    </w:p>
    <w:p w:rsidR="003D7EF3" w:rsidRDefault="003D7EF3" w:rsidP="003D7EF3">
      <w:pPr>
        <w:pStyle w:val="a3"/>
        <w:spacing w:line="360" w:lineRule="auto"/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2.验收标准：按本项目国家及地方有关规定，以及磋商文件的相关质量要求和技术指标、供应商的响应文件及承诺与本项目合同约定标准进行验收。</w:t>
      </w:r>
    </w:p>
    <w:p w:rsidR="003D7EF3" w:rsidRDefault="003D7EF3" w:rsidP="003D7EF3">
      <w:pPr>
        <w:pStyle w:val="2"/>
        <w:spacing w:line="40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三.技术服务要求</w:t>
      </w:r>
    </w:p>
    <w:bookmarkEnd w:id="0"/>
    <w:p w:rsidR="003D7EF3" w:rsidRDefault="003D7EF3" w:rsidP="003D7EF3">
      <w:pPr>
        <w:spacing w:line="400" w:lineRule="exact"/>
        <w:outlineLvl w:val="2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</w:rPr>
        <w:t>*（一）服务内容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策划组织“四川省康养发展高峰论坛”活动，主要包含专家主题演讲、圆桌</w:t>
      </w:r>
      <w:r>
        <w:rPr>
          <w:rFonts w:ascii="仿宋" w:eastAsia="仿宋" w:hAnsi="仿宋" w:hint="eastAsia"/>
          <w:bCs/>
          <w:sz w:val="24"/>
        </w:rPr>
        <w:lastRenderedPageBreak/>
        <w:t>嘉宾交流、颁发聘书、合作签约、节目表演等环节。</w:t>
      </w:r>
    </w:p>
    <w:p w:rsidR="003D7EF3" w:rsidRDefault="003D7EF3" w:rsidP="003D7EF3">
      <w:pPr>
        <w:spacing w:line="400" w:lineRule="exact"/>
        <w:outlineLvl w:val="2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（二）服务要求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1.活动场地：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活动场地应交通便利、停车方便，适合举办大型峰会论坛，同时要满足疫情防控需要，可容纳380人（每人相隔1米）。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2.场地布置：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场地布置应简洁大方、活动主题突出、展现四川康养事业发展成果氛围营造效果较好，提供桁架、道旗、展示展板等氛围营造物料，提供较高水准的灯光舞美音效等。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3.专家邀请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邀请全国具有代表性、影响力的康养行业专家、教授、研究学者、行业代表等作为论坛演讲嘉宾、圆桌分享嘉宾出席活动，并进行相关主题的讲话。（邀请专家需具有代表性，</w:t>
      </w:r>
      <w:proofErr w:type="gramStart"/>
      <w:r>
        <w:rPr>
          <w:rFonts w:ascii="仿宋" w:eastAsia="仿宋" w:hAnsi="仿宋" w:hint="eastAsia"/>
          <w:sz w:val="24"/>
        </w:rPr>
        <w:t>如人社部</w:t>
      </w:r>
      <w:proofErr w:type="gramEnd"/>
      <w:r>
        <w:rPr>
          <w:rFonts w:ascii="仿宋" w:eastAsia="仿宋" w:hAnsi="仿宋" w:hint="eastAsia"/>
          <w:sz w:val="24"/>
        </w:rPr>
        <w:t>相关人才研究专家，清华大学、人民大学等国内高等学府专家代表，省内四川大学、西南交通大学、西南财经大学等相关专家。行业嘉宾需地域广泛，省内外均有代表。）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4.演出节目：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提供能展现四川康养行业发展、康养人才风采的创意表演节目1个。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5.媒体宣发：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需在不少于10家主流媒体宣发活动相关信息，媒体类型包含央级、省级、市级等。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6.活动物料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制作380份左右会务资料，包含定制手提袋、会议议程单、</w:t>
      </w:r>
      <w:proofErr w:type="gramStart"/>
      <w:r>
        <w:rPr>
          <w:rFonts w:ascii="仿宋" w:eastAsia="仿宋" w:hAnsi="仿宋" w:hint="eastAsia"/>
          <w:sz w:val="24"/>
        </w:rPr>
        <w:t>伴手礼</w:t>
      </w:r>
      <w:proofErr w:type="gramEnd"/>
      <w:r>
        <w:rPr>
          <w:rFonts w:ascii="仿宋" w:eastAsia="仿宋" w:hAnsi="仿宋" w:hint="eastAsia"/>
          <w:sz w:val="24"/>
        </w:rPr>
        <w:t>等。论坛现场需准备满足会务所需的茶点，其他印刷品包含主持人手卡、活动舞台地贴、话筒标、邀请函等。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7.主持人及礼仪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主持人1人，应具有主持大型政府活动丰富经验，川台、成都电视台主持人优先；礼仪8名，包含服装、化妆、身高170以上（签到、接待、指引等）。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8.视频制作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拍摄制作活动当天专题视频2个，一个2分钟左右，一个1分钟内，在视频号、</w:t>
      </w:r>
      <w:proofErr w:type="gramStart"/>
      <w:r>
        <w:rPr>
          <w:rFonts w:ascii="仿宋" w:eastAsia="仿宋" w:hAnsi="仿宋" w:hint="eastAsia"/>
          <w:sz w:val="24"/>
        </w:rPr>
        <w:t>微信公众号</w:t>
      </w:r>
      <w:proofErr w:type="gramEnd"/>
      <w:r>
        <w:rPr>
          <w:rFonts w:ascii="仿宋" w:eastAsia="仿宋" w:hAnsi="仿宋" w:hint="eastAsia"/>
          <w:sz w:val="24"/>
        </w:rPr>
        <w:t>、新闻客户端等多平台推送；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9.直播服务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活动需提供视频直播服务，视频直播现场需至少两个机位；同时需提供图片直播服务，</w:t>
      </w:r>
      <w:proofErr w:type="gramStart"/>
      <w:r>
        <w:rPr>
          <w:rFonts w:ascii="仿宋" w:eastAsia="仿宋" w:hAnsi="仿宋" w:hint="eastAsia"/>
          <w:sz w:val="24"/>
        </w:rPr>
        <w:t>配专业</w:t>
      </w:r>
      <w:proofErr w:type="gramEnd"/>
      <w:r>
        <w:rPr>
          <w:rFonts w:ascii="仿宋" w:eastAsia="仿宋" w:hAnsi="仿宋" w:hint="eastAsia"/>
          <w:sz w:val="24"/>
        </w:rPr>
        <w:t>摄影摄像师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10.参会人员食宿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为部分论坛参会人员提供住宿和用餐，需住宿和用餐服务的参会人员包含外地专家学者、省内地市州参会代表，住宿人数在100人左右，用餐人数180人左右。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11.租车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为活动点</w:t>
      </w:r>
      <w:proofErr w:type="gramStart"/>
      <w:r>
        <w:rPr>
          <w:rFonts w:ascii="仿宋" w:eastAsia="仿宋" w:hAnsi="仿宋" w:hint="eastAsia"/>
          <w:sz w:val="24"/>
        </w:rPr>
        <w:t>位参观</w:t>
      </w:r>
      <w:proofErr w:type="gramEnd"/>
      <w:r>
        <w:rPr>
          <w:rFonts w:ascii="仿宋" w:eastAsia="仿宋" w:hAnsi="仿宋" w:hint="eastAsia"/>
          <w:sz w:val="24"/>
        </w:rPr>
        <w:t>环节提供租车服务，根据点</w:t>
      </w:r>
      <w:proofErr w:type="gramStart"/>
      <w:r>
        <w:rPr>
          <w:rFonts w:ascii="仿宋" w:eastAsia="仿宋" w:hAnsi="仿宋" w:hint="eastAsia"/>
          <w:sz w:val="24"/>
        </w:rPr>
        <w:t>位参观</w:t>
      </w:r>
      <w:proofErr w:type="gramEnd"/>
      <w:r>
        <w:rPr>
          <w:rFonts w:ascii="仿宋" w:eastAsia="仿宋" w:hAnsi="仿宋" w:hint="eastAsia"/>
          <w:sz w:val="24"/>
        </w:rPr>
        <w:t>人数租赁相应数量大巴车。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12.工作人员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为本次论坛提供包含报名统计、会务接待、点位参观、现场组织、志愿服务等各大环节的工作人员。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13.其它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为达到活动目的，如需增加的其他服务项目，总报价应在最高限价内。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14、项目质量要求</w:t>
      </w:r>
    </w:p>
    <w:p w:rsidR="003D7EF3" w:rsidRDefault="003D7EF3" w:rsidP="003D7EF3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项目主要负责人对项目质量负责，严格按相关政策文件及采购人实际工作需求实现项目功能，项目实施过程中采购人有权对该项工作进展情况进行检查。</w:t>
      </w:r>
    </w:p>
    <w:p w:rsidR="00073070" w:rsidRPr="003D7EF3" w:rsidRDefault="003D7EF3" w:rsidP="003D7EF3">
      <w:pPr>
        <w:rPr>
          <w:rFonts w:hint="eastAsia"/>
        </w:rPr>
      </w:pPr>
      <w:r>
        <w:rPr>
          <w:rFonts w:ascii="仿宋" w:eastAsia="仿宋" w:hAnsi="仿宋" w:hint="eastAsia"/>
          <w:sz w:val="24"/>
        </w:rPr>
        <w:br w:type="page"/>
      </w:r>
      <w:bookmarkStart w:id="1" w:name="_GoBack"/>
      <w:bookmarkEnd w:id="1"/>
    </w:p>
    <w:sectPr w:rsidR="00073070" w:rsidRPr="003D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6"/>
    <w:rsid w:val="00073070"/>
    <w:rsid w:val="003D7EF3"/>
    <w:rsid w:val="004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3D7EF3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qFormat/>
    <w:rsid w:val="003D7EF3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缩进 Char"/>
    <w:link w:val="a3"/>
    <w:semiHidden/>
    <w:qFormat/>
    <w:locked/>
    <w:rsid w:val="003D7EF3"/>
    <w:rPr>
      <w:szCs w:val="24"/>
    </w:rPr>
  </w:style>
  <w:style w:type="paragraph" w:styleId="a3">
    <w:name w:val="Normal Indent"/>
    <w:basedOn w:val="a"/>
    <w:link w:val="Char"/>
    <w:semiHidden/>
    <w:unhideWhenUsed/>
    <w:qFormat/>
    <w:rsid w:val="003D7EF3"/>
    <w:pPr>
      <w:ind w:firstLineChars="200" w:firstLine="420"/>
    </w:pPr>
    <w:rPr>
      <w:szCs w:val="24"/>
    </w:rPr>
  </w:style>
  <w:style w:type="paragraph" w:styleId="a4">
    <w:name w:val="Title"/>
    <w:basedOn w:val="a"/>
    <w:next w:val="a"/>
    <w:link w:val="Char0"/>
    <w:uiPriority w:val="10"/>
    <w:qFormat/>
    <w:rsid w:val="003D7E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3D7EF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3D7EF3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qFormat/>
    <w:rsid w:val="003D7EF3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缩进 Char"/>
    <w:link w:val="a3"/>
    <w:semiHidden/>
    <w:qFormat/>
    <w:locked/>
    <w:rsid w:val="003D7EF3"/>
    <w:rPr>
      <w:szCs w:val="24"/>
    </w:rPr>
  </w:style>
  <w:style w:type="paragraph" w:styleId="a3">
    <w:name w:val="Normal Indent"/>
    <w:basedOn w:val="a"/>
    <w:link w:val="Char"/>
    <w:semiHidden/>
    <w:unhideWhenUsed/>
    <w:qFormat/>
    <w:rsid w:val="003D7EF3"/>
    <w:pPr>
      <w:ind w:firstLineChars="200" w:firstLine="420"/>
    </w:pPr>
    <w:rPr>
      <w:szCs w:val="24"/>
    </w:rPr>
  </w:style>
  <w:style w:type="paragraph" w:styleId="a4">
    <w:name w:val="Title"/>
    <w:basedOn w:val="a"/>
    <w:next w:val="a"/>
    <w:link w:val="Char0"/>
    <w:uiPriority w:val="10"/>
    <w:qFormat/>
    <w:rsid w:val="003D7E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3D7EF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1435</Characters>
  <Application>Microsoft Office Word</Application>
  <DocSecurity>0</DocSecurity>
  <Lines>11</Lines>
  <Paragraphs>3</Paragraphs>
  <ScaleCrop>false</ScaleCrop>
  <Company>china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2021-08-31T06:23:00Z</dcterms:created>
  <dcterms:modified xsi:type="dcterms:W3CDTF">2021-08-31T06:27:00Z</dcterms:modified>
</cp:coreProperties>
</file>