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8E" w:rsidRPr="00390B8E" w:rsidRDefault="00390B8E" w:rsidP="00390B8E">
      <w:pPr>
        <w:keepNext/>
        <w:keepLines/>
        <w:spacing w:before="340" w:after="330" w:line="578" w:lineRule="auto"/>
        <w:jc w:val="center"/>
        <w:outlineLvl w:val="0"/>
        <w:rPr>
          <w:rFonts w:ascii="仿宋" w:eastAsia="仿宋" w:hAnsi="仿宋" w:cs="Times New Roman"/>
          <w:b/>
          <w:bCs/>
          <w:color w:val="000000"/>
          <w:kern w:val="44"/>
          <w:sz w:val="36"/>
          <w:szCs w:val="36"/>
        </w:rPr>
      </w:pPr>
      <w:r w:rsidRPr="00390B8E">
        <w:rPr>
          <w:rFonts w:ascii="仿宋" w:eastAsia="仿宋" w:hAnsi="仿宋" w:cs="Times New Roman" w:hint="eastAsia"/>
          <w:b/>
          <w:bCs/>
          <w:color w:val="000000"/>
          <w:kern w:val="44"/>
          <w:sz w:val="36"/>
          <w:szCs w:val="36"/>
        </w:rPr>
        <w:t>招标项目技术、服务、政府采购合同内容条款及其他商务要求</w:t>
      </w:r>
    </w:p>
    <w:p w:rsidR="00390B8E" w:rsidRPr="00390B8E" w:rsidRDefault="00390B8E" w:rsidP="00390B8E">
      <w:pPr>
        <w:spacing w:after="160" w:line="400" w:lineRule="exact"/>
        <w:ind w:firstLineChars="98" w:firstLine="235"/>
        <w:rPr>
          <w:rFonts w:ascii="仿宋" w:eastAsia="仿宋" w:hAnsi="仿宋" w:cs="Times New Roman"/>
          <w:color w:val="000000"/>
          <w:sz w:val="24"/>
          <w:szCs w:val="24"/>
        </w:rPr>
      </w:pPr>
      <w:bookmarkStart w:id="0" w:name="_Toc217446094"/>
      <w:r w:rsidRPr="00390B8E">
        <w:rPr>
          <w:rFonts w:ascii="仿宋" w:eastAsia="仿宋" w:hAnsi="仿宋" w:cs="Times New Roman" w:hint="eastAsia"/>
          <w:color w:val="000000"/>
          <w:sz w:val="24"/>
          <w:szCs w:val="24"/>
        </w:rPr>
        <w:t>前提：本章中标注“*”的条款为本项目的实质性条款，投标人不满足的，将按照无效投标处理。</w:t>
      </w:r>
      <w:bookmarkEnd w:id="0"/>
    </w:p>
    <w:p w:rsidR="00390B8E" w:rsidRPr="00390B8E" w:rsidRDefault="00390B8E" w:rsidP="00390B8E">
      <w:pPr>
        <w:spacing w:after="160" w:line="400" w:lineRule="exact"/>
        <w:outlineLvl w:val="1"/>
        <w:rPr>
          <w:rFonts w:ascii="仿宋" w:eastAsia="仿宋" w:hAnsi="仿宋" w:cs="Times New Roman"/>
          <w:b/>
          <w:bCs/>
          <w:color w:val="000000"/>
          <w:sz w:val="24"/>
          <w:szCs w:val="24"/>
        </w:rPr>
      </w:pPr>
      <w:r w:rsidRPr="00390B8E">
        <w:rPr>
          <w:rFonts w:ascii="仿宋" w:eastAsia="仿宋" w:hAnsi="仿宋" w:cs="Times New Roman" w:hint="eastAsia"/>
          <w:b/>
          <w:bCs/>
          <w:color w:val="000000"/>
          <w:sz w:val="24"/>
          <w:szCs w:val="24"/>
        </w:rPr>
        <w:t>一、项目概述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52"/>
        <w:gridCol w:w="2729"/>
        <w:gridCol w:w="1059"/>
        <w:gridCol w:w="709"/>
        <w:gridCol w:w="1276"/>
        <w:gridCol w:w="963"/>
        <w:gridCol w:w="963"/>
      </w:tblGrid>
      <w:tr w:rsidR="00390B8E" w:rsidRPr="00390B8E" w:rsidTr="007C2A4B">
        <w:trPr>
          <w:trHeight w:val="780"/>
          <w:jc w:val="center"/>
        </w:trPr>
        <w:tc>
          <w:tcPr>
            <w:tcW w:w="709"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b/>
                <w:bCs/>
                <w:color w:val="000000"/>
                <w:kern w:val="0"/>
                <w:szCs w:val="21"/>
              </w:rPr>
              <w:t>包号</w:t>
            </w:r>
          </w:p>
        </w:tc>
        <w:tc>
          <w:tcPr>
            <w:tcW w:w="952"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hint="eastAsia"/>
                <w:b/>
                <w:bCs/>
                <w:color w:val="000000"/>
                <w:kern w:val="0"/>
                <w:szCs w:val="21"/>
              </w:rPr>
              <w:t>序号</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hint="eastAsia"/>
                <w:b/>
                <w:bCs/>
                <w:color w:val="000000"/>
                <w:kern w:val="0"/>
                <w:szCs w:val="21"/>
              </w:rPr>
              <w:t>标的</w:t>
            </w:r>
            <w:r w:rsidRPr="00390B8E">
              <w:rPr>
                <w:rFonts w:ascii="仿宋" w:eastAsia="仿宋" w:hAnsi="仿宋" w:cs="Courier New"/>
                <w:b/>
                <w:bCs/>
                <w:color w:val="000000"/>
                <w:kern w:val="0"/>
                <w:szCs w:val="21"/>
              </w:rPr>
              <w:t>名称</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b/>
                <w:bCs/>
                <w:color w:val="000000"/>
                <w:kern w:val="0"/>
                <w:szCs w:val="21"/>
              </w:rPr>
              <w:t>预计采购数量</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b/>
                <w:bCs/>
                <w:color w:val="000000"/>
                <w:kern w:val="0"/>
                <w:szCs w:val="21"/>
              </w:rPr>
              <w:t>单位</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hint="eastAsia"/>
                <w:b/>
                <w:bCs/>
                <w:color w:val="000000"/>
                <w:kern w:val="0"/>
                <w:szCs w:val="21"/>
              </w:rPr>
              <w:t>最高</w:t>
            </w:r>
            <w:r w:rsidRPr="00390B8E">
              <w:rPr>
                <w:rFonts w:ascii="仿宋" w:eastAsia="仿宋" w:hAnsi="仿宋" w:cs="Courier New"/>
                <w:b/>
                <w:bCs/>
                <w:color w:val="000000"/>
                <w:kern w:val="0"/>
                <w:szCs w:val="21"/>
              </w:rPr>
              <w:t>单价</w:t>
            </w:r>
            <w:r w:rsidRPr="00390B8E">
              <w:rPr>
                <w:rFonts w:ascii="仿宋" w:eastAsia="仿宋" w:hAnsi="仿宋" w:cs="Courier New" w:hint="eastAsia"/>
                <w:b/>
                <w:bCs/>
                <w:color w:val="000000"/>
                <w:kern w:val="0"/>
                <w:szCs w:val="21"/>
              </w:rPr>
              <w:t>限价</w:t>
            </w:r>
            <w:r w:rsidRPr="00390B8E">
              <w:rPr>
                <w:rFonts w:ascii="仿宋" w:eastAsia="仿宋" w:hAnsi="仿宋" w:cs="Courier New"/>
                <w:b/>
                <w:bCs/>
                <w:color w:val="000000"/>
                <w:kern w:val="0"/>
                <w:szCs w:val="21"/>
              </w:rPr>
              <w:t>（元）</w:t>
            </w:r>
          </w:p>
        </w:tc>
        <w:tc>
          <w:tcPr>
            <w:tcW w:w="963"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hint="eastAsia"/>
                <w:b/>
                <w:bCs/>
                <w:color w:val="000000"/>
                <w:kern w:val="0"/>
                <w:szCs w:val="21"/>
              </w:rPr>
              <w:t>所属行业</w:t>
            </w:r>
          </w:p>
        </w:tc>
        <w:tc>
          <w:tcPr>
            <w:tcW w:w="963" w:type="dxa"/>
            <w:shd w:val="clear" w:color="auto" w:fill="auto"/>
            <w:vAlign w:val="center"/>
          </w:tcPr>
          <w:p w:rsidR="00390B8E" w:rsidRPr="00390B8E" w:rsidRDefault="00390B8E" w:rsidP="00390B8E">
            <w:pPr>
              <w:widowControl/>
              <w:jc w:val="center"/>
              <w:rPr>
                <w:rFonts w:ascii="仿宋" w:eastAsia="仿宋" w:hAnsi="仿宋" w:cs="Courier New"/>
                <w:b/>
                <w:bCs/>
                <w:color w:val="000000"/>
                <w:kern w:val="0"/>
                <w:szCs w:val="21"/>
              </w:rPr>
            </w:pPr>
            <w:r w:rsidRPr="00390B8E">
              <w:rPr>
                <w:rFonts w:ascii="仿宋" w:eastAsia="仿宋" w:hAnsi="仿宋" w:cs="Courier New" w:hint="eastAsia"/>
                <w:b/>
                <w:bCs/>
                <w:color w:val="000000"/>
                <w:kern w:val="0"/>
                <w:szCs w:val="21"/>
              </w:rPr>
              <w:t>备注</w:t>
            </w:r>
          </w:p>
        </w:tc>
      </w:tr>
      <w:tr w:rsidR="00390B8E" w:rsidRPr="00390B8E" w:rsidTr="007C2A4B">
        <w:trPr>
          <w:trHeight w:val="465"/>
          <w:jc w:val="center"/>
        </w:trPr>
        <w:tc>
          <w:tcPr>
            <w:tcW w:w="709" w:type="dxa"/>
            <w:vMerge w:val="restart"/>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w:t>
            </w: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1</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全自动免疫分析仪清洗液</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箱</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1064 </w:t>
            </w:r>
          </w:p>
        </w:tc>
        <w:tc>
          <w:tcPr>
            <w:tcW w:w="963" w:type="dxa"/>
            <w:vMerge w:val="restart"/>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工业</w:t>
            </w: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允许进口</w:t>
            </w: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1</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2</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分析吸头/分析杯</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180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盒</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3493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允许进口</w:t>
            </w: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3</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血沉测试卡</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3</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张</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19000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允许进口</w:t>
            </w: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4</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全自动</w:t>
            </w:r>
            <w:r w:rsidRPr="00390B8E">
              <w:rPr>
                <w:rFonts w:ascii="仿宋" w:eastAsia="仿宋" w:hAnsi="仿宋" w:cs="Courier New"/>
                <w:color w:val="000000"/>
                <w:kern w:val="0"/>
                <w:szCs w:val="21"/>
              </w:rPr>
              <w:t>毛细管电泳仪清洗液</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盒</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1120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允许进口</w:t>
            </w:r>
          </w:p>
        </w:tc>
      </w:tr>
      <w:tr w:rsidR="00390B8E" w:rsidRPr="00390B8E" w:rsidTr="007C2A4B">
        <w:trPr>
          <w:trHeight w:val="465"/>
          <w:jc w:val="center"/>
        </w:trPr>
        <w:tc>
          <w:tcPr>
            <w:tcW w:w="709" w:type="dxa"/>
            <w:vMerge w:val="restart"/>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1</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经颅超声神经肌肉刺激治疗仪-经颅超声治疗头</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24</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套</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15600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2</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一次性使用浮针</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2000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支</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11.5</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3</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理疗用电极</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800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套</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160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4</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洗耳球</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个</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4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5</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胎粪吸引管</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个</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80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6</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人体润滑剂</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30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支</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 xml:space="preserve">45 </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7</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一次性使用阴道电极</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1200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个</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55</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8</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阴道电极</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360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个</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160</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9</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理疗用体表电极</w:t>
            </w:r>
            <w:r w:rsidRPr="00390B8E">
              <w:rPr>
                <w:rFonts w:ascii="仿宋" w:eastAsia="仿宋" w:hAnsi="仿宋" w:cs="Courier New" w:hint="eastAsia"/>
                <w:color w:val="000000"/>
                <w:kern w:val="0"/>
                <w:szCs w:val="21"/>
              </w:rPr>
              <w:t>1</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960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片</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5</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10</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理疗用体表电极</w:t>
            </w:r>
            <w:r w:rsidRPr="00390B8E">
              <w:rPr>
                <w:rFonts w:ascii="仿宋" w:eastAsia="仿宋" w:hAnsi="仿宋" w:cs="Courier New" w:hint="eastAsia"/>
                <w:color w:val="000000"/>
                <w:kern w:val="0"/>
                <w:szCs w:val="21"/>
              </w:rPr>
              <w:t>2</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700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片</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28</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r w:rsidR="00390B8E" w:rsidRPr="00390B8E" w:rsidTr="007C2A4B">
        <w:trPr>
          <w:trHeight w:val="465"/>
          <w:jc w:val="center"/>
        </w:trPr>
        <w:tc>
          <w:tcPr>
            <w:tcW w:w="709" w:type="dxa"/>
            <w:vMerge/>
            <w:shd w:val="clear" w:color="auto" w:fill="auto"/>
            <w:vAlign w:val="center"/>
          </w:tcPr>
          <w:p w:rsidR="00390B8E" w:rsidRPr="00390B8E" w:rsidRDefault="00390B8E" w:rsidP="00390B8E">
            <w:pPr>
              <w:widowControl/>
              <w:jc w:val="left"/>
              <w:rPr>
                <w:rFonts w:ascii="仿宋" w:eastAsia="仿宋" w:hAnsi="仿宋" w:cs="Courier New"/>
                <w:color w:val="000000"/>
                <w:kern w:val="0"/>
                <w:szCs w:val="21"/>
              </w:rPr>
            </w:pPr>
          </w:p>
        </w:tc>
        <w:tc>
          <w:tcPr>
            <w:tcW w:w="952"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w:t>
            </w:r>
            <w:r w:rsidRPr="00390B8E">
              <w:rPr>
                <w:rFonts w:ascii="仿宋" w:eastAsia="仿宋" w:hAnsi="仿宋" w:cs="Courier New" w:hint="eastAsia"/>
                <w:color w:val="000000"/>
                <w:kern w:val="0"/>
                <w:szCs w:val="21"/>
              </w:rPr>
              <w:t>-</w:t>
            </w:r>
            <w:r w:rsidRPr="00390B8E">
              <w:rPr>
                <w:rFonts w:ascii="仿宋" w:eastAsia="仿宋" w:hAnsi="仿宋" w:cs="Courier New"/>
                <w:color w:val="000000"/>
                <w:kern w:val="0"/>
                <w:szCs w:val="21"/>
              </w:rPr>
              <w:t>11</w:t>
            </w:r>
          </w:p>
        </w:tc>
        <w:tc>
          <w:tcPr>
            <w:tcW w:w="272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理疗用体表电极</w:t>
            </w:r>
            <w:r w:rsidRPr="00390B8E">
              <w:rPr>
                <w:rFonts w:ascii="仿宋" w:eastAsia="仿宋" w:hAnsi="仿宋" w:cs="Courier New" w:hint="eastAsia"/>
                <w:color w:val="000000"/>
                <w:kern w:val="0"/>
                <w:szCs w:val="21"/>
              </w:rPr>
              <w:t>3</w:t>
            </w:r>
          </w:p>
        </w:tc>
        <w:tc>
          <w:tcPr>
            <w:tcW w:w="105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1400</w:t>
            </w:r>
          </w:p>
        </w:tc>
        <w:tc>
          <w:tcPr>
            <w:tcW w:w="709"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片</w:t>
            </w:r>
          </w:p>
        </w:tc>
        <w:tc>
          <w:tcPr>
            <w:tcW w:w="1276"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r w:rsidRPr="00390B8E">
              <w:rPr>
                <w:rFonts w:ascii="仿宋" w:eastAsia="仿宋" w:hAnsi="仿宋" w:cs="Courier New"/>
                <w:color w:val="000000"/>
                <w:kern w:val="0"/>
                <w:szCs w:val="21"/>
              </w:rPr>
              <w:t>28</w:t>
            </w:r>
          </w:p>
        </w:tc>
        <w:tc>
          <w:tcPr>
            <w:tcW w:w="963" w:type="dxa"/>
            <w:vMerge/>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c>
          <w:tcPr>
            <w:tcW w:w="963" w:type="dxa"/>
            <w:shd w:val="clear" w:color="auto" w:fill="auto"/>
            <w:vAlign w:val="center"/>
          </w:tcPr>
          <w:p w:rsidR="00390B8E" w:rsidRPr="00390B8E" w:rsidRDefault="00390B8E" w:rsidP="00390B8E">
            <w:pPr>
              <w:widowControl/>
              <w:jc w:val="center"/>
              <w:rPr>
                <w:rFonts w:ascii="仿宋" w:eastAsia="仿宋" w:hAnsi="仿宋" w:cs="Courier New"/>
                <w:color w:val="000000"/>
                <w:kern w:val="0"/>
                <w:szCs w:val="21"/>
              </w:rPr>
            </w:pPr>
          </w:p>
        </w:tc>
      </w:tr>
    </w:tbl>
    <w:p w:rsidR="00390B8E" w:rsidRPr="00390B8E" w:rsidRDefault="00390B8E" w:rsidP="00390B8E">
      <w:pPr>
        <w:spacing w:after="160" w:line="400" w:lineRule="exact"/>
        <w:outlineLvl w:val="1"/>
        <w:rPr>
          <w:rFonts w:ascii="仿宋" w:eastAsia="仿宋" w:hAnsi="仿宋" w:cs="Times New Roman"/>
          <w:b/>
          <w:bCs/>
          <w:color w:val="000000"/>
          <w:sz w:val="24"/>
          <w:szCs w:val="24"/>
        </w:rPr>
      </w:pPr>
      <w:r w:rsidRPr="00390B8E">
        <w:rPr>
          <w:rFonts w:ascii="仿宋" w:eastAsia="仿宋" w:hAnsi="仿宋" w:cs="Times New Roman" w:hint="eastAsia"/>
          <w:b/>
          <w:bCs/>
          <w:color w:val="000000"/>
          <w:sz w:val="24"/>
          <w:szCs w:val="24"/>
        </w:rPr>
        <w:t>*二、商务要求</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1、交货地点：成都市双流区第一人民医院（四川大学华西空港医院）指定地点。</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2、交货期：根据医院实际购货计划分期分批按时供货。提供的产品必须是经验</w:t>
      </w:r>
      <w:r w:rsidRPr="00390B8E">
        <w:rPr>
          <w:rFonts w:ascii="仿宋" w:eastAsia="仿宋" w:hAnsi="仿宋" w:cs="Times New Roman"/>
          <w:color w:val="000000"/>
          <w:sz w:val="24"/>
          <w:szCs w:val="24"/>
        </w:rPr>
        <w:lastRenderedPageBreak/>
        <w:t>收合格的全新产品。耗材验收合格前，所有风险由中标人承担。</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3、供货期限：合同签订后一年，采购数量以实际使用量为准。</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4、质量保证期：≥1年（招标文件技术参数要求另有规定的按技术参数要求相关规定执行）</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5、售后服务</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5.1要求中标人必须严格按照招标文件要求和投标文件中的承诺提供配送服务。如果配送的医用耗材规格、包装等信息与中标产品的规格、包装等信息不一致并不同意更换的，或配送的医用耗材和中标产品不一致的，采购人有权取消中标人供货资格；</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5.2要求中标人指派专人负责与采购人联系售后服务事宜；在投标文件中列明售后联系人及联系电话。</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5.3 要求中标人须按采购方要求分期分批按时交货，每次配送的时间和数量必须严格按照采购人发送的配送通知执行。要求急需使用的产品4小时内送达，一般情况48小时内送达，若因采购人原因时间变更，以采购人通知时间为准。节假日照常配送，并承诺无条件退换破损和近效期产品。</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5.4对合同执行期间有效期低于6个月的货物中标人应负责更换。</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合同价款支付方式和条件：合同签订后5个工作日内预付合同价款的30%，每月据实结算（每月供货量经双方确认），采购人收到完整有效的票据后30日内通过银行转账付款，前期货款逐月在预付款中抵扣。采购人逾期支付货款的，除应及时付足货款外，应向中标人偿付欠款总额万分之1/天的违约金；逾期付款超过 180 天的，中标人有权终止合同。</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7、验收</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7.2验收时间和方式：中标人供货完成后，在中标人提出验收申请后7个工作日内由验收小组进行验收。</w:t>
      </w:r>
    </w:p>
    <w:p w:rsidR="00390B8E" w:rsidRPr="00390B8E" w:rsidRDefault="00390B8E" w:rsidP="00390B8E">
      <w:pPr>
        <w:spacing w:after="160" w:line="259"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8.在合同履行期间，如果产品纳入集中挂网阳光采购范围内，则执行平台挂网价与合同价中的较低价。</w:t>
      </w:r>
    </w:p>
    <w:p w:rsidR="00390B8E" w:rsidRPr="00390B8E" w:rsidRDefault="00390B8E" w:rsidP="00390B8E">
      <w:pPr>
        <w:spacing w:after="160" w:line="400" w:lineRule="exact"/>
        <w:outlineLvl w:val="1"/>
        <w:rPr>
          <w:rFonts w:ascii="仿宋" w:eastAsia="仿宋" w:hAnsi="仿宋" w:cs="Times New Roman"/>
          <w:b/>
          <w:bCs/>
          <w:color w:val="000000"/>
          <w:sz w:val="24"/>
          <w:szCs w:val="24"/>
        </w:rPr>
      </w:pPr>
      <w:r w:rsidRPr="00390B8E">
        <w:rPr>
          <w:rFonts w:ascii="仿宋" w:eastAsia="仿宋" w:hAnsi="仿宋" w:cs="Times New Roman" w:hint="eastAsia"/>
          <w:b/>
          <w:bCs/>
          <w:color w:val="000000"/>
          <w:sz w:val="24"/>
          <w:szCs w:val="24"/>
        </w:rPr>
        <w:t>三、技术要求</w:t>
      </w:r>
    </w:p>
    <w:p w:rsidR="00390B8E" w:rsidRPr="00390B8E" w:rsidRDefault="00390B8E" w:rsidP="00390B8E">
      <w:pPr>
        <w:spacing w:after="160" w:line="276" w:lineRule="auto"/>
        <w:jc w:val="center"/>
        <w:outlineLvl w:val="2"/>
        <w:rPr>
          <w:rFonts w:ascii="仿宋" w:eastAsia="仿宋" w:hAnsi="仿宋" w:cs="Times New Roman"/>
          <w:b/>
          <w:bCs/>
          <w:color w:val="000000"/>
          <w:sz w:val="24"/>
          <w:szCs w:val="24"/>
        </w:rPr>
      </w:pPr>
      <w:r w:rsidRPr="00390B8E">
        <w:rPr>
          <w:rFonts w:ascii="仿宋" w:eastAsia="仿宋" w:hAnsi="仿宋" w:cs="Times New Roman" w:hint="eastAsia"/>
          <w:b/>
          <w:bCs/>
          <w:color w:val="000000"/>
          <w:sz w:val="24"/>
          <w:szCs w:val="24"/>
        </w:rPr>
        <w:t>0</w:t>
      </w:r>
      <w:r w:rsidRPr="00390B8E">
        <w:rPr>
          <w:rFonts w:ascii="仿宋" w:eastAsia="仿宋" w:hAnsi="仿宋" w:cs="Times New Roman"/>
          <w:b/>
          <w:bCs/>
          <w:color w:val="000000"/>
          <w:sz w:val="24"/>
          <w:szCs w:val="24"/>
        </w:rPr>
        <w:t>1</w:t>
      </w:r>
      <w:r w:rsidRPr="00390B8E">
        <w:rPr>
          <w:rFonts w:ascii="仿宋" w:eastAsia="仿宋" w:hAnsi="仿宋" w:cs="Times New Roman" w:hint="eastAsia"/>
          <w:b/>
          <w:bCs/>
          <w:color w:val="000000"/>
          <w:sz w:val="24"/>
          <w:szCs w:val="24"/>
        </w:rPr>
        <w:t>包</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1-1</w:t>
      </w:r>
      <w:r w:rsidRPr="00390B8E">
        <w:rPr>
          <w:rFonts w:ascii="仿宋" w:eastAsia="仿宋" w:hAnsi="仿宋" w:cs="Times New Roman" w:hint="eastAsia"/>
          <w:b/>
          <w:bCs/>
          <w:color w:val="000000"/>
          <w:sz w:val="24"/>
          <w:szCs w:val="24"/>
        </w:rPr>
        <w:t>全自动免疫分析仪清洗液</w:t>
      </w:r>
    </w:p>
    <w:p w:rsidR="00390B8E" w:rsidRPr="00390B8E" w:rsidRDefault="00390B8E" w:rsidP="00390B8E">
      <w:pPr>
        <w:spacing w:after="160" w:line="276" w:lineRule="auto"/>
        <w:rPr>
          <w:rFonts w:ascii="仿宋" w:eastAsia="仿宋" w:hAnsi="仿宋" w:cs="Times New Roman"/>
          <w:color w:val="000000"/>
          <w:sz w:val="24"/>
          <w:szCs w:val="24"/>
        </w:rPr>
      </w:pP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1、能适配兼容</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现有Cobas e801、Cobas e601全自动化学发光免疫分析仪；</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2、溶液成分：磷酸盐缓冲液10 mmol/L；氯化钠20mmol/L；去污剂≤ 0.1 %；防腐剂＜</w:t>
      </w:r>
      <w:r w:rsidRPr="00390B8E">
        <w:rPr>
          <w:rFonts w:ascii="仿宋" w:eastAsia="仿宋" w:hAnsi="仿宋" w:cs="Times New Roman" w:hint="eastAsia"/>
          <w:color w:val="000000"/>
          <w:sz w:val="24"/>
          <w:szCs w:val="24"/>
        </w:rPr>
        <w:t>1%</w:t>
      </w:r>
      <w:r w:rsidRPr="00390B8E">
        <w:rPr>
          <w:rFonts w:ascii="仿宋" w:eastAsia="仿宋" w:hAnsi="仿宋" w:cs="Times New Roman"/>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3、溶液酸碱度：pH 7.0,保证中性的反应环境，不受光信号干扰；</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4、溶液保存：15～25℃存放24个月；</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5、溶液稳定性：载机稳定性可达4周；</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6、使用前无需预处理，减少操作步骤。</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7、规格型号：2*</w:t>
      </w:r>
      <w:r w:rsidRPr="00390B8E">
        <w:rPr>
          <w:rFonts w:ascii="仿宋" w:eastAsia="仿宋" w:hAnsi="仿宋" w:cs="Times New Roman"/>
          <w:color w:val="000000"/>
          <w:sz w:val="24"/>
          <w:szCs w:val="24"/>
        </w:rPr>
        <w:t>2L</w:t>
      </w:r>
      <w:r w:rsidRPr="00390B8E">
        <w:rPr>
          <w:rFonts w:ascii="仿宋" w:eastAsia="仿宋" w:hAnsi="仿宋" w:cs="Times New Roman" w:hint="eastAsia"/>
          <w:color w:val="000000"/>
          <w:sz w:val="24"/>
          <w:szCs w:val="24"/>
        </w:rPr>
        <w:t>/箱。</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1-2分析吸头/分析杯</w:t>
      </w:r>
    </w:p>
    <w:p w:rsidR="00390B8E" w:rsidRPr="00390B8E" w:rsidRDefault="00390B8E" w:rsidP="00390B8E">
      <w:pPr>
        <w:spacing w:after="160" w:line="276" w:lineRule="auto"/>
        <w:rPr>
          <w:rFonts w:ascii="仿宋" w:eastAsia="仿宋" w:hAnsi="仿宋" w:cs="Times New Roman"/>
          <w:color w:val="000000"/>
          <w:sz w:val="24"/>
          <w:szCs w:val="24"/>
        </w:rPr>
      </w:pP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1、能适配兼容</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现有Cobas e801、Cobas e601全自动化学发光免疫分析仪；</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2、储存条件：在2-32℃；</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3、规格型号：36板*210（</w:t>
      </w:r>
      <w:r w:rsidRPr="00390B8E">
        <w:rPr>
          <w:rFonts w:ascii="仿宋" w:eastAsia="仿宋" w:hAnsi="仿宋" w:cs="Times New Roman"/>
          <w:color w:val="000000"/>
          <w:sz w:val="24"/>
          <w:szCs w:val="24"/>
        </w:rPr>
        <w:t>分析</w:t>
      </w:r>
      <w:r w:rsidRPr="00390B8E">
        <w:rPr>
          <w:rFonts w:ascii="仿宋" w:eastAsia="仿宋" w:hAnsi="仿宋" w:cs="Times New Roman" w:hint="eastAsia"/>
          <w:color w:val="000000"/>
          <w:sz w:val="24"/>
          <w:szCs w:val="24"/>
        </w:rPr>
        <w:t>吸头105个，</w:t>
      </w:r>
      <w:r w:rsidRPr="00390B8E">
        <w:rPr>
          <w:rFonts w:ascii="仿宋" w:eastAsia="仿宋" w:hAnsi="仿宋" w:cs="Times New Roman"/>
          <w:color w:val="000000"/>
          <w:sz w:val="24"/>
          <w:szCs w:val="24"/>
        </w:rPr>
        <w:t>分析</w:t>
      </w:r>
      <w:r w:rsidRPr="00390B8E">
        <w:rPr>
          <w:rFonts w:ascii="仿宋" w:eastAsia="仿宋" w:hAnsi="仿宋" w:cs="Times New Roman" w:hint="eastAsia"/>
          <w:color w:val="000000"/>
          <w:sz w:val="24"/>
          <w:szCs w:val="24"/>
        </w:rPr>
        <w:t>杯子105个）/盒。</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1-3血沉测试卡</w:t>
      </w:r>
    </w:p>
    <w:p w:rsidR="00390B8E" w:rsidRPr="00390B8E" w:rsidRDefault="00390B8E" w:rsidP="00390B8E">
      <w:pPr>
        <w:spacing w:after="160" w:line="276" w:lineRule="auto"/>
        <w:rPr>
          <w:rFonts w:ascii="仿宋" w:eastAsia="仿宋" w:hAnsi="仿宋" w:cs="Times New Roman"/>
          <w:color w:val="000000"/>
          <w:sz w:val="24"/>
          <w:szCs w:val="24"/>
        </w:rPr>
      </w:pP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1</w:t>
      </w:r>
      <w:r w:rsidRPr="00390B8E">
        <w:rPr>
          <w:rFonts w:ascii="仿宋" w:eastAsia="仿宋" w:hAnsi="仿宋" w:cs="Times New Roman"/>
          <w:color w:val="000000"/>
          <w:sz w:val="24"/>
          <w:szCs w:val="24"/>
        </w:rPr>
        <w:t>、适配于</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现有全自动血沉分析仪Roller 20使用。</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2</w:t>
      </w:r>
      <w:r w:rsidRPr="00390B8E">
        <w:rPr>
          <w:rFonts w:ascii="仿宋" w:eastAsia="仿宋" w:hAnsi="仿宋" w:cs="Times New Roman"/>
          <w:color w:val="000000"/>
          <w:sz w:val="24"/>
          <w:szCs w:val="24"/>
        </w:rPr>
        <w:t>、能配合仪器软件升级，仍然被仪器正确识别。</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3、</w:t>
      </w:r>
      <w:r w:rsidRPr="00390B8E">
        <w:rPr>
          <w:rFonts w:ascii="仿宋" w:eastAsia="仿宋" w:hAnsi="仿宋" w:cs="Times New Roman"/>
          <w:color w:val="000000"/>
          <w:sz w:val="24"/>
          <w:szCs w:val="24"/>
        </w:rPr>
        <w:t>卡使用电子芯片技术读入和读出和防伪密码技术。</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4、规格型号：</w:t>
      </w:r>
      <w:r w:rsidRPr="00390B8E">
        <w:rPr>
          <w:rFonts w:ascii="仿宋" w:eastAsia="仿宋" w:hAnsi="仿宋" w:cs="Times New Roman"/>
          <w:color w:val="000000"/>
          <w:sz w:val="24"/>
          <w:szCs w:val="24"/>
        </w:rPr>
        <w:t>10000次/张</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 xml:space="preserve">1-4 </w:t>
      </w:r>
      <w:r w:rsidRPr="00390B8E">
        <w:rPr>
          <w:rFonts w:ascii="仿宋" w:eastAsia="仿宋" w:hAnsi="仿宋" w:cs="Times New Roman" w:hint="eastAsia"/>
          <w:b/>
          <w:bCs/>
          <w:color w:val="000000"/>
          <w:sz w:val="24"/>
          <w:szCs w:val="24"/>
        </w:rPr>
        <w:t>全自动毛细管电泳仪清洗液</w:t>
      </w:r>
    </w:p>
    <w:p w:rsidR="00390B8E" w:rsidRPr="00390B8E" w:rsidRDefault="00390B8E" w:rsidP="00390B8E">
      <w:pPr>
        <w:spacing w:after="160" w:line="276" w:lineRule="auto"/>
        <w:rPr>
          <w:rFonts w:ascii="仿宋" w:eastAsia="仿宋" w:hAnsi="仿宋" w:cs="Times New Roman"/>
          <w:color w:val="000000"/>
          <w:sz w:val="24"/>
          <w:szCs w:val="24"/>
        </w:rPr>
      </w:pP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1、</w:t>
      </w:r>
      <w:r w:rsidRPr="00390B8E">
        <w:rPr>
          <w:rFonts w:ascii="仿宋" w:eastAsia="仿宋" w:hAnsi="仿宋" w:cs="Times New Roman" w:hint="eastAsia"/>
          <w:color w:val="000000"/>
          <w:sz w:val="24"/>
          <w:szCs w:val="24"/>
        </w:rPr>
        <w:t>规格型号：</w:t>
      </w:r>
      <w:r w:rsidRPr="00390B8E">
        <w:rPr>
          <w:rFonts w:ascii="仿宋" w:eastAsia="仿宋" w:hAnsi="仿宋" w:cs="Times New Roman"/>
          <w:color w:val="000000"/>
          <w:sz w:val="24"/>
          <w:szCs w:val="24"/>
        </w:rPr>
        <w:t>500ml</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2、适用于血清、全血、尿液</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3、用于检测样本过程中清洗仪器管道</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4、试剂可15℃---35℃长时间保存</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lastRenderedPageBreak/>
        <w:t>5、保质期≥24个月</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6、适用于</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现有Helen全自动毛细管电泳仪V8</w:t>
      </w:r>
      <w:r w:rsidRPr="00390B8E">
        <w:rPr>
          <w:rFonts w:ascii="仿宋" w:eastAsia="仿宋" w:hAnsi="仿宋" w:cs="Times New Roman" w:hint="eastAsia"/>
          <w:color w:val="000000"/>
          <w:sz w:val="24"/>
          <w:szCs w:val="24"/>
        </w:rPr>
        <w:t>。</w:t>
      </w:r>
    </w:p>
    <w:p w:rsidR="00390B8E" w:rsidRPr="00390B8E" w:rsidRDefault="00390B8E" w:rsidP="00390B8E">
      <w:pPr>
        <w:spacing w:after="160" w:line="276" w:lineRule="auto"/>
        <w:jc w:val="center"/>
        <w:outlineLvl w:val="2"/>
        <w:rPr>
          <w:rFonts w:ascii="仿宋" w:eastAsia="仿宋" w:hAnsi="仿宋" w:cs="Times New Roman"/>
          <w:b/>
          <w:bCs/>
          <w:color w:val="000000"/>
          <w:sz w:val="24"/>
          <w:szCs w:val="24"/>
        </w:rPr>
      </w:pPr>
      <w:r w:rsidRPr="00390B8E">
        <w:rPr>
          <w:rFonts w:ascii="仿宋" w:eastAsia="仿宋" w:hAnsi="仿宋" w:cs="Times New Roman" w:hint="eastAsia"/>
          <w:b/>
          <w:bCs/>
          <w:color w:val="000000"/>
          <w:sz w:val="24"/>
          <w:szCs w:val="24"/>
        </w:rPr>
        <w:t>0</w:t>
      </w:r>
      <w:r w:rsidRPr="00390B8E">
        <w:rPr>
          <w:rFonts w:ascii="仿宋" w:eastAsia="仿宋" w:hAnsi="仿宋" w:cs="Times New Roman"/>
          <w:b/>
          <w:bCs/>
          <w:color w:val="000000"/>
          <w:sz w:val="24"/>
          <w:szCs w:val="24"/>
        </w:rPr>
        <w:t>2</w:t>
      </w:r>
      <w:r w:rsidRPr="00390B8E">
        <w:rPr>
          <w:rFonts w:ascii="仿宋" w:eastAsia="仿宋" w:hAnsi="仿宋" w:cs="Times New Roman" w:hint="eastAsia"/>
          <w:b/>
          <w:bCs/>
          <w:color w:val="000000"/>
          <w:sz w:val="24"/>
          <w:szCs w:val="24"/>
        </w:rPr>
        <w:t>包</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2-1经颅超声神经肌肉刺激治疗仪经颅超声治疗头</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1.与</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现有设备经颅超声-神经肌肉刺激治疗仪</w:t>
      </w:r>
      <w:r w:rsidRPr="00390B8E">
        <w:rPr>
          <w:rFonts w:ascii="仿宋" w:eastAsia="仿宋" w:hAnsi="仿宋" w:cs="Times New Roman" w:hint="eastAsia"/>
          <w:color w:val="000000"/>
          <w:sz w:val="24"/>
          <w:szCs w:val="24"/>
        </w:rPr>
        <w:t>(UE860A)</w:t>
      </w:r>
      <w:r w:rsidRPr="00390B8E">
        <w:rPr>
          <w:rFonts w:ascii="仿宋" w:eastAsia="仿宋" w:hAnsi="仿宋" w:cs="Times New Roman"/>
          <w:color w:val="000000"/>
          <w:sz w:val="24"/>
          <w:szCs w:val="24"/>
        </w:rPr>
        <w:t>匹配使用</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2.声工作频率：800KHz</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3.波束不均匀系数：≤8.0</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4.额定输出功率：≥1.2W</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5.有效辐射面积：≥2.0cm</w:t>
      </w:r>
      <w:r w:rsidRPr="00390B8E">
        <w:rPr>
          <w:rFonts w:ascii="Calibri" w:eastAsia="仿宋" w:hAnsi="Calibri" w:cs="Calibri"/>
          <w:color w:val="000000"/>
          <w:sz w:val="24"/>
          <w:szCs w:val="24"/>
        </w:rPr>
        <w:t>²</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6.波束类型：发散型</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7.成套配置：专用经颅超声治疗头1副；自粘电极片40对；专用弹性头带20条；医用超声耦合剂2支。</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2-2一次性使用浮针</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1.用途：中医临床浮针治疗用，主要用于传统针灸学，作用于皮下疏松结缔组织，治疗颈肩腰腿痛等疾病。</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2.主要由针芯、软套管及保护套管组成。针芯采用优质不锈钢材料制成；软套管采用医用无毒聚氯乙烯制成；保护套管、针芯针座、管座采用聚丙烯材料制成。</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3、无菌。</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4.规格：中号</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2-3理疗用电极</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一、产品用途</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用于导乐分娩镇痛仪镇痛过程中使用的理疗用电极。</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二、使用环境条件</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1、环境温度：0～40℃</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2、相对湿度：20%~75%</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3、大气压力：700hPa～1060hPa</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三、主要技术参数与性能</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1、理疗用电极能与</w:t>
      </w:r>
      <w:r w:rsidRPr="00390B8E">
        <w:rPr>
          <w:rFonts w:ascii="仿宋" w:eastAsia="仿宋" w:hAnsi="仿宋" w:cs="Times New Roman" w:hint="eastAsia"/>
          <w:color w:val="000000"/>
          <w:sz w:val="24"/>
          <w:szCs w:val="24"/>
        </w:rPr>
        <w:t>采购人</w:t>
      </w:r>
      <w:r w:rsidRPr="00390B8E">
        <w:rPr>
          <w:rFonts w:ascii="仿宋" w:eastAsia="仿宋" w:hAnsi="仿宋" w:cs="Times New Roman"/>
          <w:color w:val="000000"/>
          <w:sz w:val="24"/>
          <w:szCs w:val="24"/>
        </w:rPr>
        <w:t>现有设备导乐分娩镇痛仪GT550匹配使用。</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lastRenderedPageBreak/>
        <w:t>2、产品规格：理疗用电极采用铝箔袋包装，8片为一套，40套为一件，手臂部电极片规格为40mmX40mm，腰背部电极片规格为40mmX80mm。</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3、结构组成：由无纺布、尼龙粘扣、导线、凝胶和硅橡胶等组成。</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4、电极片上的连接导线在使用过程中不会发生掉落现象。</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5、阻抗：手臂部电极导电阻抗为200Ω，腰背部电极导电阻抗为100Ω，允差：±10%。</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6、电极与电极导线的连接应避免使用过程中脱落造成对人体的意外电击，并防止其插入网电源或设备其它输出端插孔。</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7、电极连接线的截面积：连接线的截面积不小于0.05 mm2。</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8、电极导线与低频神经和肌肉刺激仪的连接端应符合GB 9706.1-2007中条款56.3c)的要求。</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9、生物相容性：无迟发型超敏反应、细胞毒性反应不大于1级、应为极轻微刺激。</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四、其他</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1、有检测机构提供的产品检测报告。</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2、产品保质期：≥2年。</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2-4洗耳球</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1、产品规格：</w:t>
      </w:r>
      <w:r w:rsidRPr="00390B8E">
        <w:rPr>
          <w:rFonts w:ascii="仿宋" w:eastAsia="仿宋" w:hAnsi="仿宋" w:cs="Times New Roman" w:hint="eastAsia"/>
          <w:color w:val="000000"/>
          <w:sz w:val="24"/>
          <w:szCs w:val="24"/>
        </w:rPr>
        <w:t>45</w:t>
      </w:r>
      <w:r w:rsidRPr="00390B8E">
        <w:rPr>
          <w:rFonts w:ascii="仿宋" w:eastAsia="仿宋" w:hAnsi="仿宋" w:cs="Times New Roman"/>
          <w:color w:val="000000"/>
          <w:sz w:val="24"/>
          <w:szCs w:val="24"/>
        </w:rPr>
        <w:t>mm×</w:t>
      </w:r>
      <w:r w:rsidRPr="00390B8E">
        <w:rPr>
          <w:rFonts w:ascii="仿宋" w:eastAsia="仿宋" w:hAnsi="仿宋" w:cs="Times New Roman" w:hint="eastAsia"/>
          <w:color w:val="000000"/>
          <w:sz w:val="24"/>
          <w:szCs w:val="24"/>
        </w:rPr>
        <w:t>90</w:t>
      </w:r>
      <w:r w:rsidRPr="00390B8E">
        <w:rPr>
          <w:rFonts w:ascii="仿宋" w:eastAsia="仿宋" w:hAnsi="仿宋" w:cs="Times New Roman"/>
          <w:color w:val="000000"/>
          <w:sz w:val="24"/>
          <w:szCs w:val="24"/>
        </w:rPr>
        <w:t>mm。</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2、乳胶材质，不脱胶，不褪色。颈部不易弯曲。</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3、规格：小号。</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2-5胎粪吸引管</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1.产品采用透明AS树脂制成；</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2.产品内外表面光洁透明、无明显机械杂质、熔痕、开裂及毛刺；</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3.尺寸与结构：全长86±0.43mm，管前端敞口内径Φ15.47±0.05mm与气管插管标准接头连接，管后端细外径Φ8±0.18mm与负压橡胶导管连接，管中前部为一短平、圆滑的手控开口；</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4.胎粪管前端敞口内径与Φ15mm圆锥接头插接，其连接口应严密不松动；</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5.产品生物性能：经消毒后，无致病菌检出。</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6.规格：T-I型</w:t>
      </w:r>
    </w:p>
    <w:p w:rsidR="00390B8E" w:rsidRPr="00390B8E" w:rsidRDefault="00390B8E" w:rsidP="00390B8E">
      <w:pPr>
        <w:spacing w:after="160" w:line="276" w:lineRule="auto"/>
        <w:jc w:val="center"/>
        <w:outlineLvl w:val="3"/>
        <w:rPr>
          <w:rFonts w:ascii="仿宋" w:eastAsia="仿宋" w:hAnsi="仿宋" w:cs="Times New Roman"/>
          <w:color w:val="000000"/>
          <w:sz w:val="24"/>
          <w:szCs w:val="24"/>
        </w:rPr>
      </w:pPr>
      <w:r w:rsidRPr="00390B8E">
        <w:rPr>
          <w:rFonts w:ascii="仿宋" w:eastAsia="仿宋" w:hAnsi="仿宋" w:cs="Times New Roman"/>
          <w:b/>
          <w:bCs/>
          <w:color w:val="000000"/>
          <w:sz w:val="24"/>
          <w:szCs w:val="24"/>
        </w:rPr>
        <w:lastRenderedPageBreak/>
        <w:t>2-6人体润滑剂</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主要成分：羟丙甲纤维素、甘油、纯化水、聚丙烯酸钠、丙二醇、苯甲酸钠、枸橼酸、香精组成等；</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适用范围：适用于人体皮肤和粘膜的润滑，可作为干性医疗器械（如窥阴器、肛检器、阴道电极等）进入人体内的润滑剂。</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hint="eastAsia"/>
          <w:color w:val="000000"/>
          <w:sz w:val="24"/>
          <w:szCs w:val="24"/>
        </w:rPr>
        <w:t>3、规格：5</w:t>
      </w:r>
      <w:r w:rsidRPr="00390B8E">
        <w:rPr>
          <w:rFonts w:ascii="仿宋" w:eastAsia="仿宋" w:hAnsi="仿宋" w:cs="Times New Roman"/>
          <w:color w:val="000000"/>
          <w:sz w:val="24"/>
          <w:szCs w:val="24"/>
        </w:rPr>
        <w:t>0g</w:t>
      </w:r>
      <w:r w:rsidRPr="00390B8E">
        <w:rPr>
          <w:rFonts w:ascii="仿宋" w:eastAsia="仿宋" w:hAnsi="仿宋" w:cs="Times New Roman" w:hint="eastAsia"/>
          <w:color w:val="000000"/>
          <w:sz w:val="24"/>
          <w:szCs w:val="24"/>
        </w:rPr>
        <w:t>/支。</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2-7一次性使用阴道电极</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1、采集盆底肌电信号，用于盆底功能检查仪筛查、评估。</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产品为一次性使用。</w:t>
      </w:r>
      <w:r w:rsidRPr="00390B8E">
        <w:rPr>
          <w:rFonts w:ascii="仿宋" w:eastAsia="仿宋" w:hAnsi="仿宋" w:cs="Times New Roman" w:hint="eastAsia"/>
          <w:color w:val="000000"/>
          <w:sz w:val="24"/>
          <w:szCs w:val="24"/>
        </w:rPr>
        <w:t>（提供注册证证明）</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w:t>
      </w:r>
      <w:r w:rsidRPr="00390B8E">
        <w:rPr>
          <w:rFonts w:ascii="仿宋" w:eastAsia="仿宋" w:hAnsi="仿宋" w:cs="Times New Roman" w:hint="eastAsia"/>
          <w:color w:val="000000"/>
          <w:sz w:val="24"/>
          <w:szCs w:val="24"/>
        </w:rPr>
        <w:t>、性能参数：</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1）电极插孔与对应导电橡胶电极片间导通电阻＜100Ω；</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2）两导电橡胶电极片间绝缘电阻＞10MΩ；</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3）两导电橡胶电极片间施加交流50Hz、1500V电压历时1min无闪络和击穿。</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2-8阴道电极</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1、用于治疗盆底功能障碍性疾病。由电极线、塑料基体和金属片组成。塑料基体采用ABS制成，金属片采用不锈钢制成。</w:t>
      </w:r>
      <w:r w:rsidRPr="00390B8E">
        <w:rPr>
          <w:rFonts w:ascii="仿宋" w:eastAsia="仿宋" w:hAnsi="仿宋" w:cs="Times New Roman" w:hint="eastAsia"/>
          <w:color w:val="000000"/>
          <w:sz w:val="24"/>
          <w:szCs w:val="24"/>
        </w:rPr>
        <w:t>采用</w:t>
      </w:r>
      <w:r w:rsidRPr="00390B8E">
        <w:rPr>
          <w:rFonts w:ascii="仿宋" w:eastAsia="仿宋" w:hAnsi="仿宋" w:cs="Times New Roman"/>
          <w:color w:val="000000"/>
          <w:sz w:val="24"/>
          <w:szCs w:val="24"/>
        </w:rPr>
        <w:t>纺锤形外形设计使电极不易从阴道滑出，电极金属面积大，采用平行于肌纤维设计，放置于阴道内采集盆底表面肌电信号，评估盆底肌肉功能、电刺激盆底肌肉及生物反馈训练。患者自行对电极进行简单的清洗可重复使用，方便患者进行盆底功能障碍性疾病治疗。</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w:t>
      </w:r>
      <w:r w:rsidRPr="00390B8E">
        <w:rPr>
          <w:rFonts w:ascii="仿宋" w:eastAsia="仿宋" w:hAnsi="仿宋" w:cs="Times New Roman" w:hint="eastAsia"/>
          <w:color w:val="000000"/>
          <w:sz w:val="24"/>
          <w:szCs w:val="24"/>
        </w:rPr>
        <w:t>、基本参数</w:t>
      </w:r>
      <w:r w:rsidRPr="00390B8E">
        <w:rPr>
          <w:rFonts w:ascii="仿宋" w:eastAsia="仿宋" w:hAnsi="仿宋" w:cs="Times New Roman"/>
          <w:color w:val="000000"/>
          <w:sz w:val="24"/>
          <w:szCs w:val="24"/>
        </w:rPr>
        <w:t>:</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1）★T字形结构</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2）电极长度≥72.5mm,电极直径≥28mm；</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3）电极插孔与对应不锈钢片间导通电阻小于0.5Ω；</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4）两不锈钢片间绝缘电阻应大于10MΩ；</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5）电解质强度：两不锈钢片间施加1500V电压力时1min无闪络和击穿；</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6）★导电部分尺寸：长度≥44.5mm±5%, 宽度≥19.3mm±5%。</w:t>
      </w:r>
    </w:p>
    <w:p w:rsidR="00390B8E" w:rsidRPr="00390B8E" w:rsidRDefault="00390B8E" w:rsidP="00390B8E">
      <w:pPr>
        <w:spacing w:after="160" w:line="276" w:lineRule="auto"/>
        <w:jc w:val="center"/>
        <w:outlineLvl w:val="3"/>
        <w:rPr>
          <w:rFonts w:ascii="仿宋" w:eastAsia="仿宋" w:hAnsi="仿宋" w:cs="Times New Roman"/>
          <w:b/>
          <w:bCs/>
          <w:color w:val="000000"/>
          <w:sz w:val="24"/>
          <w:szCs w:val="24"/>
        </w:rPr>
      </w:pPr>
      <w:r w:rsidRPr="00390B8E">
        <w:rPr>
          <w:rFonts w:ascii="仿宋" w:eastAsia="仿宋" w:hAnsi="仿宋" w:cs="Times New Roman"/>
          <w:b/>
          <w:bCs/>
          <w:color w:val="000000"/>
          <w:sz w:val="24"/>
          <w:szCs w:val="24"/>
        </w:rPr>
        <w:t>2-9</w:t>
      </w:r>
      <w:r w:rsidRPr="00390B8E">
        <w:rPr>
          <w:rFonts w:ascii="仿宋" w:eastAsia="仿宋" w:hAnsi="仿宋" w:cs="Times New Roman" w:hint="eastAsia"/>
          <w:b/>
          <w:bCs/>
          <w:color w:val="000000"/>
          <w:sz w:val="24"/>
          <w:szCs w:val="24"/>
        </w:rPr>
        <w:t>/</w:t>
      </w:r>
      <w:r w:rsidRPr="00390B8E">
        <w:rPr>
          <w:rFonts w:ascii="仿宋" w:eastAsia="仿宋" w:hAnsi="仿宋" w:cs="Times New Roman"/>
          <w:b/>
          <w:bCs/>
          <w:color w:val="000000"/>
          <w:sz w:val="24"/>
          <w:szCs w:val="24"/>
        </w:rPr>
        <w:t>2</w:t>
      </w:r>
      <w:r w:rsidRPr="00390B8E">
        <w:rPr>
          <w:rFonts w:ascii="仿宋" w:eastAsia="仿宋" w:hAnsi="仿宋" w:cs="Times New Roman" w:hint="eastAsia"/>
          <w:b/>
          <w:bCs/>
          <w:color w:val="000000"/>
          <w:sz w:val="24"/>
          <w:szCs w:val="24"/>
        </w:rPr>
        <w:t>-</w:t>
      </w:r>
      <w:r w:rsidRPr="00390B8E">
        <w:rPr>
          <w:rFonts w:ascii="仿宋" w:eastAsia="仿宋" w:hAnsi="仿宋" w:cs="Times New Roman"/>
          <w:b/>
          <w:bCs/>
          <w:color w:val="000000"/>
          <w:sz w:val="24"/>
          <w:szCs w:val="24"/>
        </w:rPr>
        <w:t>10</w:t>
      </w:r>
      <w:r w:rsidRPr="00390B8E">
        <w:rPr>
          <w:rFonts w:ascii="仿宋" w:eastAsia="仿宋" w:hAnsi="仿宋" w:cs="Times New Roman" w:hint="eastAsia"/>
          <w:b/>
          <w:bCs/>
          <w:color w:val="000000"/>
          <w:sz w:val="24"/>
          <w:szCs w:val="24"/>
        </w:rPr>
        <w:t>/</w:t>
      </w:r>
      <w:r w:rsidRPr="00390B8E">
        <w:rPr>
          <w:rFonts w:ascii="仿宋" w:eastAsia="仿宋" w:hAnsi="仿宋" w:cs="Times New Roman"/>
          <w:b/>
          <w:bCs/>
          <w:color w:val="000000"/>
          <w:sz w:val="24"/>
          <w:szCs w:val="24"/>
        </w:rPr>
        <w:t>2</w:t>
      </w:r>
      <w:r w:rsidRPr="00390B8E">
        <w:rPr>
          <w:rFonts w:ascii="仿宋" w:eastAsia="仿宋" w:hAnsi="仿宋" w:cs="Times New Roman" w:hint="eastAsia"/>
          <w:b/>
          <w:bCs/>
          <w:color w:val="000000"/>
          <w:sz w:val="24"/>
          <w:szCs w:val="24"/>
        </w:rPr>
        <w:t>-</w:t>
      </w:r>
      <w:r w:rsidRPr="00390B8E">
        <w:rPr>
          <w:rFonts w:ascii="仿宋" w:eastAsia="仿宋" w:hAnsi="仿宋" w:cs="Times New Roman"/>
          <w:b/>
          <w:bCs/>
          <w:color w:val="000000"/>
          <w:sz w:val="24"/>
          <w:szCs w:val="24"/>
        </w:rPr>
        <w:t>11理疗用体表电极</w:t>
      </w:r>
      <w:r w:rsidRPr="00390B8E">
        <w:rPr>
          <w:rFonts w:ascii="仿宋" w:eastAsia="仿宋" w:hAnsi="仿宋" w:cs="Times New Roman" w:hint="eastAsia"/>
          <w:b/>
          <w:bCs/>
          <w:color w:val="000000"/>
          <w:sz w:val="24"/>
          <w:szCs w:val="24"/>
        </w:rPr>
        <w:t>1/</w:t>
      </w:r>
      <w:r w:rsidRPr="00390B8E">
        <w:rPr>
          <w:rFonts w:ascii="仿宋" w:eastAsia="仿宋" w:hAnsi="仿宋" w:cs="Times New Roman"/>
          <w:b/>
          <w:bCs/>
          <w:color w:val="000000"/>
          <w:sz w:val="24"/>
          <w:szCs w:val="24"/>
        </w:rPr>
        <w:t>2</w:t>
      </w:r>
      <w:r w:rsidRPr="00390B8E">
        <w:rPr>
          <w:rFonts w:ascii="仿宋" w:eastAsia="仿宋" w:hAnsi="仿宋" w:cs="Times New Roman" w:hint="eastAsia"/>
          <w:b/>
          <w:bCs/>
          <w:color w:val="000000"/>
          <w:sz w:val="24"/>
          <w:szCs w:val="24"/>
        </w:rPr>
        <w:t>/</w:t>
      </w:r>
      <w:r w:rsidRPr="00390B8E">
        <w:rPr>
          <w:rFonts w:ascii="仿宋" w:eastAsia="仿宋" w:hAnsi="仿宋" w:cs="Times New Roman"/>
          <w:b/>
          <w:bCs/>
          <w:color w:val="000000"/>
          <w:sz w:val="24"/>
          <w:szCs w:val="24"/>
        </w:rPr>
        <w:t>3</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t>1</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组成：导电电极片、保护膜、连接件组成；电极片有导电硅胶层和其他辅助曾组成，不含药物成分；</w:t>
      </w:r>
    </w:p>
    <w:p w:rsidR="00390B8E" w:rsidRPr="00390B8E" w:rsidRDefault="00390B8E" w:rsidP="00390B8E">
      <w:pPr>
        <w:spacing w:after="160" w:line="276" w:lineRule="auto"/>
        <w:rPr>
          <w:rFonts w:ascii="仿宋" w:eastAsia="仿宋" w:hAnsi="仿宋" w:cs="Times New Roman"/>
          <w:color w:val="000000"/>
          <w:sz w:val="24"/>
          <w:szCs w:val="24"/>
        </w:rPr>
      </w:pPr>
      <w:r w:rsidRPr="00390B8E">
        <w:rPr>
          <w:rFonts w:ascii="仿宋" w:eastAsia="仿宋" w:hAnsi="仿宋" w:cs="Times New Roman"/>
          <w:color w:val="000000"/>
          <w:sz w:val="24"/>
          <w:szCs w:val="24"/>
        </w:rPr>
        <w:lastRenderedPageBreak/>
        <w:t>2</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作用：用于传导仪器发出的电脉冲信号；</w:t>
      </w:r>
    </w:p>
    <w:p w:rsidR="00390B8E" w:rsidRPr="00390B8E" w:rsidRDefault="00390B8E" w:rsidP="00390B8E">
      <w:pPr>
        <w:spacing w:after="160" w:line="400" w:lineRule="exact"/>
        <w:rPr>
          <w:rFonts w:ascii="仿宋" w:eastAsia="仿宋" w:hAnsi="仿宋" w:cs="Times New Roman"/>
          <w:b/>
          <w:bCs/>
          <w:color w:val="000000"/>
          <w:sz w:val="24"/>
          <w:szCs w:val="24"/>
        </w:rPr>
      </w:pPr>
      <w:r w:rsidRPr="00390B8E">
        <w:rPr>
          <w:rFonts w:ascii="仿宋" w:eastAsia="仿宋" w:hAnsi="仿宋" w:cs="Times New Roman"/>
          <w:color w:val="000000"/>
          <w:sz w:val="24"/>
          <w:szCs w:val="24"/>
        </w:rPr>
        <w:t>3</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尺寸：50mm*50mm</w:t>
      </w:r>
      <w:r w:rsidRPr="00390B8E">
        <w:rPr>
          <w:rFonts w:ascii="仿宋" w:eastAsia="仿宋" w:hAnsi="仿宋" w:cs="Times New Roman" w:hint="eastAsia"/>
          <w:color w:val="000000"/>
          <w:sz w:val="24"/>
          <w:szCs w:val="24"/>
        </w:rPr>
        <w:t>（理疗用体表电极</w:t>
      </w:r>
      <w:r w:rsidRPr="00390B8E">
        <w:rPr>
          <w:rFonts w:ascii="仿宋" w:eastAsia="仿宋" w:hAnsi="仿宋" w:cs="Times New Roman"/>
          <w:color w:val="000000"/>
          <w:sz w:val="24"/>
          <w:szCs w:val="24"/>
        </w:rPr>
        <w:t>1</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70</w:t>
      </w:r>
      <w:bookmarkStart w:id="1" w:name="_Hlk83825982"/>
      <w:r w:rsidRPr="00390B8E">
        <w:rPr>
          <w:rFonts w:ascii="仿宋" w:eastAsia="仿宋" w:hAnsi="仿宋" w:cs="Times New Roman"/>
          <w:color w:val="000000"/>
          <w:sz w:val="24"/>
          <w:szCs w:val="24"/>
        </w:rPr>
        <w:t>mm</w:t>
      </w:r>
      <w:bookmarkEnd w:id="1"/>
      <w:r w:rsidRPr="00390B8E">
        <w:rPr>
          <w:rFonts w:ascii="仿宋" w:eastAsia="仿宋" w:hAnsi="仿宋" w:cs="Times New Roman"/>
          <w:color w:val="000000"/>
          <w:sz w:val="24"/>
          <w:szCs w:val="24"/>
        </w:rPr>
        <w:t>*120mm</w:t>
      </w:r>
      <w:r w:rsidRPr="00390B8E">
        <w:rPr>
          <w:rFonts w:ascii="仿宋" w:eastAsia="仿宋" w:hAnsi="仿宋" w:cs="Times New Roman" w:hint="eastAsia"/>
          <w:color w:val="000000"/>
          <w:sz w:val="24"/>
          <w:szCs w:val="24"/>
        </w:rPr>
        <w:t>（理疗用体表电极</w:t>
      </w:r>
      <w:r w:rsidRPr="00390B8E">
        <w:rPr>
          <w:rFonts w:ascii="仿宋" w:eastAsia="仿宋" w:hAnsi="仿宋" w:cs="Times New Roman"/>
          <w:color w:val="000000"/>
          <w:sz w:val="24"/>
          <w:szCs w:val="24"/>
        </w:rPr>
        <w:t>2</w:t>
      </w:r>
      <w:r w:rsidRPr="00390B8E">
        <w:rPr>
          <w:rFonts w:ascii="仿宋" w:eastAsia="仿宋" w:hAnsi="仿宋" w:cs="Times New Roman" w:hint="eastAsia"/>
          <w:color w:val="000000"/>
          <w:sz w:val="24"/>
          <w:szCs w:val="24"/>
        </w:rPr>
        <w:t>）、</w:t>
      </w:r>
      <w:r w:rsidRPr="00390B8E">
        <w:rPr>
          <w:rFonts w:ascii="仿宋" w:eastAsia="仿宋" w:hAnsi="仿宋" w:cs="Times New Roman"/>
          <w:color w:val="000000"/>
          <w:sz w:val="24"/>
          <w:szCs w:val="24"/>
        </w:rPr>
        <w:t>72mm *156mm</w:t>
      </w:r>
      <w:r w:rsidRPr="00390B8E">
        <w:rPr>
          <w:rFonts w:ascii="仿宋" w:eastAsia="仿宋" w:hAnsi="仿宋" w:cs="Times New Roman" w:hint="eastAsia"/>
          <w:color w:val="000000"/>
          <w:sz w:val="24"/>
          <w:szCs w:val="24"/>
        </w:rPr>
        <w:t>（理疗用体表电极</w:t>
      </w:r>
      <w:r w:rsidRPr="00390B8E">
        <w:rPr>
          <w:rFonts w:ascii="仿宋" w:eastAsia="仿宋" w:hAnsi="仿宋" w:cs="Times New Roman"/>
          <w:color w:val="000000"/>
          <w:sz w:val="24"/>
          <w:szCs w:val="24"/>
        </w:rPr>
        <w:t>3</w:t>
      </w:r>
      <w:r w:rsidRPr="00390B8E">
        <w:rPr>
          <w:rFonts w:ascii="仿宋" w:eastAsia="仿宋" w:hAnsi="仿宋" w:cs="Times New Roman" w:hint="eastAsia"/>
          <w:color w:val="000000"/>
          <w:sz w:val="24"/>
          <w:szCs w:val="24"/>
        </w:rPr>
        <w:t>）</w:t>
      </w:r>
    </w:p>
    <w:p w:rsidR="00390B8E" w:rsidRPr="00390B8E" w:rsidRDefault="00390B8E" w:rsidP="00390B8E">
      <w:pPr>
        <w:keepNext/>
        <w:keepLines/>
        <w:spacing w:before="340" w:after="330" w:line="400" w:lineRule="exact"/>
        <w:jc w:val="center"/>
        <w:outlineLvl w:val="0"/>
        <w:rPr>
          <w:rFonts w:ascii="仿宋" w:eastAsia="仿宋" w:hAnsi="仿宋" w:cs="Times New Roman"/>
          <w:b/>
          <w:bCs/>
          <w:color w:val="000000"/>
          <w:kern w:val="44"/>
          <w:sz w:val="36"/>
          <w:szCs w:val="36"/>
        </w:rPr>
        <w:sectPr w:rsidR="00390B8E" w:rsidRPr="00390B8E">
          <w:pgSz w:w="11906" w:h="16838"/>
          <w:pgMar w:top="1440" w:right="1800" w:bottom="1440" w:left="1800" w:header="851" w:footer="992" w:gutter="0"/>
          <w:cols w:space="720"/>
          <w:docGrid w:type="lines" w:linePitch="312"/>
        </w:sectPr>
      </w:pPr>
    </w:p>
    <w:p w:rsidR="004E58D3" w:rsidRPr="00390B8E" w:rsidRDefault="004E58D3">
      <w:bookmarkStart w:id="2" w:name="_GoBack"/>
      <w:bookmarkEnd w:id="2"/>
    </w:p>
    <w:sectPr w:rsidR="004E58D3" w:rsidRPr="00390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8E"/>
    <w:rsid w:val="00390B8E"/>
    <w:rsid w:val="004E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F758F-333D-4DBA-AA46-C3D4621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3382</Characters>
  <Application>Microsoft Office Word</Application>
  <DocSecurity>0</DocSecurity>
  <Lines>28</Lines>
  <Paragraphs>7</Paragraphs>
  <ScaleCrop>false</ScaleCrop>
  <Company>Sky123.Org</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2021-12-23T07:35:00Z</dcterms:created>
  <dcterms:modified xsi:type="dcterms:W3CDTF">2021-12-23T07:36:00Z</dcterms:modified>
</cp:coreProperties>
</file>