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5E" w:rsidRDefault="0021565E" w:rsidP="0021565E">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rsidR="0021565E" w:rsidRPr="007D2879" w:rsidRDefault="0021565E" w:rsidP="0021565E">
      <w:pPr>
        <w:pStyle w:val="2"/>
        <w:spacing w:line="400" w:lineRule="exact"/>
        <w:rPr>
          <w:rFonts w:ascii="仿宋" w:eastAsia="仿宋" w:hAnsi="仿宋"/>
          <w:sz w:val="24"/>
          <w:szCs w:val="24"/>
        </w:rPr>
      </w:pPr>
      <w:r>
        <w:rPr>
          <w:rFonts w:ascii="仿宋" w:eastAsia="仿宋" w:hAnsi="仿宋" w:hint="eastAsia"/>
          <w:sz w:val="24"/>
          <w:szCs w:val="24"/>
        </w:rPr>
        <w:t>一.项目概述</w:t>
      </w:r>
      <w:bookmarkStart w:id="1" w:name="_Toc217446095"/>
      <w:bookmarkEnd w:id="0"/>
    </w:p>
    <w:tbl>
      <w:tblPr>
        <w:tblStyle w:val="a6"/>
        <w:tblW w:w="8711" w:type="dxa"/>
        <w:jc w:val="center"/>
        <w:tblLook w:val="04A0" w:firstRow="1" w:lastRow="0" w:firstColumn="1" w:lastColumn="0" w:noHBand="0" w:noVBand="1"/>
      </w:tblPr>
      <w:tblGrid>
        <w:gridCol w:w="884"/>
        <w:gridCol w:w="2126"/>
        <w:gridCol w:w="740"/>
        <w:gridCol w:w="1417"/>
        <w:gridCol w:w="1276"/>
        <w:gridCol w:w="2268"/>
      </w:tblGrid>
      <w:tr w:rsidR="0021565E" w:rsidTr="00130926">
        <w:trPr>
          <w:trHeight w:val="368"/>
          <w:jc w:val="center"/>
        </w:trPr>
        <w:tc>
          <w:tcPr>
            <w:tcW w:w="884"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序号</w:t>
            </w:r>
          </w:p>
        </w:tc>
        <w:tc>
          <w:tcPr>
            <w:tcW w:w="2126" w:type="dxa"/>
          </w:tcPr>
          <w:p w:rsidR="0021565E" w:rsidRDefault="0021565E" w:rsidP="00130926">
            <w:pPr>
              <w:pStyle w:val="a5"/>
              <w:spacing w:line="400" w:lineRule="exact"/>
              <w:ind w:firstLineChars="83" w:firstLine="199"/>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740"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bCs/>
                <w:sz w:val="24"/>
              </w:rPr>
              <w:t>数量</w:t>
            </w:r>
          </w:p>
        </w:tc>
        <w:tc>
          <w:tcPr>
            <w:tcW w:w="1417"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最高限价</w:t>
            </w:r>
          </w:p>
        </w:tc>
        <w:tc>
          <w:tcPr>
            <w:tcW w:w="1276" w:type="dxa"/>
          </w:tcPr>
          <w:p w:rsidR="0021565E" w:rsidRDefault="0021565E" w:rsidP="00130926">
            <w:pPr>
              <w:pStyle w:val="a5"/>
              <w:spacing w:line="400" w:lineRule="exact"/>
              <w:ind w:firstLineChars="0" w:firstLine="0"/>
              <w:rPr>
                <w:rFonts w:ascii="仿宋" w:eastAsia="仿宋" w:hAnsi="仿宋"/>
                <w:bCs/>
                <w:sz w:val="24"/>
              </w:rPr>
            </w:pPr>
            <w:r>
              <w:rPr>
                <w:rFonts w:ascii="仿宋" w:eastAsia="仿宋" w:hAnsi="仿宋" w:hint="eastAsia"/>
                <w:bCs/>
                <w:sz w:val="24"/>
              </w:rPr>
              <w:t>所属行业</w:t>
            </w:r>
          </w:p>
        </w:tc>
        <w:tc>
          <w:tcPr>
            <w:tcW w:w="2268"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备注</w:t>
            </w:r>
          </w:p>
        </w:tc>
      </w:tr>
      <w:tr w:rsidR="0021565E" w:rsidTr="00130926">
        <w:trPr>
          <w:trHeight w:val="376"/>
          <w:jc w:val="center"/>
        </w:trPr>
        <w:tc>
          <w:tcPr>
            <w:tcW w:w="884"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p>
        </w:tc>
        <w:tc>
          <w:tcPr>
            <w:tcW w:w="2126" w:type="dxa"/>
          </w:tcPr>
          <w:p w:rsidR="0021565E" w:rsidRDefault="0021565E" w:rsidP="00130926">
            <w:pPr>
              <w:pStyle w:val="a5"/>
              <w:spacing w:line="400" w:lineRule="exact"/>
              <w:ind w:firstLineChars="0" w:firstLine="0"/>
              <w:rPr>
                <w:rFonts w:ascii="仿宋" w:eastAsia="仿宋" w:hAnsi="仿宋"/>
                <w:bCs/>
                <w:sz w:val="24"/>
              </w:rPr>
            </w:pPr>
            <w:r>
              <w:rPr>
                <w:rFonts w:ascii="仿宋" w:eastAsia="仿宋" w:hAnsi="仿宋" w:hint="eastAsia"/>
                <w:spacing w:val="-4"/>
                <w:sz w:val="24"/>
              </w:rPr>
              <w:t>多人共览显微镜</w:t>
            </w:r>
          </w:p>
        </w:tc>
        <w:tc>
          <w:tcPr>
            <w:tcW w:w="740"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bCs/>
                <w:sz w:val="24"/>
              </w:rPr>
              <w:t>1台</w:t>
            </w:r>
          </w:p>
        </w:tc>
        <w:tc>
          <w:tcPr>
            <w:tcW w:w="1417"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hint="eastAsia"/>
                <w:bCs/>
                <w:sz w:val="24"/>
              </w:rPr>
              <w:t>75万元</w:t>
            </w:r>
          </w:p>
        </w:tc>
        <w:tc>
          <w:tcPr>
            <w:tcW w:w="1276" w:type="dxa"/>
          </w:tcPr>
          <w:p w:rsidR="0021565E" w:rsidRDefault="0021565E" w:rsidP="00130926">
            <w:pPr>
              <w:pStyle w:val="a5"/>
              <w:spacing w:line="400" w:lineRule="exact"/>
              <w:ind w:firstLineChars="100" w:firstLine="240"/>
              <w:rPr>
                <w:rFonts w:ascii="仿宋" w:eastAsia="仿宋" w:hAnsi="仿宋"/>
                <w:bCs/>
                <w:sz w:val="24"/>
              </w:rPr>
            </w:pPr>
            <w:r>
              <w:rPr>
                <w:rFonts w:ascii="仿宋" w:eastAsia="仿宋" w:hAnsi="仿宋" w:hint="eastAsia"/>
                <w:bCs/>
                <w:sz w:val="24"/>
              </w:rPr>
              <w:t>工业</w:t>
            </w:r>
          </w:p>
        </w:tc>
        <w:tc>
          <w:tcPr>
            <w:tcW w:w="2268" w:type="dxa"/>
          </w:tcPr>
          <w:p w:rsidR="0021565E" w:rsidRDefault="0021565E" w:rsidP="00130926">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允许进口产品参与</w:t>
            </w:r>
          </w:p>
        </w:tc>
      </w:tr>
    </w:tbl>
    <w:p w:rsidR="0021565E" w:rsidRDefault="0021565E" w:rsidP="0021565E">
      <w:pPr>
        <w:pStyle w:val="2"/>
        <w:spacing w:line="400" w:lineRule="exact"/>
        <w:rPr>
          <w:rFonts w:ascii="仿宋" w:eastAsia="仿宋" w:hAnsi="仿宋"/>
          <w:sz w:val="24"/>
          <w:szCs w:val="24"/>
        </w:rPr>
      </w:pPr>
      <w:r>
        <w:rPr>
          <w:rFonts w:ascii="仿宋" w:eastAsia="仿宋" w:hAnsi="仿宋" w:hint="eastAsia"/>
          <w:sz w:val="24"/>
          <w:szCs w:val="24"/>
        </w:rPr>
        <w:t>*二.商务要求</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1．交货期及地点</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1.1 交货期：国产</w:t>
      </w:r>
      <w:r>
        <w:rPr>
          <w:rFonts w:ascii="仿宋" w:eastAsia="仿宋" w:hAnsi="仿宋"/>
          <w:bCs/>
          <w:sz w:val="24"/>
        </w:rPr>
        <w:t>设备</w:t>
      </w:r>
      <w:r>
        <w:rPr>
          <w:rFonts w:ascii="仿宋" w:eastAsia="仿宋" w:hAnsi="仿宋" w:hint="eastAsia"/>
          <w:bCs/>
          <w:sz w:val="24"/>
        </w:rPr>
        <w:t>在合同签订生效后30日，</w:t>
      </w:r>
      <w:r>
        <w:rPr>
          <w:rFonts w:ascii="仿宋" w:eastAsia="仿宋" w:hAnsi="仿宋"/>
          <w:bCs/>
          <w:sz w:val="24"/>
        </w:rPr>
        <w:t>进口设备</w:t>
      </w:r>
      <w:r>
        <w:rPr>
          <w:rFonts w:ascii="仿宋" w:eastAsia="仿宋" w:hAnsi="仿宋" w:hint="eastAsia"/>
          <w:bCs/>
          <w:sz w:val="24"/>
        </w:rPr>
        <w:t>在合同签订生效后</w:t>
      </w:r>
      <w:r>
        <w:rPr>
          <w:rFonts w:ascii="仿宋" w:eastAsia="仿宋" w:hAnsi="仿宋"/>
          <w:bCs/>
          <w:sz w:val="24"/>
        </w:rPr>
        <w:t>6</w:t>
      </w:r>
      <w:r>
        <w:rPr>
          <w:rFonts w:ascii="仿宋" w:eastAsia="仿宋" w:hAnsi="仿宋" w:hint="eastAsia"/>
          <w:bCs/>
          <w:sz w:val="24"/>
        </w:rPr>
        <w:t>0日。延迟到货则按成交总价的0.5％/天作为违约金支付给采购人。</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1.2 交货地点：成都市第五人民医院（温江区麻市街33号）。</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2．付款方法和条件</w:t>
      </w:r>
    </w:p>
    <w:p w:rsidR="0021565E" w:rsidRPr="00691CD5" w:rsidRDefault="0021565E" w:rsidP="0021565E">
      <w:pPr>
        <w:spacing w:after="0" w:line="276" w:lineRule="auto"/>
        <w:ind w:firstLineChars="200" w:firstLine="480"/>
        <w:rPr>
          <w:rFonts w:ascii="仿宋" w:eastAsia="仿宋" w:hAnsi="仿宋"/>
          <w:bCs/>
          <w:sz w:val="24"/>
        </w:rPr>
      </w:pPr>
      <w:r w:rsidRPr="00691CD5">
        <w:rPr>
          <w:rFonts w:ascii="仿宋" w:eastAsia="仿宋" w:hAnsi="仿宋" w:hint="eastAsia"/>
          <w:bCs/>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21565E" w:rsidRDefault="0021565E" w:rsidP="0021565E">
      <w:pPr>
        <w:spacing w:after="0" w:line="276" w:lineRule="auto"/>
        <w:ind w:firstLineChars="200" w:firstLine="480"/>
        <w:rPr>
          <w:rFonts w:ascii="仿宋" w:eastAsia="仿宋" w:hAnsi="仿宋"/>
          <w:bCs/>
          <w:sz w:val="24"/>
        </w:rPr>
      </w:pPr>
      <w:r w:rsidRPr="00691CD5">
        <w:rPr>
          <w:rFonts w:ascii="仿宋" w:eastAsia="仿宋" w:hAnsi="仿宋" w:hint="eastAsia"/>
          <w:bCs/>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注：上述2种方式供应商均需应答，采购人根据资金情况在合同明确约定具体付款方式。</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3.质保期：2年，自全部货物安装完毕且验收合格之日起计算。</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4.售后服务</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bCs/>
          <w:sz w:val="24"/>
        </w:rPr>
        <w:t>4.1</w:t>
      </w:r>
      <w:r>
        <w:rPr>
          <w:rFonts w:ascii="仿宋" w:eastAsia="仿宋" w:hAnsi="仿宋" w:hint="eastAsia"/>
          <w:bCs/>
          <w:sz w:val="24"/>
        </w:rPr>
        <w:t>提供售后服务承诺，维修响应时间2小时。</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bCs/>
          <w:sz w:val="24"/>
        </w:rPr>
        <w:t>4.3</w:t>
      </w:r>
      <w:r>
        <w:rPr>
          <w:rFonts w:ascii="仿宋" w:eastAsia="仿宋" w:hAnsi="仿宋" w:hint="eastAsia"/>
          <w:bCs/>
          <w:sz w:val="24"/>
        </w:rPr>
        <w:t>制造厂家需配备原厂的维修工程师常驻项目所在地省份，提供工程师名单、工作证和身份证（复印件），并提供在项目所在地的座机服务电话和手机。（或提供书面承诺函原件，承诺中标后一个月内在项目所在地省份提供原厂的维修工程师常驻）</w:t>
      </w:r>
      <w:r w:rsidRPr="00691CD5">
        <w:rPr>
          <w:rFonts w:ascii="仿宋" w:eastAsia="仿宋" w:hAnsi="仿宋" w:hint="eastAsia"/>
          <w:bCs/>
          <w:sz w:val="24"/>
        </w:rPr>
        <w:t>（中标人签订合同时提供）</w:t>
      </w:r>
      <w:r>
        <w:rPr>
          <w:rFonts w:ascii="仿宋" w:eastAsia="仿宋" w:hAnsi="仿宋" w:hint="eastAsia"/>
          <w:bCs/>
          <w:sz w:val="24"/>
        </w:rPr>
        <w:t>。</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bCs/>
          <w:sz w:val="24"/>
        </w:rPr>
        <w:t xml:space="preserve">4.4 </w:t>
      </w:r>
      <w:r>
        <w:rPr>
          <w:rFonts w:ascii="仿宋" w:eastAsia="仿宋" w:hAnsi="仿宋" w:hint="eastAsia"/>
          <w:bCs/>
          <w:sz w:val="24"/>
        </w:rPr>
        <w:t>48小时无法排除故障，需提供备用设备。</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bCs/>
          <w:sz w:val="24"/>
        </w:rPr>
        <w:t>.5</w:t>
      </w:r>
      <w:r>
        <w:rPr>
          <w:rFonts w:ascii="仿宋" w:eastAsia="仿宋" w:hAnsi="仿宋" w:hint="eastAsia"/>
          <w:bCs/>
          <w:sz w:val="24"/>
        </w:rPr>
        <w:t>本项目采购的设备如需与医院现有的柯林布瑞HSB数据总线进行数据交</w:t>
      </w:r>
      <w:r>
        <w:rPr>
          <w:rFonts w:ascii="仿宋" w:eastAsia="仿宋" w:hAnsi="仿宋" w:hint="eastAsia"/>
          <w:bCs/>
          <w:sz w:val="24"/>
        </w:rPr>
        <w:lastRenderedPageBreak/>
        <w:t>互的，由供应商负责与信息科对接工作，费用包含在报价中。</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5.安装调试及技术服务（含培训）：</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5.1中标人在货物抵达医院后7日内到达现场组织进行安装、调试，达到正式运行要求，保证医院能正常使用。安装调试，经医院方正式验收合格后，方可付款。</w:t>
      </w:r>
      <w:r w:rsidRPr="00691CD5">
        <w:rPr>
          <w:rFonts w:ascii="仿宋" w:eastAsia="仿宋" w:hAnsi="仿宋" w:hint="eastAsia"/>
          <w:bCs/>
          <w:sz w:val="24"/>
        </w:rPr>
        <w:t>（若验收产品涉及有日常使用消耗品（耗材/试剂）等，须待消耗品（耗材/试剂）采购完成后进行验收）</w:t>
      </w:r>
      <w:r>
        <w:rPr>
          <w:rFonts w:ascii="仿宋" w:eastAsia="仿宋" w:hAnsi="仿宋" w:hint="eastAsia"/>
          <w:bCs/>
          <w:sz w:val="24"/>
        </w:rPr>
        <w:t>。</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5</w:t>
      </w:r>
      <w:r>
        <w:rPr>
          <w:rFonts w:ascii="仿宋" w:eastAsia="仿宋" w:hAnsi="仿宋"/>
          <w:bCs/>
          <w:sz w:val="24"/>
        </w:rPr>
        <w:t>.2</w:t>
      </w:r>
      <w:r>
        <w:rPr>
          <w:rFonts w:ascii="仿宋" w:eastAsia="仿宋" w:hAnsi="仿宋" w:hint="eastAsia"/>
          <w:bCs/>
          <w:sz w:val="24"/>
        </w:rPr>
        <w:t>设备安装、调试正常使用后，工程师现场对医院各操作人员进行培训，直到使用者能独立熟练操作为止。对医院的维修人员进行常见故障的判断、处理、维修培训。培训人数以医院制定的为准。</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6.验收</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6</w:t>
      </w:r>
      <w:r>
        <w:rPr>
          <w:rFonts w:ascii="仿宋" w:eastAsia="仿宋" w:hAnsi="仿宋"/>
          <w:bCs/>
          <w:sz w:val="24"/>
        </w:rPr>
        <w:t>.1</w:t>
      </w:r>
      <w:r>
        <w:rPr>
          <w:rFonts w:ascii="仿宋" w:eastAsia="仿宋" w:hAnsi="仿宋" w:hint="eastAsia"/>
          <w:bCs/>
          <w:sz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21565E" w:rsidRDefault="0021565E" w:rsidP="0021565E">
      <w:pPr>
        <w:spacing w:after="0" w:line="276" w:lineRule="auto"/>
        <w:ind w:firstLineChars="200" w:firstLine="480"/>
        <w:rPr>
          <w:rFonts w:ascii="仿宋" w:eastAsia="仿宋" w:hAnsi="仿宋"/>
          <w:bCs/>
          <w:sz w:val="24"/>
        </w:rPr>
      </w:pPr>
      <w:r>
        <w:rPr>
          <w:rFonts w:ascii="仿宋" w:eastAsia="仿宋" w:hAnsi="仿宋" w:hint="eastAsia"/>
          <w:bCs/>
          <w:sz w:val="24"/>
        </w:rPr>
        <w:t>7</w:t>
      </w:r>
      <w:r>
        <w:rPr>
          <w:rFonts w:ascii="仿宋" w:eastAsia="仿宋" w:hAnsi="仿宋"/>
          <w:bCs/>
          <w:sz w:val="24"/>
        </w:rPr>
        <w:t>.</w:t>
      </w:r>
      <w:r>
        <w:rPr>
          <w:rFonts w:ascii="仿宋" w:eastAsia="仿宋" w:hAnsi="仿宋" w:hint="eastAsia"/>
          <w:bCs/>
          <w:sz w:val="24"/>
        </w:rPr>
        <w:t>解决争议</w:t>
      </w:r>
      <w:r>
        <w:rPr>
          <w:rFonts w:ascii="仿宋" w:eastAsia="仿宋" w:hAnsi="仿宋"/>
          <w:bCs/>
          <w:sz w:val="24"/>
        </w:rPr>
        <w:t>的</w:t>
      </w:r>
      <w:r>
        <w:rPr>
          <w:rFonts w:ascii="仿宋" w:eastAsia="仿宋" w:hAnsi="仿宋" w:hint="eastAsia"/>
          <w:bCs/>
          <w:sz w:val="24"/>
        </w:rPr>
        <w:t>方式</w:t>
      </w:r>
      <w:r>
        <w:rPr>
          <w:rFonts w:ascii="仿宋" w:eastAsia="仿宋" w:hAnsi="仿宋"/>
          <w:bCs/>
          <w:sz w:val="24"/>
        </w:rPr>
        <w:t>：</w:t>
      </w:r>
      <w:r>
        <w:rPr>
          <w:rFonts w:ascii="仿宋" w:eastAsia="仿宋" w:hAnsi="仿宋" w:hint="eastAsia"/>
          <w:bCs/>
          <w:sz w:val="24"/>
        </w:rPr>
        <w:t>向采购人</w:t>
      </w:r>
      <w:r>
        <w:rPr>
          <w:rFonts w:ascii="仿宋" w:eastAsia="仿宋" w:hAnsi="仿宋"/>
          <w:bCs/>
          <w:sz w:val="24"/>
        </w:rPr>
        <w:t>所在地</w:t>
      </w:r>
      <w:r>
        <w:rPr>
          <w:rFonts w:ascii="仿宋" w:eastAsia="仿宋" w:hAnsi="仿宋" w:hint="eastAsia"/>
          <w:bCs/>
          <w:sz w:val="24"/>
        </w:rPr>
        <w:t>人民</w:t>
      </w:r>
      <w:r>
        <w:rPr>
          <w:rFonts w:ascii="仿宋" w:eastAsia="仿宋" w:hAnsi="仿宋"/>
          <w:bCs/>
          <w:sz w:val="24"/>
        </w:rPr>
        <w:t>法院</w:t>
      </w:r>
      <w:r>
        <w:rPr>
          <w:rFonts w:ascii="仿宋" w:eastAsia="仿宋" w:hAnsi="仿宋" w:hint="eastAsia"/>
          <w:bCs/>
          <w:sz w:val="24"/>
        </w:rPr>
        <w:t>提起</w:t>
      </w:r>
      <w:r>
        <w:rPr>
          <w:rFonts w:ascii="仿宋" w:eastAsia="仿宋" w:hAnsi="仿宋"/>
          <w:bCs/>
          <w:sz w:val="24"/>
        </w:rPr>
        <w:t>诉讼</w:t>
      </w:r>
      <w:r>
        <w:rPr>
          <w:rFonts w:ascii="仿宋" w:eastAsia="仿宋" w:hAnsi="仿宋" w:hint="eastAsia"/>
          <w:bCs/>
          <w:sz w:val="24"/>
        </w:rPr>
        <w:t>。</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21565E" w:rsidRPr="004A41D5"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9.</w:t>
      </w:r>
      <w:r w:rsidRPr="004A41D5">
        <w:rPr>
          <w:rFonts w:ascii="仿宋" w:eastAsia="仿宋" w:hAnsi="仿宋" w:hint="eastAsia"/>
          <w:bCs/>
          <w:sz w:val="24"/>
        </w:rPr>
        <w:t>凡在国家计量检定、校准规程范围内的仪器设备，投标方应进行首次检定或校准，经质量技术监督授权部门检测合格后，方可交付院方。检测费用由投标方支付，未经检测合格的设备院方不予验收。</w:t>
      </w:r>
    </w:p>
    <w:p w:rsidR="0021565E" w:rsidRPr="004A41D5" w:rsidRDefault="0021565E" w:rsidP="0021565E">
      <w:pPr>
        <w:pStyle w:val="a5"/>
        <w:spacing w:line="400" w:lineRule="exact"/>
        <w:ind w:firstLine="480"/>
        <w:rPr>
          <w:rFonts w:ascii="仿宋" w:eastAsia="仿宋" w:hAnsi="仿宋"/>
          <w:bCs/>
          <w:sz w:val="24"/>
        </w:rPr>
      </w:pPr>
      <w:r w:rsidRPr="004A41D5">
        <w:rPr>
          <w:rFonts w:ascii="仿宋" w:eastAsia="仿宋" w:hAnsi="仿宋" w:hint="eastAsia"/>
          <w:bCs/>
          <w:sz w:val="24"/>
        </w:rPr>
        <w:t>10.关于消耗品（耗材/试剂）的要求：</w:t>
      </w:r>
    </w:p>
    <w:p w:rsidR="0021565E" w:rsidRPr="004A41D5" w:rsidRDefault="0021565E" w:rsidP="0021565E">
      <w:pPr>
        <w:pStyle w:val="a5"/>
        <w:spacing w:line="400" w:lineRule="exact"/>
        <w:ind w:firstLine="480"/>
        <w:rPr>
          <w:rFonts w:ascii="仿宋" w:eastAsia="仿宋" w:hAnsi="仿宋"/>
          <w:bCs/>
          <w:sz w:val="24"/>
        </w:rPr>
      </w:pPr>
      <w:r w:rsidRPr="004A41D5">
        <w:rPr>
          <w:rFonts w:ascii="仿宋" w:eastAsia="仿宋" w:hAnsi="仿宋" w:hint="eastAsia"/>
          <w:bCs/>
          <w:sz w:val="24"/>
        </w:rPr>
        <w:t>10.1若所投产品涉及有日常使用消耗品（耗材/试剂）等，须在投标文件中提供消耗品（耗材/试剂）价格清单（应包含消耗品（耗材/试剂）名称、规格、单价及是否挂网）。（清单内价格不计入投标总价）</w:t>
      </w:r>
    </w:p>
    <w:p w:rsidR="0021565E" w:rsidRDefault="0021565E" w:rsidP="0021565E">
      <w:pPr>
        <w:pStyle w:val="a5"/>
        <w:spacing w:line="400" w:lineRule="exact"/>
        <w:ind w:firstLine="480"/>
        <w:rPr>
          <w:rFonts w:ascii="仿宋" w:eastAsia="仿宋" w:hAnsi="仿宋"/>
          <w:bCs/>
          <w:sz w:val="24"/>
        </w:rPr>
      </w:pPr>
      <w:r w:rsidRPr="004A41D5">
        <w:rPr>
          <w:rFonts w:ascii="仿宋" w:eastAsia="仿宋" w:hAnsi="仿宋" w:hint="eastAsia"/>
          <w:bCs/>
          <w:sz w:val="24"/>
        </w:rPr>
        <w:t>10.2按照《关于调整医用耗材和体外诊断试剂挂网目录范围的通知》（川药招〔2021〕157号）文件规定，本项条款10.1中所涉及的消耗品（耗材/试剂）属于必须挂网的产品，投标人必须按文件规定执行（提供四川省药械集中采购及医药价格监管平台（简称省药械采购平台）挂网截图证明），否则按无效投标处理。</w:t>
      </w:r>
    </w:p>
    <w:p w:rsidR="0021565E" w:rsidRDefault="0021565E" w:rsidP="0021565E">
      <w:pPr>
        <w:pStyle w:val="2"/>
        <w:spacing w:line="400" w:lineRule="exact"/>
        <w:rPr>
          <w:rFonts w:ascii="仿宋" w:eastAsia="仿宋" w:hAnsi="仿宋"/>
          <w:sz w:val="24"/>
          <w:szCs w:val="24"/>
        </w:rPr>
      </w:pPr>
      <w:r>
        <w:rPr>
          <w:rFonts w:ascii="仿宋" w:eastAsia="仿宋" w:hAnsi="仿宋" w:hint="eastAsia"/>
          <w:sz w:val="24"/>
          <w:szCs w:val="24"/>
        </w:rPr>
        <w:t>三.技术参数要求</w:t>
      </w:r>
      <w:bookmarkEnd w:id="1"/>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1、工作条件</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lastRenderedPageBreak/>
        <w:t>1.1工作温度+5℃-32℃。</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1.2工作相对湿度：20-80%。</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1.3电源：220V，50赫兹。</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2、主要技术指标</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  可作明场、多人的观察；光学系统：无限远校正光学系统，齐焦距离≤45mm，可升级到单层8孔荧光转换器；也可升级到26人共览装置。</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2.1.1  调焦：载物台垂直运动方式，带聚焦粗调上限停止位置，粗调旋钮扭矩可调，最小微调刻度单位≤1微米</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★2.1.2  观察镜筒：超级宽视野镜筒，视场数≥26.2mm</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2.1.3  照明装置：内置透射光柯勒照明器，大于14W长寿命LED照明，寿命50000小时以上；具备光强管理功能，具备卤素灯色彩模式。</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2.1.4   物镜要求：</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2.1.4.1  4×（N.A. ≥ 0.13 ,FN≥26.2）</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2.1.4.2 10×（N.A. ≥ 0.3,  FN≥26.2）</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2.1.4.3 20×（N.A. ≥0.5,   FN≥26.2）</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2.1.4.4 40×（N.A. ≥0.75,  FN≥26.2）</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★2.1.4.5 100×（N.A. ≥1.30, FN≥26.2）</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2.1.5  载物台：右手低位置同轴驱动旋钮的高抗磨损性陶瓷覆盖层载物台。</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2.1.6  目镜：10X宽视野目镜</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2.1.7  物镜转换器：编码型≥6孔位物镜转换器</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2.1.8  聚光镜：万能低倍聚光镜</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★2.1.9 十三人共览装置：十三人共览装置需是“凹”字型设计，满足科室场地问题；</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★2.1.10 保证每个视野光强度一致，整体视觉为正像观察带来整体视觉一致，带红绿指针。</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2.2 同品牌实时预览专用4K数码相机，保证售后服务</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lastRenderedPageBreak/>
        <w:t>2.2.1  有效像素：≥1800万，最大图像分辨率：≥4912 X 3684</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 xml:space="preserve">2.2.2  </w:t>
      </w:r>
      <w:r>
        <w:rPr>
          <w:rFonts w:ascii="仿宋" w:eastAsia="仿宋" w:hAnsi="仿宋" w:hint="eastAsia"/>
          <w:bCs/>
          <w:sz w:val="24"/>
        </w:rPr>
        <w:t>图像速度：全分辨率实时速度≥</w:t>
      </w:r>
      <w:r>
        <w:rPr>
          <w:rFonts w:ascii="仿宋" w:eastAsia="仿宋" w:hAnsi="仿宋"/>
          <w:bCs/>
          <w:sz w:val="24"/>
        </w:rPr>
        <w:t xml:space="preserve">10.5 </w:t>
      </w:r>
      <w:r>
        <w:rPr>
          <w:rFonts w:ascii="仿宋" w:eastAsia="仿宋" w:hAnsi="仿宋" w:hint="eastAsia"/>
          <w:bCs/>
          <w:sz w:val="24"/>
        </w:rPr>
        <w:t>幅</w:t>
      </w:r>
      <w:r>
        <w:rPr>
          <w:rFonts w:ascii="仿宋" w:eastAsia="仿宋" w:hAnsi="仿宋"/>
          <w:bCs/>
          <w:sz w:val="24"/>
        </w:rPr>
        <w:t>/</w:t>
      </w:r>
      <w:r>
        <w:rPr>
          <w:rFonts w:ascii="仿宋" w:eastAsia="仿宋" w:hAnsi="仿宋" w:hint="eastAsia"/>
          <w:bCs/>
          <w:sz w:val="24"/>
        </w:rPr>
        <w:t>秒</w:t>
      </w:r>
      <w:r>
        <w:rPr>
          <w:rFonts w:ascii="仿宋" w:eastAsia="仿宋" w:hAnsi="仿宋"/>
          <w:bCs/>
          <w:sz w:val="24"/>
        </w:rPr>
        <w:t>@4912 × 3684</w:t>
      </w:r>
      <w:r>
        <w:rPr>
          <w:rFonts w:ascii="仿宋" w:eastAsia="仿宋" w:hAnsi="仿宋" w:hint="eastAsia"/>
          <w:bCs/>
          <w:sz w:val="24"/>
        </w:rPr>
        <w:t>，</w:t>
      </w:r>
      <w:r>
        <w:rPr>
          <w:rFonts w:ascii="仿宋" w:eastAsia="仿宋" w:hAnsi="仿宋"/>
          <w:bCs/>
          <w:sz w:val="24"/>
        </w:rPr>
        <w:t>45</w:t>
      </w:r>
      <w:r>
        <w:rPr>
          <w:rFonts w:ascii="仿宋" w:eastAsia="仿宋" w:hAnsi="仿宋" w:hint="eastAsia"/>
          <w:bCs/>
          <w:sz w:val="24"/>
        </w:rPr>
        <w:t>幅</w:t>
      </w:r>
      <w:r>
        <w:rPr>
          <w:rFonts w:ascii="仿宋" w:eastAsia="仿宋" w:hAnsi="仿宋"/>
          <w:bCs/>
          <w:sz w:val="24"/>
        </w:rPr>
        <w:t>/</w:t>
      </w:r>
      <w:r>
        <w:rPr>
          <w:rFonts w:ascii="仿宋" w:eastAsia="仿宋" w:hAnsi="仿宋" w:hint="eastAsia"/>
          <w:bCs/>
          <w:sz w:val="24"/>
        </w:rPr>
        <w:t>秒</w:t>
      </w:r>
      <w:r>
        <w:rPr>
          <w:rFonts w:ascii="仿宋" w:eastAsia="仿宋" w:hAnsi="仿宋"/>
          <w:bCs/>
          <w:sz w:val="24"/>
        </w:rPr>
        <w:t>@1224 × 960</w:t>
      </w:r>
      <w:r>
        <w:rPr>
          <w:rFonts w:ascii="仿宋" w:eastAsia="仿宋" w:hAnsi="仿宋" w:hint="eastAsia"/>
          <w:bCs/>
          <w:sz w:val="24"/>
        </w:rPr>
        <w:t>；</w:t>
      </w:r>
      <w:r>
        <w:rPr>
          <w:rFonts w:ascii="仿宋" w:eastAsia="仿宋" w:hAnsi="仿宋"/>
          <w:bCs/>
          <w:sz w:val="24"/>
        </w:rPr>
        <w:t>(4K UHD 16:9)</w:t>
      </w:r>
      <w:r>
        <w:rPr>
          <w:rFonts w:ascii="MS Gothic" w:eastAsia="MS Gothic" w:hAnsi="MS Gothic" w:cs="MS Gothic" w:hint="eastAsia"/>
          <w:bCs/>
          <w:sz w:val="24"/>
        </w:rPr>
        <w:t> </w:t>
      </w:r>
      <w:r>
        <w:rPr>
          <w:rFonts w:ascii="仿宋" w:eastAsia="仿宋" w:hAnsi="仿宋"/>
          <w:bCs/>
          <w:sz w:val="24"/>
        </w:rPr>
        <w:t xml:space="preserve"> 3840 </w:t>
      </w:r>
      <w:r>
        <w:rPr>
          <w:rFonts w:ascii="仿宋" w:eastAsia="仿宋" w:hAnsi="仿宋" w:cs="Calibri"/>
          <w:bCs/>
          <w:sz w:val="24"/>
        </w:rPr>
        <w:t>×</w:t>
      </w:r>
      <w:r>
        <w:rPr>
          <w:rFonts w:ascii="仿宋" w:eastAsia="仿宋" w:hAnsi="仿宋"/>
          <w:bCs/>
          <w:sz w:val="24"/>
        </w:rPr>
        <w:t xml:space="preserve"> 2160 </w:t>
      </w:r>
      <w:r>
        <w:rPr>
          <w:rFonts w:ascii="仿宋" w:eastAsia="仿宋" w:hAnsi="仿宋" w:hint="eastAsia"/>
          <w:bCs/>
          <w:sz w:val="24"/>
        </w:rPr>
        <w:t>实时预览≥</w:t>
      </w:r>
      <w:r>
        <w:rPr>
          <w:rFonts w:ascii="仿宋" w:eastAsia="仿宋" w:hAnsi="仿宋"/>
          <w:bCs/>
          <w:sz w:val="24"/>
        </w:rPr>
        <w:t xml:space="preserve">25 </w:t>
      </w:r>
      <w:r>
        <w:rPr>
          <w:rFonts w:ascii="仿宋" w:eastAsia="仿宋" w:hAnsi="仿宋" w:hint="eastAsia"/>
          <w:bCs/>
          <w:sz w:val="24"/>
        </w:rPr>
        <w:t>幅</w:t>
      </w:r>
      <w:r>
        <w:rPr>
          <w:rFonts w:ascii="仿宋" w:eastAsia="仿宋" w:hAnsi="仿宋"/>
          <w:bCs/>
          <w:sz w:val="24"/>
        </w:rPr>
        <w:t>/</w:t>
      </w:r>
      <w:r>
        <w:rPr>
          <w:rFonts w:ascii="仿宋" w:eastAsia="仿宋" w:hAnsi="仿宋" w:hint="eastAsia"/>
          <w:bCs/>
          <w:sz w:val="24"/>
        </w:rPr>
        <w:t>秒</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★2.2.3  像素尺寸：1.25um X 1.25um</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2.2.4 色彩还原：具有真实色彩还原功能</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  显微图像控制及分析软件</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2.3.1  采集图像：支持多种型号专业CCD ，界面直观，操作容易</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2.3.2  对图像中的直线显示线上灰度强度变化，从而反映图像中的变化特性；</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2.3.3  具备图像上添加注释、箭头等功能；</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2.3.4  调节亮度、对比度、伽玛值以及灰度显示范围，并可以单独调节RGB各通道的亮度；</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2.3.5  对单荧光通道图片做色彩合成，方便显示多染标本的图像；</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2.3.6  合成透射光和荧光通道图像，显示荧光在细胞上的定位图像；</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2.3.7  支持反转滤镜，能够更好的比较色彩变化；</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2.3.8  具备输入硬件信息即可实现添加标尺功能，从而显示图像的放大比例关系；</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2.3.9  可以做离线白平衡，便于后期图像色彩修正；</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2.3.10 可以执行简单的手动测量功能，如长度测量和面积测量。</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3、基本配置：</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显微镜主机                                         1套</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LED明场照明系统                                    1套</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物镜4×、10×、20× 、40×、100×                  1套</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十三人共览装置                                     1套</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4K成像系统                                         1套</w:t>
      </w:r>
    </w:p>
    <w:p w:rsidR="0021565E" w:rsidRDefault="0021565E" w:rsidP="0021565E">
      <w:pPr>
        <w:pStyle w:val="a5"/>
        <w:spacing w:line="400" w:lineRule="exact"/>
        <w:ind w:firstLine="480"/>
        <w:rPr>
          <w:rFonts w:ascii="仿宋" w:eastAsia="仿宋" w:hAnsi="仿宋"/>
          <w:bCs/>
          <w:sz w:val="24"/>
        </w:rPr>
      </w:pPr>
      <w:r>
        <w:rPr>
          <w:rFonts w:ascii="仿宋" w:eastAsia="仿宋" w:hAnsi="仿宋" w:hint="eastAsia"/>
          <w:bCs/>
          <w:sz w:val="24"/>
        </w:rPr>
        <w:t>显示系统                                            2套</w:t>
      </w:r>
    </w:p>
    <w:p w:rsidR="0021565E" w:rsidRDefault="0021565E" w:rsidP="0021565E">
      <w:pPr>
        <w:pStyle w:val="a5"/>
        <w:spacing w:line="400" w:lineRule="exact"/>
        <w:ind w:firstLine="480"/>
        <w:rPr>
          <w:rFonts w:ascii="仿宋" w:eastAsia="仿宋" w:hAnsi="仿宋"/>
          <w:bCs/>
          <w:sz w:val="24"/>
        </w:rPr>
      </w:pPr>
      <w:r>
        <w:rPr>
          <w:rFonts w:ascii="仿宋" w:eastAsia="仿宋" w:hAnsi="仿宋" w:cstheme="minorBidi" w:hint="eastAsia"/>
          <w:sz w:val="24"/>
        </w:rPr>
        <w:lastRenderedPageBreak/>
        <w:t>★</w:t>
      </w:r>
      <w:r>
        <w:rPr>
          <w:rFonts w:ascii="仿宋" w:eastAsia="仿宋" w:hAnsi="仿宋" w:cstheme="minorBidi"/>
          <w:sz w:val="24"/>
        </w:rPr>
        <w:t>4</w:t>
      </w:r>
      <w:r>
        <w:rPr>
          <w:rFonts w:ascii="仿宋" w:eastAsia="仿宋" w:hAnsi="仿宋" w:cstheme="minorBidi" w:hint="eastAsia"/>
          <w:sz w:val="24"/>
        </w:rPr>
        <w:t>、为保证产品的合法来源，非生产厂家投标，投标产品需具有投标产品生产厂家或有效经销商针对本项目的授权委托书原件。</w:t>
      </w:r>
    </w:p>
    <w:p w:rsidR="0048404B" w:rsidRPr="0021565E" w:rsidRDefault="0048404B" w:rsidP="0021565E">
      <w:bookmarkStart w:id="2" w:name="_GoBack"/>
      <w:bookmarkEnd w:id="2"/>
    </w:p>
    <w:sectPr w:rsidR="0048404B" w:rsidRPr="00215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1F" w:rsidRDefault="00D1031F" w:rsidP="00AA57D4">
      <w:pPr>
        <w:spacing w:after="0" w:line="240" w:lineRule="auto"/>
      </w:pPr>
      <w:r>
        <w:separator/>
      </w:r>
    </w:p>
  </w:endnote>
  <w:endnote w:type="continuationSeparator" w:id="0">
    <w:p w:rsidR="00D1031F" w:rsidRDefault="00D1031F" w:rsidP="00AA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1F" w:rsidRDefault="00D1031F" w:rsidP="00AA57D4">
      <w:pPr>
        <w:spacing w:after="0" w:line="240" w:lineRule="auto"/>
      </w:pPr>
      <w:r>
        <w:separator/>
      </w:r>
    </w:p>
  </w:footnote>
  <w:footnote w:type="continuationSeparator" w:id="0">
    <w:p w:rsidR="00D1031F" w:rsidRDefault="00D1031F" w:rsidP="00AA5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81"/>
    <w:rsid w:val="000C3EB4"/>
    <w:rsid w:val="001F3681"/>
    <w:rsid w:val="0021565E"/>
    <w:rsid w:val="00454CAF"/>
    <w:rsid w:val="0048404B"/>
    <w:rsid w:val="00AA57D4"/>
    <w:rsid w:val="00D1031F"/>
    <w:rsid w:val="00DA7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7E6E7-C61D-4A70-9C4E-6F00FEE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AA57D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AA57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A57D4"/>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link w:val="4Char"/>
    <w:uiPriority w:val="9"/>
    <w:semiHidden/>
    <w:unhideWhenUsed/>
    <w:qFormat/>
    <w:rsid w:val="00AA57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7D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57D4"/>
    <w:rPr>
      <w:sz w:val="18"/>
      <w:szCs w:val="18"/>
    </w:rPr>
  </w:style>
  <w:style w:type="paragraph" w:styleId="a4">
    <w:name w:val="footer"/>
    <w:basedOn w:val="a"/>
    <w:link w:val="Char0"/>
    <w:uiPriority w:val="99"/>
    <w:unhideWhenUsed/>
    <w:rsid w:val="00AA57D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57D4"/>
    <w:rPr>
      <w:sz w:val="18"/>
      <w:szCs w:val="18"/>
    </w:rPr>
  </w:style>
  <w:style w:type="character" w:customStyle="1" w:styleId="1Char">
    <w:name w:val="标题 1 Char"/>
    <w:basedOn w:val="a0"/>
    <w:link w:val="1"/>
    <w:qFormat/>
    <w:rsid w:val="00AA57D4"/>
    <w:rPr>
      <w:rFonts w:ascii="Calibri" w:eastAsia="宋体" w:hAnsi="Calibri" w:cs="Times New Roman"/>
      <w:b/>
      <w:bCs/>
      <w:kern w:val="44"/>
      <w:sz w:val="44"/>
      <w:szCs w:val="44"/>
    </w:rPr>
  </w:style>
  <w:style w:type="character" w:customStyle="1" w:styleId="2Char">
    <w:name w:val="标题 2 Char"/>
    <w:basedOn w:val="a0"/>
    <w:link w:val="2"/>
    <w:rsid w:val="00AA57D4"/>
    <w:rPr>
      <w:rFonts w:ascii="Arial" w:eastAsia="黑体" w:hAnsi="Arial" w:cs="Times New Roman"/>
      <w:b/>
      <w:bCs/>
      <w:sz w:val="32"/>
      <w:szCs w:val="32"/>
    </w:rPr>
  </w:style>
  <w:style w:type="paragraph" w:styleId="a5">
    <w:name w:val="Normal Indent"/>
    <w:basedOn w:val="a"/>
    <w:qFormat/>
    <w:rsid w:val="00AA57D4"/>
    <w:pPr>
      <w:ind w:firstLineChars="200" w:firstLine="200"/>
    </w:pPr>
  </w:style>
  <w:style w:type="table" w:styleId="a6">
    <w:name w:val="Table Grid"/>
    <w:basedOn w:val="a1"/>
    <w:qFormat/>
    <w:rsid w:val="00AA57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semiHidden/>
    <w:rsid w:val="00AA57D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4</cp:revision>
  <dcterms:created xsi:type="dcterms:W3CDTF">2021-12-13T10:17:00Z</dcterms:created>
  <dcterms:modified xsi:type="dcterms:W3CDTF">2021-12-13T10:46:00Z</dcterms:modified>
</cp:coreProperties>
</file>