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AD" w:rsidRPr="005833AD" w:rsidRDefault="005833AD" w:rsidP="005833AD">
      <w:pPr>
        <w:keepNext/>
        <w:keepLines/>
        <w:spacing w:before="340" w:after="330" w:line="578" w:lineRule="auto"/>
        <w:jc w:val="center"/>
        <w:outlineLvl w:val="0"/>
        <w:rPr>
          <w:rFonts w:ascii="仿宋" w:eastAsia="仿宋" w:hAnsi="仿宋" w:cs="Times New Roman"/>
          <w:b/>
          <w:bCs/>
          <w:kern w:val="44"/>
          <w:sz w:val="36"/>
          <w:szCs w:val="36"/>
        </w:rPr>
      </w:pPr>
      <w:r w:rsidRPr="005833AD">
        <w:rPr>
          <w:rFonts w:ascii="仿宋" w:eastAsia="仿宋" w:hAnsi="仿宋" w:cs="Times New Roman" w:hint="eastAsia"/>
          <w:b/>
          <w:bCs/>
          <w:kern w:val="44"/>
          <w:sz w:val="36"/>
          <w:szCs w:val="36"/>
        </w:rPr>
        <w:t>招标项目技术、服务、政府采购合同内容条款及其他商务要求</w:t>
      </w:r>
    </w:p>
    <w:p w:rsidR="005833AD" w:rsidRPr="005833AD" w:rsidRDefault="005833AD" w:rsidP="005833AD">
      <w:pPr>
        <w:spacing w:after="160" w:line="400" w:lineRule="exact"/>
        <w:ind w:firstLineChars="98" w:firstLine="235"/>
        <w:rPr>
          <w:rFonts w:ascii="仿宋" w:eastAsia="仿宋" w:hAnsi="仿宋" w:cs="Times New Roman"/>
          <w:sz w:val="24"/>
          <w:szCs w:val="24"/>
        </w:rPr>
      </w:pPr>
      <w:bookmarkStart w:id="0" w:name="_Toc217446094"/>
      <w:r w:rsidRPr="005833AD">
        <w:rPr>
          <w:rFonts w:ascii="仿宋" w:eastAsia="仿宋" w:hAnsi="仿宋" w:cs="Times New Roman" w:hint="eastAsia"/>
          <w:sz w:val="24"/>
          <w:szCs w:val="24"/>
        </w:rPr>
        <w:t>前提：本章中标注“</w:t>
      </w:r>
      <w:r w:rsidRPr="005833AD">
        <w:rPr>
          <w:rFonts w:ascii="仿宋" w:eastAsia="仿宋" w:hAnsi="仿宋" w:cs="Times New Roman"/>
          <w:sz w:val="24"/>
          <w:szCs w:val="24"/>
        </w:rPr>
        <w:t>*”的条款为本项目的实质性条款，投标人不满足的，将按照无效投标处理。</w:t>
      </w:r>
    </w:p>
    <w:bookmarkEnd w:id="0"/>
    <w:p w:rsidR="005833AD" w:rsidRPr="005833AD" w:rsidRDefault="005833AD" w:rsidP="005833AD">
      <w:pPr>
        <w:keepNext/>
        <w:keepLines/>
        <w:spacing w:before="260" w:after="260" w:line="400" w:lineRule="exact"/>
        <w:outlineLvl w:val="1"/>
        <w:rPr>
          <w:rFonts w:ascii="仿宋" w:eastAsia="仿宋" w:hAnsi="仿宋" w:cs="Times New Roman"/>
          <w:b/>
          <w:bCs/>
          <w:sz w:val="24"/>
          <w:szCs w:val="24"/>
        </w:rPr>
      </w:pPr>
      <w:proofErr w:type="gramStart"/>
      <w:r w:rsidRPr="005833AD">
        <w:rPr>
          <w:rFonts w:ascii="仿宋" w:eastAsia="仿宋" w:hAnsi="仿宋" w:cs="Times New Roman" w:hint="eastAsia"/>
          <w:b/>
          <w:bCs/>
          <w:sz w:val="24"/>
          <w:szCs w:val="24"/>
        </w:rPr>
        <w:t>一</w:t>
      </w:r>
      <w:proofErr w:type="gramEnd"/>
      <w:r w:rsidRPr="005833AD">
        <w:rPr>
          <w:rFonts w:ascii="仿宋" w:eastAsia="仿宋" w:hAnsi="仿宋" w:cs="Times New Roman"/>
          <w:b/>
          <w:bCs/>
          <w:sz w:val="24"/>
          <w:szCs w:val="24"/>
        </w:rPr>
        <w:t>.</w:t>
      </w:r>
      <w:r w:rsidRPr="005833AD">
        <w:rPr>
          <w:rFonts w:ascii="仿宋" w:eastAsia="仿宋" w:hAnsi="仿宋" w:cs="Times New Roman" w:hint="eastAsia"/>
          <w:b/>
          <w:bCs/>
          <w:sz w:val="24"/>
          <w:szCs w:val="24"/>
        </w:rPr>
        <w:t>项目概述</w:t>
      </w:r>
    </w:p>
    <w:p w:rsidR="005833AD" w:rsidRPr="005833AD" w:rsidRDefault="005833AD" w:rsidP="005833AD">
      <w:pPr>
        <w:spacing w:after="160" w:line="400" w:lineRule="exact"/>
        <w:ind w:firstLineChars="200" w:firstLine="480"/>
        <w:rPr>
          <w:rFonts w:ascii="仿宋" w:eastAsia="仿宋" w:hAnsi="仿宋" w:cs="Times New Roman"/>
          <w:bCs/>
          <w:sz w:val="24"/>
          <w:szCs w:val="24"/>
        </w:rPr>
      </w:pPr>
      <w:bookmarkStart w:id="1" w:name="_Toc217446095"/>
      <w:r w:rsidRPr="005833AD">
        <w:rPr>
          <w:rFonts w:ascii="仿宋" w:eastAsia="仿宋" w:hAnsi="仿宋" w:cs="Times New Roman" w:hint="eastAsia"/>
          <w:bCs/>
          <w:sz w:val="24"/>
          <w:szCs w:val="24"/>
        </w:rPr>
        <w:t>本项目共</w:t>
      </w:r>
      <w:r w:rsidRPr="005833AD">
        <w:rPr>
          <w:rFonts w:ascii="仿宋" w:eastAsia="仿宋" w:hAnsi="仿宋" w:cs="Times New Roman"/>
          <w:bCs/>
          <w:sz w:val="24"/>
          <w:szCs w:val="24"/>
        </w:rPr>
        <w:t>6</w:t>
      </w:r>
      <w:r w:rsidRPr="005833AD">
        <w:rPr>
          <w:rFonts w:ascii="仿宋" w:eastAsia="仿宋" w:hAnsi="仿宋" w:cs="Times New Roman" w:hint="eastAsia"/>
          <w:bCs/>
          <w:sz w:val="24"/>
          <w:szCs w:val="24"/>
        </w:rPr>
        <w:t>个包，采购清单及最高限价如下表：</w:t>
      </w:r>
    </w:p>
    <w:tbl>
      <w:tblPr>
        <w:tblStyle w:val="1"/>
        <w:tblW w:w="9063" w:type="dxa"/>
        <w:jc w:val="center"/>
        <w:tblLook w:val="04A0" w:firstRow="1" w:lastRow="0" w:firstColumn="1" w:lastColumn="0" w:noHBand="0" w:noVBand="1"/>
      </w:tblPr>
      <w:tblGrid>
        <w:gridCol w:w="709"/>
        <w:gridCol w:w="611"/>
        <w:gridCol w:w="3358"/>
        <w:gridCol w:w="2127"/>
        <w:gridCol w:w="1417"/>
        <w:gridCol w:w="841"/>
      </w:tblGrid>
      <w:tr w:rsidR="005833AD" w:rsidRPr="005833AD" w:rsidTr="00FA30E2">
        <w:trPr>
          <w:trHeight w:val="601"/>
          <w:jc w:val="center"/>
        </w:trPr>
        <w:tc>
          <w:tcPr>
            <w:tcW w:w="709" w:type="dxa"/>
            <w:vAlign w:val="center"/>
          </w:tcPr>
          <w:p w:rsidR="005833AD" w:rsidRPr="005833AD" w:rsidRDefault="005833AD" w:rsidP="005833AD">
            <w:pPr>
              <w:spacing w:line="276" w:lineRule="auto"/>
              <w:jc w:val="center"/>
              <w:rPr>
                <w:rFonts w:ascii="仿宋" w:eastAsia="仿宋" w:hAnsi="仿宋"/>
                <w:bCs/>
                <w:sz w:val="24"/>
                <w:szCs w:val="24"/>
              </w:rPr>
            </w:pPr>
            <w:proofErr w:type="gramStart"/>
            <w:r w:rsidRPr="005833AD">
              <w:rPr>
                <w:rFonts w:ascii="仿宋" w:eastAsia="仿宋" w:hAnsi="仿宋" w:hint="eastAsia"/>
                <w:bCs/>
                <w:sz w:val="24"/>
                <w:szCs w:val="24"/>
              </w:rPr>
              <w:t>包号</w:t>
            </w:r>
            <w:proofErr w:type="gramEnd"/>
          </w:p>
        </w:tc>
        <w:tc>
          <w:tcPr>
            <w:tcW w:w="611"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序号</w:t>
            </w:r>
          </w:p>
        </w:tc>
        <w:tc>
          <w:tcPr>
            <w:tcW w:w="3358" w:type="dxa"/>
            <w:vAlign w:val="center"/>
          </w:tcPr>
          <w:p w:rsidR="005833AD" w:rsidRPr="005833AD" w:rsidRDefault="005833AD" w:rsidP="005833AD">
            <w:pPr>
              <w:spacing w:line="276" w:lineRule="auto"/>
              <w:ind w:firstLineChars="200" w:firstLine="480"/>
              <w:jc w:val="center"/>
              <w:rPr>
                <w:rFonts w:ascii="仿宋" w:eastAsia="仿宋" w:hAnsi="仿宋"/>
                <w:bCs/>
                <w:sz w:val="24"/>
                <w:szCs w:val="24"/>
              </w:rPr>
            </w:pPr>
            <w:r w:rsidRPr="005833AD">
              <w:rPr>
                <w:rFonts w:ascii="仿宋" w:eastAsia="仿宋" w:hAnsi="仿宋" w:hint="eastAsia"/>
                <w:bCs/>
                <w:sz w:val="24"/>
                <w:szCs w:val="24"/>
              </w:rPr>
              <w:t>标的名称</w:t>
            </w:r>
          </w:p>
        </w:tc>
        <w:tc>
          <w:tcPr>
            <w:tcW w:w="212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设备品牌及型号</w:t>
            </w:r>
          </w:p>
        </w:tc>
        <w:tc>
          <w:tcPr>
            <w:tcW w:w="141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预算金额（人民币/万元）</w:t>
            </w:r>
          </w:p>
        </w:tc>
        <w:tc>
          <w:tcPr>
            <w:tcW w:w="841"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所属行业</w:t>
            </w:r>
          </w:p>
        </w:tc>
      </w:tr>
      <w:tr w:rsidR="005833AD" w:rsidRPr="005833AD" w:rsidTr="00FA30E2">
        <w:trPr>
          <w:trHeight w:val="601"/>
          <w:jc w:val="center"/>
        </w:trPr>
        <w:tc>
          <w:tcPr>
            <w:tcW w:w="1320" w:type="dxa"/>
            <w:gridSpan w:val="2"/>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1</w:t>
            </w:r>
          </w:p>
        </w:tc>
        <w:tc>
          <w:tcPr>
            <w:tcW w:w="3358"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移动式G</w:t>
            </w:r>
            <w:proofErr w:type="gramStart"/>
            <w:r w:rsidRPr="005833AD">
              <w:rPr>
                <w:rFonts w:ascii="仿宋" w:eastAsia="仿宋" w:hAnsi="仿宋" w:hint="eastAsia"/>
                <w:bCs/>
                <w:sz w:val="24"/>
                <w:szCs w:val="24"/>
              </w:rPr>
              <w:t>形臂</w:t>
            </w:r>
            <w:proofErr w:type="gramEnd"/>
            <w:r w:rsidRPr="005833AD">
              <w:rPr>
                <w:rFonts w:ascii="仿宋" w:eastAsia="仿宋" w:hAnsi="仿宋" w:hint="eastAsia"/>
                <w:bCs/>
                <w:sz w:val="24"/>
                <w:szCs w:val="24"/>
              </w:rPr>
              <w:t>X射线成像系统维保服务</w:t>
            </w:r>
          </w:p>
        </w:tc>
        <w:tc>
          <w:tcPr>
            <w:tcW w:w="212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上海</w:t>
            </w:r>
            <w:proofErr w:type="gramStart"/>
            <w:r w:rsidRPr="005833AD">
              <w:rPr>
                <w:rFonts w:ascii="仿宋" w:eastAsia="仿宋" w:hAnsi="仿宋"/>
                <w:bCs/>
                <w:sz w:val="24"/>
                <w:szCs w:val="24"/>
              </w:rPr>
              <w:t>寰</w:t>
            </w:r>
            <w:proofErr w:type="gramEnd"/>
            <w:r w:rsidRPr="005833AD">
              <w:rPr>
                <w:rFonts w:ascii="仿宋" w:eastAsia="仿宋" w:hAnsi="仿宋"/>
                <w:bCs/>
                <w:sz w:val="24"/>
                <w:szCs w:val="24"/>
              </w:rPr>
              <w:t>熙</w:t>
            </w:r>
            <w:r w:rsidRPr="005833AD">
              <w:rPr>
                <w:rFonts w:ascii="仿宋" w:eastAsia="仿宋" w:hAnsi="仿宋" w:hint="eastAsia"/>
                <w:bCs/>
                <w:sz w:val="24"/>
                <w:szCs w:val="24"/>
              </w:rPr>
              <w:t>、</w:t>
            </w:r>
            <w:r w:rsidRPr="005833AD">
              <w:rPr>
                <w:rFonts w:ascii="仿宋" w:eastAsia="仿宋" w:hAnsi="仿宋"/>
                <w:bCs/>
                <w:sz w:val="24"/>
                <w:szCs w:val="24"/>
              </w:rPr>
              <w:t>DigiArc100AC G</w:t>
            </w:r>
            <w:proofErr w:type="gramStart"/>
            <w:r w:rsidRPr="005833AD">
              <w:rPr>
                <w:rFonts w:ascii="仿宋" w:eastAsia="仿宋" w:hAnsi="仿宋" w:hint="eastAsia"/>
                <w:bCs/>
                <w:sz w:val="24"/>
                <w:szCs w:val="24"/>
              </w:rPr>
              <w:t>形臂</w:t>
            </w:r>
            <w:proofErr w:type="gramEnd"/>
          </w:p>
        </w:tc>
        <w:tc>
          <w:tcPr>
            <w:tcW w:w="141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1</w:t>
            </w:r>
            <w:r w:rsidRPr="005833AD">
              <w:rPr>
                <w:rFonts w:ascii="仿宋" w:eastAsia="仿宋" w:hAnsi="仿宋"/>
                <w:bCs/>
                <w:sz w:val="24"/>
                <w:szCs w:val="24"/>
              </w:rPr>
              <w:t>0</w:t>
            </w:r>
          </w:p>
        </w:tc>
        <w:tc>
          <w:tcPr>
            <w:tcW w:w="841" w:type="dxa"/>
            <w:vMerge w:val="restart"/>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其他未列明行业</w:t>
            </w:r>
          </w:p>
        </w:tc>
      </w:tr>
      <w:tr w:rsidR="005833AD" w:rsidRPr="005833AD" w:rsidTr="00FA30E2">
        <w:trPr>
          <w:trHeight w:val="601"/>
          <w:jc w:val="center"/>
        </w:trPr>
        <w:tc>
          <w:tcPr>
            <w:tcW w:w="1320" w:type="dxa"/>
            <w:gridSpan w:val="2"/>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2</w:t>
            </w:r>
          </w:p>
        </w:tc>
        <w:tc>
          <w:tcPr>
            <w:tcW w:w="3358"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麻醉机维保服务</w:t>
            </w:r>
          </w:p>
        </w:tc>
        <w:tc>
          <w:tcPr>
            <w:tcW w:w="212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cs="宋体" w:hint="eastAsia"/>
                <w:sz w:val="24"/>
                <w:szCs w:val="24"/>
              </w:rPr>
              <w:t>德尔格、</w:t>
            </w:r>
            <w:proofErr w:type="spellStart"/>
            <w:r w:rsidRPr="005833AD">
              <w:rPr>
                <w:rFonts w:ascii="仿宋" w:eastAsia="仿宋" w:hAnsi="仿宋"/>
                <w:bCs/>
                <w:sz w:val="24"/>
                <w:szCs w:val="24"/>
              </w:rPr>
              <w:t>Fabius</w:t>
            </w:r>
            <w:proofErr w:type="spellEnd"/>
            <w:r w:rsidRPr="005833AD">
              <w:rPr>
                <w:rFonts w:ascii="仿宋" w:eastAsia="仿宋" w:hAnsi="仿宋"/>
                <w:bCs/>
                <w:sz w:val="24"/>
                <w:szCs w:val="24"/>
              </w:rPr>
              <w:t xml:space="preserve"> Plus/</w:t>
            </w:r>
            <w:proofErr w:type="spellStart"/>
            <w:r w:rsidRPr="005833AD">
              <w:rPr>
                <w:rFonts w:ascii="仿宋" w:eastAsia="仿宋" w:hAnsi="仿宋"/>
                <w:bCs/>
                <w:sz w:val="24"/>
                <w:szCs w:val="24"/>
              </w:rPr>
              <w:t>Fabius</w:t>
            </w:r>
            <w:proofErr w:type="spellEnd"/>
            <w:r w:rsidRPr="005833AD">
              <w:rPr>
                <w:rFonts w:ascii="仿宋" w:eastAsia="仿宋" w:hAnsi="仿宋"/>
                <w:bCs/>
                <w:sz w:val="24"/>
                <w:szCs w:val="24"/>
              </w:rPr>
              <w:t xml:space="preserve"> </w:t>
            </w:r>
            <w:proofErr w:type="spellStart"/>
            <w:r w:rsidRPr="005833AD">
              <w:rPr>
                <w:rFonts w:ascii="仿宋" w:eastAsia="仿宋" w:hAnsi="仿宋"/>
                <w:bCs/>
                <w:sz w:val="24"/>
                <w:szCs w:val="24"/>
              </w:rPr>
              <w:t>Tiro</w:t>
            </w:r>
            <w:proofErr w:type="spellEnd"/>
          </w:p>
        </w:tc>
        <w:tc>
          <w:tcPr>
            <w:tcW w:w="141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14.1</w:t>
            </w:r>
          </w:p>
        </w:tc>
        <w:tc>
          <w:tcPr>
            <w:tcW w:w="841" w:type="dxa"/>
            <w:vMerge/>
            <w:vAlign w:val="center"/>
          </w:tcPr>
          <w:p w:rsidR="005833AD" w:rsidRPr="005833AD" w:rsidRDefault="005833AD" w:rsidP="005833AD">
            <w:pPr>
              <w:spacing w:line="276" w:lineRule="auto"/>
              <w:jc w:val="center"/>
              <w:rPr>
                <w:rFonts w:ascii="仿宋" w:eastAsia="仿宋" w:hAnsi="仿宋"/>
                <w:bCs/>
                <w:sz w:val="24"/>
                <w:szCs w:val="24"/>
              </w:rPr>
            </w:pPr>
          </w:p>
        </w:tc>
      </w:tr>
      <w:tr w:rsidR="005833AD" w:rsidRPr="005833AD" w:rsidTr="00FA30E2">
        <w:trPr>
          <w:trHeight w:val="611"/>
          <w:jc w:val="center"/>
        </w:trPr>
        <w:tc>
          <w:tcPr>
            <w:tcW w:w="1320" w:type="dxa"/>
            <w:gridSpan w:val="2"/>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3</w:t>
            </w:r>
          </w:p>
        </w:tc>
        <w:tc>
          <w:tcPr>
            <w:tcW w:w="3358"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超声多普勒诊断仪1维保服务</w:t>
            </w:r>
          </w:p>
        </w:tc>
        <w:tc>
          <w:tcPr>
            <w:tcW w:w="212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HD15/EPIQ5</w:t>
            </w:r>
          </w:p>
        </w:tc>
        <w:tc>
          <w:tcPr>
            <w:tcW w:w="141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23</w:t>
            </w:r>
          </w:p>
        </w:tc>
        <w:tc>
          <w:tcPr>
            <w:tcW w:w="841" w:type="dxa"/>
            <w:vMerge/>
            <w:vAlign w:val="center"/>
          </w:tcPr>
          <w:p w:rsidR="005833AD" w:rsidRPr="005833AD" w:rsidRDefault="005833AD" w:rsidP="005833AD">
            <w:pPr>
              <w:spacing w:line="276" w:lineRule="auto"/>
              <w:jc w:val="center"/>
              <w:rPr>
                <w:rFonts w:ascii="仿宋" w:eastAsia="仿宋" w:hAnsi="仿宋"/>
                <w:bCs/>
                <w:sz w:val="24"/>
                <w:szCs w:val="24"/>
              </w:rPr>
            </w:pPr>
          </w:p>
        </w:tc>
      </w:tr>
      <w:tr w:rsidR="005833AD" w:rsidRPr="005833AD" w:rsidTr="00FA30E2">
        <w:trPr>
          <w:trHeight w:val="601"/>
          <w:jc w:val="center"/>
        </w:trPr>
        <w:tc>
          <w:tcPr>
            <w:tcW w:w="1320" w:type="dxa"/>
            <w:gridSpan w:val="2"/>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4</w:t>
            </w:r>
          </w:p>
        </w:tc>
        <w:tc>
          <w:tcPr>
            <w:tcW w:w="3358"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超声多普勒诊断仪2维保服务</w:t>
            </w:r>
          </w:p>
        </w:tc>
        <w:tc>
          <w:tcPr>
            <w:tcW w:w="212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cs="宋体" w:hint="eastAsia"/>
                <w:sz w:val="24"/>
                <w:szCs w:val="24"/>
              </w:rPr>
              <w:t>三星、</w:t>
            </w:r>
            <w:r w:rsidRPr="005833AD">
              <w:rPr>
                <w:rFonts w:ascii="仿宋" w:eastAsia="仿宋" w:hAnsi="仿宋"/>
                <w:bCs/>
                <w:sz w:val="24"/>
                <w:szCs w:val="24"/>
              </w:rPr>
              <w:t>WS80A</w:t>
            </w:r>
          </w:p>
        </w:tc>
        <w:tc>
          <w:tcPr>
            <w:tcW w:w="141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16</w:t>
            </w:r>
          </w:p>
        </w:tc>
        <w:tc>
          <w:tcPr>
            <w:tcW w:w="841" w:type="dxa"/>
            <w:vMerge/>
            <w:vAlign w:val="center"/>
          </w:tcPr>
          <w:p w:rsidR="005833AD" w:rsidRPr="005833AD" w:rsidRDefault="005833AD" w:rsidP="005833AD">
            <w:pPr>
              <w:spacing w:line="276" w:lineRule="auto"/>
              <w:jc w:val="center"/>
              <w:rPr>
                <w:rFonts w:ascii="仿宋" w:eastAsia="仿宋" w:hAnsi="仿宋"/>
                <w:bCs/>
                <w:sz w:val="24"/>
                <w:szCs w:val="24"/>
              </w:rPr>
            </w:pPr>
          </w:p>
        </w:tc>
      </w:tr>
      <w:tr w:rsidR="005833AD" w:rsidRPr="005833AD" w:rsidTr="00FA30E2">
        <w:trPr>
          <w:trHeight w:val="601"/>
          <w:jc w:val="center"/>
        </w:trPr>
        <w:tc>
          <w:tcPr>
            <w:tcW w:w="709" w:type="dxa"/>
            <w:vMerge w:val="restart"/>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5</w:t>
            </w:r>
          </w:p>
        </w:tc>
        <w:tc>
          <w:tcPr>
            <w:tcW w:w="611"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5</w:t>
            </w:r>
            <w:r w:rsidRPr="005833AD">
              <w:rPr>
                <w:rFonts w:ascii="仿宋" w:eastAsia="仿宋" w:hAnsi="仿宋" w:hint="eastAsia"/>
                <w:bCs/>
                <w:sz w:val="24"/>
                <w:szCs w:val="24"/>
              </w:rPr>
              <w:t>-</w:t>
            </w:r>
            <w:r w:rsidRPr="005833AD">
              <w:rPr>
                <w:rFonts w:ascii="仿宋" w:eastAsia="仿宋" w:hAnsi="仿宋"/>
                <w:bCs/>
                <w:sz w:val="24"/>
                <w:szCs w:val="24"/>
              </w:rPr>
              <w:t>1</w:t>
            </w:r>
          </w:p>
        </w:tc>
        <w:tc>
          <w:tcPr>
            <w:tcW w:w="3358"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血液透析用双级反渗透水处理装置维保服务</w:t>
            </w:r>
          </w:p>
        </w:tc>
        <w:tc>
          <w:tcPr>
            <w:tcW w:w="212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cs="宋体" w:hint="eastAsia"/>
                <w:sz w:val="24"/>
                <w:szCs w:val="24"/>
              </w:rPr>
              <w:t>成都老肯、</w:t>
            </w:r>
            <w:r w:rsidRPr="005833AD">
              <w:rPr>
                <w:rFonts w:ascii="仿宋" w:eastAsia="仿宋" w:hAnsi="仿宋"/>
                <w:bCs/>
                <w:sz w:val="24"/>
                <w:szCs w:val="24"/>
              </w:rPr>
              <w:t>AquaA2 3000</w:t>
            </w:r>
          </w:p>
        </w:tc>
        <w:tc>
          <w:tcPr>
            <w:tcW w:w="141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2</w:t>
            </w:r>
          </w:p>
        </w:tc>
        <w:tc>
          <w:tcPr>
            <w:tcW w:w="841" w:type="dxa"/>
            <w:vMerge/>
            <w:vAlign w:val="center"/>
          </w:tcPr>
          <w:p w:rsidR="005833AD" w:rsidRPr="005833AD" w:rsidRDefault="005833AD" w:rsidP="005833AD">
            <w:pPr>
              <w:spacing w:line="276" w:lineRule="auto"/>
              <w:jc w:val="center"/>
              <w:rPr>
                <w:rFonts w:ascii="仿宋" w:eastAsia="仿宋" w:hAnsi="仿宋"/>
                <w:bCs/>
                <w:sz w:val="24"/>
                <w:szCs w:val="24"/>
              </w:rPr>
            </w:pPr>
          </w:p>
        </w:tc>
      </w:tr>
      <w:tr w:rsidR="005833AD" w:rsidRPr="005833AD" w:rsidTr="00FA30E2">
        <w:trPr>
          <w:trHeight w:val="310"/>
          <w:jc w:val="center"/>
        </w:trPr>
        <w:tc>
          <w:tcPr>
            <w:tcW w:w="709" w:type="dxa"/>
            <w:vMerge/>
            <w:vAlign w:val="center"/>
          </w:tcPr>
          <w:p w:rsidR="005833AD" w:rsidRPr="005833AD" w:rsidRDefault="005833AD" w:rsidP="005833AD">
            <w:pPr>
              <w:spacing w:line="276" w:lineRule="auto"/>
              <w:jc w:val="center"/>
              <w:rPr>
                <w:rFonts w:ascii="仿宋" w:eastAsia="仿宋" w:hAnsi="仿宋"/>
                <w:bCs/>
                <w:sz w:val="24"/>
                <w:szCs w:val="24"/>
              </w:rPr>
            </w:pPr>
          </w:p>
        </w:tc>
        <w:tc>
          <w:tcPr>
            <w:tcW w:w="611"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5</w:t>
            </w:r>
            <w:r w:rsidRPr="005833AD">
              <w:rPr>
                <w:rFonts w:ascii="仿宋" w:eastAsia="仿宋" w:hAnsi="仿宋" w:hint="eastAsia"/>
                <w:bCs/>
                <w:sz w:val="24"/>
                <w:szCs w:val="24"/>
              </w:rPr>
              <w:t>-</w:t>
            </w:r>
            <w:r w:rsidRPr="005833AD">
              <w:rPr>
                <w:rFonts w:ascii="仿宋" w:eastAsia="仿宋" w:hAnsi="仿宋"/>
                <w:bCs/>
                <w:sz w:val="24"/>
                <w:szCs w:val="24"/>
              </w:rPr>
              <w:t>2</w:t>
            </w:r>
          </w:p>
        </w:tc>
        <w:tc>
          <w:tcPr>
            <w:tcW w:w="3358"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检验科纯水机维保服务</w:t>
            </w:r>
          </w:p>
        </w:tc>
        <w:tc>
          <w:tcPr>
            <w:tcW w:w="2127" w:type="dxa"/>
            <w:vAlign w:val="center"/>
          </w:tcPr>
          <w:p w:rsidR="005833AD" w:rsidRPr="005833AD" w:rsidRDefault="005833AD" w:rsidP="005833AD">
            <w:pPr>
              <w:spacing w:line="276" w:lineRule="auto"/>
              <w:jc w:val="center"/>
              <w:rPr>
                <w:rFonts w:ascii="仿宋" w:eastAsia="仿宋" w:hAnsi="仿宋"/>
                <w:bCs/>
                <w:sz w:val="24"/>
                <w:szCs w:val="24"/>
              </w:rPr>
            </w:pPr>
            <w:proofErr w:type="gramStart"/>
            <w:r w:rsidRPr="005833AD">
              <w:rPr>
                <w:rFonts w:ascii="仿宋" w:eastAsia="仿宋" w:hAnsi="仿宋" w:cs="宋体" w:hint="eastAsia"/>
                <w:sz w:val="24"/>
                <w:szCs w:val="24"/>
              </w:rPr>
              <w:t>四川优普</w:t>
            </w:r>
            <w:proofErr w:type="gramEnd"/>
            <w:r w:rsidRPr="005833AD">
              <w:rPr>
                <w:rFonts w:ascii="仿宋" w:eastAsia="仿宋" w:hAnsi="仿宋"/>
                <w:bCs/>
                <w:sz w:val="24"/>
                <w:szCs w:val="24"/>
              </w:rPr>
              <w:t>500DROEMB</w:t>
            </w:r>
          </w:p>
        </w:tc>
        <w:tc>
          <w:tcPr>
            <w:tcW w:w="141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2</w:t>
            </w:r>
            <w:r w:rsidRPr="005833AD">
              <w:rPr>
                <w:rFonts w:ascii="仿宋" w:eastAsia="仿宋" w:hAnsi="仿宋"/>
                <w:bCs/>
                <w:sz w:val="24"/>
                <w:szCs w:val="24"/>
              </w:rPr>
              <w:t>.18</w:t>
            </w:r>
          </w:p>
        </w:tc>
        <w:tc>
          <w:tcPr>
            <w:tcW w:w="841" w:type="dxa"/>
            <w:vMerge/>
            <w:vAlign w:val="center"/>
          </w:tcPr>
          <w:p w:rsidR="005833AD" w:rsidRPr="005833AD" w:rsidRDefault="005833AD" w:rsidP="005833AD">
            <w:pPr>
              <w:spacing w:line="276" w:lineRule="auto"/>
              <w:jc w:val="center"/>
              <w:rPr>
                <w:rFonts w:ascii="仿宋" w:eastAsia="仿宋" w:hAnsi="仿宋"/>
                <w:bCs/>
                <w:sz w:val="24"/>
                <w:szCs w:val="24"/>
              </w:rPr>
            </w:pPr>
          </w:p>
        </w:tc>
      </w:tr>
      <w:tr w:rsidR="005833AD" w:rsidRPr="005833AD" w:rsidTr="00FA30E2">
        <w:trPr>
          <w:trHeight w:val="611"/>
          <w:jc w:val="center"/>
        </w:trPr>
        <w:tc>
          <w:tcPr>
            <w:tcW w:w="709" w:type="dxa"/>
            <w:vMerge/>
            <w:vAlign w:val="center"/>
          </w:tcPr>
          <w:p w:rsidR="005833AD" w:rsidRPr="005833AD" w:rsidRDefault="005833AD" w:rsidP="005833AD">
            <w:pPr>
              <w:spacing w:line="276" w:lineRule="auto"/>
              <w:jc w:val="center"/>
              <w:rPr>
                <w:rFonts w:ascii="仿宋" w:eastAsia="仿宋" w:hAnsi="仿宋"/>
                <w:bCs/>
                <w:sz w:val="24"/>
                <w:szCs w:val="24"/>
              </w:rPr>
            </w:pPr>
          </w:p>
        </w:tc>
        <w:tc>
          <w:tcPr>
            <w:tcW w:w="611"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5</w:t>
            </w:r>
            <w:r w:rsidRPr="005833AD">
              <w:rPr>
                <w:rFonts w:ascii="仿宋" w:eastAsia="仿宋" w:hAnsi="仿宋" w:hint="eastAsia"/>
                <w:bCs/>
                <w:sz w:val="24"/>
                <w:szCs w:val="24"/>
              </w:rPr>
              <w:t>-</w:t>
            </w:r>
            <w:r w:rsidRPr="005833AD">
              <w:rPr>
                <w:rFonts w:ascii="仿宋" w:eastAsia="仿宋" w:hAnsi="仿宋"/>
                <w:bCs/>
                <w:sz w:val="24"/>
                <w:szCs w:val="24"/>
              </w:rPr>
              <w:t>3</w:t>
            </w:r>
          </w:p>
        </w:tc>
        <w:tc>
          <w:tcPr>
            <w:tcW w:w="3358"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消毒供应中心纯水机维保服务</w:t>
            </w:r>
          </w:p>
        </w:tc>
        <w:tc>
          <w:tcPr>
            <w:tcW w:w="212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cs="宋体" w:hint="eastAsia"/>
                <w:sz w:val="24"/>
                <w:szCs w:val="24"/>
              </w:rPr>
              <w:t>费森尤斯、</w:t>
            </w:r>
            <w:r w:rsidRPr="005833AD">
              <w:rPr>
                <w:rFonts w:ascii="仿宋" w:eastAsia="仿宋" w:hAnsi="仿宋"/>
                <w:bCs/>
                <w:sz w:val="24"/>
                <w:szCs w:val="24"/>
              </w:rPr>
              <w:t>LK/TRO-3000SA</w:t>
            </w:r>
          </w:p>
        </w:tc>
        <w:tc>
          <w:tcPr>
            <w:tcW w:w="141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2</w:t>
            </w:r>
            <w:r w:rsidRPr="005833AD">
              <w:rPr>
                <w:rFonts w:ascii="仿宋" w:eastAsia="仿宋" w:hAnsi="仿宋"/>
                <w:bCs/>
                <w:sz w:val="24"/>
                <w:szCs w:val="24"/>
              </w:rPr>
              <w:t>.4</w:t>
            </w:r>
          </w:p>
        </w:tc>
        <w:tc>
          <w:tcPr>
            <w:tcW w:w="841" w:type="dxa"/>
            <w:vMerge/>
            <w:vAlign w:val="center"/>
          </w:tcPr>
          <w:p w:rsidR="005833AD" w:rsidRPr="005833AD" w:rsidRDefault="005833AD" w:rsidP="005833AD">
            <w:pPr>
              <w:spacing w:line="276" w:lineRule="auto"/>
              <w:jc w:val="center"/>
              <w:rPr>
                <w:rFonts w:ascii="仿宋" w:eastAsia="仿宋" w:hAnsi="仿宋"/>
                <w:bCs/>
                <w:sz w:val="24"/>
                <w:szCs w:val="24"/>
              </w:rPr>
            </w:pPr>
          </w:p>
        </w:tc>
      </w:tr>
      <w:tr w:rsidR="005833AD" w:rsidRPr="005833AD" w:rsidTr="00FA30E2">
        <w:trPr>
          <w:trHeight w:val="601"/>
          <w:jc w:val="center"/>
        </w:trPr>
        <w:tc>
          <w:tcPr>
            <w:tcW w:w="1320" w:type="dxa"/>
            <w:gridSpan w:val="2"/>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6</w:t>
            </w:r>
          </w:p>
        </w:tc>
        <w:tc>
          <w:tcPr>
            <w:tcW w:w="3358"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hint="eastAsia"/>
                <w:bCs/>
                <w:sz w:val="24"/>
                <w:szCs w:val="24"/>
              </w:rPr>
              <w:t>体外冲击波碎石机维保服务</w:t>
            </w:r>
          </w:p>
        </w:tc>
        <w:tc>
          <w:tcPr>
            <w:tcW w:w="212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cs="宋体" w:hint="eastAsia"/>
                <w:sz w:val="24"/>
                <w:szCs w:val="24"/>
              </w:rPr>
              <w:t>深圳慧康、</w:t>
            </w:r>
            <w:r w:rsidRPr="005833AD">
              <w:rPr>
                <w:rFonts w:ascii="仿宋" w:eastAsia="仿宋" w:hAnsi="仿宋"/>
                <w:bCs/>
                <w:sz w:val="24"/>
                <w:szCs w:val="24"/>
              </w:rPr>
              <w:t>HK.ESWL-V</w:t>
            </w:r>
          </w:p>
        </w:tc>
        <w:tc>
          <w:tcPr>
            <w:tcW w:w="1417" w:type="dxa"/>
            <w:vAlign w:val="center"/>
          </w:tcPr>
          <w:p w:rsidR="005833AD" w:rsidRPr="005833AD" w:rsidRDefault="005833AD" w:rsidP="005833AD">
            <w:pPr>
              <w:spacing w:line="276" w:lineRule="auto"/>
              <w:jc w:val="center"/>
              <w:rPr>
                <w:rFonts w:ascii="仿宋" w:eastAsia="仿宋" w:hAnsi="仿宋"/>
                <w:bCs/>
                <w:sz w:val="24"/>
                <w:szCs w:val="24"/>
              </w:rPr>
            </w:pPr>
            <w:r w:rsidRPr="005833AD">
              <w:rPr>
                <w:rFonts w:ascii="仿宋" w:eastAsia="仿宋" w:hAnsi="仿宋"/>
                <w:bCs/>
                <w:sz w:val="24"/>
                <w:szCs w:val="24"/>
              </w:rPr>
              <w:t>3.3</w:t>
            </w:r>
          </w:p>
        </w:tc>
        <w:tc>
          <w:tcPr>
            <w:tcW w:w="841" w:type="dxa"/>
            <w:vMerge/>
            <w:vAlign w:val="center"/>
          </w:tcPr>
          <w:p w:rsidR="005833AD" w:rsidRPr="005833AD" w:rsidRDefault="005833AD" w:rsidP="005833AD">
            <w:pPr>
              <w:spacing w:line="276" w:lineRule="auto"/>
              <w:jc w:val="center"/>
              <w:rPr>
                <w:rFonts w:ascii="仿宋" w:eastAsia="仿宋" w:hAnsi="仿宋"/>
                <w:bCs/>
                <w:sz w:val="24"/>
                <w:szCs w:val="24"/>
              </w:rPr>
            </w:pPr>
          </w:p>
        </w:tc>
      </w:tr>
    </w:tbl>
    <w:p w:rsidR="005833AD" w:rsidRPr="005833AD" w:rsidRDefault="005833AD" w:rsidP="005833AD">
      <w:pPr>
        <w:keepNext/>
        <w:keepLines/>
        <w:spacing w:before="260" w:after="260" w:line="400" w:lineRule="exact"/>
        <w:outlineLvl w:val="1"/>
        <w:rPr>
          <w:rFonts w:ascii="仿宋" w:eastAsia="仿宋" w:hAnsi="仿宋" w:cs="Times New Roman"/>
          <w:b/>
          <w:bCs/>
          <w:sz w:val="24"/>
          <w:szCs w:val="24"/>
        </w:rPr>
      </w:pPr>
      <w:r w:rsidRPr="005833AD">
        <w:rPr>
          <w:rFonts w:ascii="仿宋" w:eastAsia="仿宋" w:hAnsi="仿宋" w:cs="Times New Roman" w:hint="eastAsia"/>
          <w:b/>
          <w:bCs/>
          <w:sz w:val="24"/>
          <w:szCs w:val="24"/>
        </w:rPr>
        <w:t>*二</w:t>
      </w:r>
      <w:r w:rsidRPr="005833AD">
        <w:rPr>
          <w:rFonts w:ascii="仿宋" w:eastAsia="仿宋" w:hAnsi="仿宋" w:cs="Times New Roman"/>
          <w:b/>
          <w:bCs/>
          <w:sz w:val="24"/>
          <w:szCs w:val="24"/>
        </w:rPr>
        <w:t>.</w:t>
      </w:r>
      <w:r w:rsidRPr="005833AD">
        <w:rPr>
          <w:rFonts w:ascii="仿宋" w:eastAsia="仿宋" w:hAnsi="仿宋" w:cs="Times New Roman" w:hint="eastAsia"/>
          <w:b/>
          <w:bCs/>
          <w:sz w:val="24"/>
          <w:szCs w:val="24"/>
        </w:rPr>
        <w:t>商务要求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（一）服务期限：合同签订生效后一年。</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（二）服务地点：成都市双流区第一人民医院（四川大学华西空港医院）。</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lastRenderedPageBreak/>
        <w:t>（三）付款方式及条件：合同签订后5个工作日内预支</w:t>
      </w:r>
      <w:proofErr w:type="gramStart"/>
      <w:r w:rsidRPr="005833AD">
        <w:rPr>
          <w:rFonts w:ascii="仿宋" w:eastAsia="仿宋" w:hAnsi="仿宋" w:cs="Times New Roman" w:hint="eastAsia"/>
          <w:bCs/>
          <w:sz w:val="24"/>
          <w:szCs w:val="24"/>
        </w:rPr>
        <w:t>付合同</w:t>
      </w:r>
      <w:proofErr w:type="gramEnd"/>
      <w:r w:rsidRPr="005833AD">
        <w:rPr>
          <w:rFonts w:ascii="仿宋" w:eastAsia="仿宋" w:hAnsi="仿宋" w:cs="Times New Roman" w:hint="eastAsia"/>
          <w:bCs/>
          <w:sz w:val="24"/>
          <w:szCs w:val="24"/>
        </w:rPr>
        <w:t>总金额30%，合同期满，服务质量达到采购人要求，按考核后金额付剩余部分款项。（中标供应商应及时向采购人提供完整有效发票，采购人因自身原因导致逾期支付应按合同总价万分之一/天的标准支付违约金。)</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（四）验收：中标人与采购人应严格按照《财政部关于进一步加强政府采购需求和履约验收管理的指导意见》（财库〔2016〕205 号）要求进行验收。</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（五）其他要求：投标人须承诺维保过程中涉及到更换的零配件属于医疗设备的，更换的同时须提供产品的医疗器械注册/备案证明材料。</w:t>
      </w:r>
    </w:p>
    <w:p w:rsidR="005833AD" w:rsidRPr="005833AD" w:rsidRDefault="005833AD" w:rsidP="005833AD">
      <w:pPr>
        <w:keepNext/>
        <w:keepLines/>
        <w:spacing w:before="260" w:after="260" w:line="400" w:lineRule="exact"/>
        <w:outlineLvl w:val="1"/>
        <w:rPr>
          <w:rFonts w:ascii="仿宋" w:eastAsia="仿宋" w:hAnsi="仿宋" w:cs="Times New Roman"/>
          <w:b/>
          <w:bCs/>
          <w:sz w:val="24"/>
          <w:szCs w:val="24"/>
        </w:rPr>
      </w:pPr>
      <w:r w:rsidRPr="005833AD">
        <w:rPr>
          <w:rFonts w:ascii="仿宋" w:eastAsia="仿宋" w:hAnsi="仿宋" w:cs="Times New Roman" w:hint="eastAsia"/>
          <w:b/>
          <w:bCs/>
          <w:sz w:val="24"/>
          <w:szCs w:val="24"/>
        </w:rPr>
        <w:t>三</w:t>
      </w:r>
      <w:r w:rsidRPr="005833AD">
        <w:rPr>
          <w:rFonts w:ascii="仿宋" w:eastAsia="仿宋" w:hAnsi="仿宋" w:cs="Times New Roman"/>
          <w:b/>
          <w:bCs/>
          <w:sz w:val="24"/>
          <w:szCs w:val="24"/>
        </w:rPr>
        <w:t>.</w:t>
      </w:r>
      <w:r w:rsidRPr="005833AD">
        <w:rPr>
          <w:rFonts w:ascii="仿宋" w:eastAsia="仿宋" w:hAnsi="仿宋" w:cs="Times New Roman" w:hint="eastAsia"/>
          <w:b/>
          <w:bCs/>
          <w:sz w:val="24"/>
          <w:szCs w:val="24"/>
        </w:rPr>
        <w:t>技术</w:t>
      </w:r>
      <w:r w:rsidRPr="005833AD">
        <w:rPr>
          <w:rFonts w:ascii="仿宋" w:eastAsia="仿宋" w:hAnsi="仿宋" w:cs="Times New Roman"/>
          <w:b/>
          <w:bCs/>
          <w:sz w:val="24"/>
          <w:szCs w:val="24"/>
        </w:rPr>
        <w:t>、服务要求</w:t>
      </w:r>
      <w:bookmarkEnd w:id="1"/>
    </w:p>
    <w:p w:rsidR="005833AD" w:rsidRPr="005833AD" w:rsidRDefault="005833AD" w:rsidP="005833AD">
      <w:pPr>
        <w:spacing w:after="160" w:line="400" w:lineRule="exact"/>
        <w:ind w:firstLineChars="200" w:firstLine="482"/>
        <w:jc w:val="center"/>
        <w:outlineLvl w:val="2"/>
        <w:rPr>
          <w:rFonts w:ascii="仿宋" w:eastAsia="仿宋" w:hAnsi="仿宋" w:cs="Times New Roman"/>
          <w:b/>
          <w:sz w:val="24"/>
          <w:szCs w:val="24"/>
        </w:rPr>
      </w:pPr>
      <w:r w:rsidRPr="005833AD">
        <w:rPr>
          <w:rFonts w:ascii="仿宋" w:eastAsia="仿宋" w:hAnsi="仿宋" w:cs="Times New Roman" w:hint="eastAsia"/>
          <w:b/>
          <w:sz w:val="24"/>
          <w:szCs w:val="24"/>
        </w:rPr>
        <w:t>0</w:t>
      </w:r>
      <w:r w:rsidRPr="005833AD">
        <w:rPr>
          <w:rFonts w:ascii="仿宋" w:eastAsia="仿宋" w:hAnsi="仿宋" w:cs="Times New Roman"/>
          <w:b/>
          <w:sz w:val="24"/>
          <w:szCs w:val="24"/>
        </w:rPr>
        <w:t>1</w:t>
      </w:r>
      <w:r w:rsidRPr="005833AD">
        <w:rPr>
          <w:rFonts w:ascii="仿宋" w:eastAsia="仿宋" w:hAnsi="仿宋" w:cs="Times New Roman" w:hint="eastAsia"/>
          <w:b/>
          <w:sz w:val="24"/>
          <w:szCs w:val="24"/>
        </w:rPr>
        <w:t>包</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 xml:space="preserve">1.原厂工程师技术，原厂零配件供应，确保设备整机原厂的专业性； </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 xml:space="preserve">2.服务范围：整机全保（含所有备件），包含人工、性能调整、故障维修、原厂保养和原厂部件全部更换。 </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 xml:space="preserve">3.响应时间保证：接到运行故障的报修电话，将在正常工作时间的2小时内做出响应；4-8小时内提供诊断及解决方案；24小时内原厂工程师到达现场对设备进行维修，从而使设备尽快恢复正常工作状态。 </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 xml:space="preserve">4.每年提供四次设备保养和检测，并提供维护保养报告，确保设备处于正常状态。 </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 xml:space="preserve">5.及时将系统升级成最新版的软件。 </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6.保证系统开机时间不少于全年的95％（365天/年计算）。如在维修协议实施期间系统开机时间无法达到95％，则按照每超过停机</w:t>
      </w:r>
      <w:proofErr w:type="gramStart"/>
      <w:r w:rsidRPr="005833AD">
        <w:rPr>
          <w:rFonts w:ascii="仿宋" w:eastAsia="仿宋" w:hAnsi="仿宋" w:cs="Times New Roman" w:hint="eastAsia"/>
          <w:bCs/>
          <w:sz w:val="24"/>
          <w:szCs w:val="24"/>
        </w:rPr>
        <w:t>一天延保三天</w:t>
      </w:r>
      <w:proofErr w:type="gramEnd"/>
      <w:r w:rsidRPr="005833AD">
        <w:rPr>
          <w:rFonts w:ascii="仿宋" w:eastAsia="仿宋" w:hAnsi="仿宋" w:cs="Times New Roman" w:hint="eastAsia"/>
          <w:bCs/>
          <w:sz w:val="24"/>
          <w:szCs w:val="24"/>
        </w:rPr>
        <w:t>提供服务。</w:t>
      </w:r>
    </w:p>
    <w:p w:rsidR="005833AD" w:rsidRPr="005833AD" w:rsidRDefault="005833AD" w:rsidP="005833AD">
      <w:pPr>
        <w:spacing w:line="400" w:lineRule="exact"/>
        <w:ind w:firstLineChars="200" w:firstLine="720"/>
        <w:rPr>
          <w:rFonts w:ascii="仿宋" w:eastAsia="仿宋" w:hAnsi="仿宋" w:cs="Times New Roman"/>
          <w:sz w:val="36"/>
          <w:szCs w:val="36"/>
        </w:rPr>
      </w:pPr>
    </w:p>
    <w:p w:rsidR="005833AD" w:rsidRPr="005833AD" w:rsidRDefault="005833AD" w:rsidP="005833AD">
      <w:pPr>
        <w:spacing w:after="160" w:line="400" w:lineRule="exact"/>
        <w:ind w:firstLineChars="200" w:firstLine="482"/>
        <w:jc w:val="center"/>
        <w:outlineLvl w:val="2"/>
        <w:rPr>
          <w:rFonts w:ascii="仿宋" w:eastAsia="仿宋" w:hAnsi="仿宋" w:cs="Times New Roman"/>
          <w:b/>
          <w:sz w:val="24"/>
          <w:szCs w:val="24"/>
        </w:rPr>
      </w:pPr>
      <w:r w:rsidRPr="005833AD">
        <w:rPr>
          <w:rFonts w:ascii="仿宋" w:eastAsia="仿宋" w:hAnsi="仿宋" w:cs="Times New Roman" w:hint="eastAsia"/>
          <w:b/>
          <w:sz w:val="24"/>
          <w:szCs w:val="24"/>
        </w:rPr>
        <w:t>02包</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1、配置四川省内至少2个维修工程师（维修工程师须具有该机型的厂家培训证书资质）。（提供证明材料或承诺函）</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2、投标人须提供麻醉机产品全国专职技术支持团队≥7人。（提供团队名单、联系方式）</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3、能够随时取得设备生产者研发和工厂的技术、物力支持。（提供承诺函</w:t>
      </w:r>
      <w:r w:rsidRPr="005833AD">
        <w:rPr>
          <w:rFonts w:ascii="仿宋" w:eastAsia="仿宋" w:hAnsi="仿宋" w:cs="Times New Roman"/>
          <w:bCs/>
          <w:sz w:val="24"/>
          <w:szCs w:val="24"/>
        </w:rPr>
        <w:t>加盖投标人公章</w:t>
      </w:r>
      <w:r w:rsidRPr="005833AD">
        <w:rPr>
          <w:rFonts w:ascii="仿宋" w:eastAsia="仿宋" w:hAnsi="仿宋" w:cs="Times New Roman" w:hint="eastAsia"/>
          <w:bCs/>
          <w:sz w:val="24"/>
          <w:szCs w:val="24"/>
        </w:rPr>
        <w:t>）</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4、投标人通过ISO9001和ISO13485认证（提供有效证书复印件加盖投标人公章）。</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▲5、投标人须具有德尔格麻醉机设备维修的相关专业工具、仪器、合法的</w:t>
      </w:r>
      <w:r w:rsidRPr="005833AD">
        <w:rPr>
          <w:rFonts w:ascii="仿宋" w:eastAsia="仿宋" w:hAnsi="仿宋" w:cs="Times New Roman" w:hint="eastAsia"/>
          <w:bCs/>
          <w:sz w:val="24"/>
          <w:szCs w:val="24"/>
        </w:rPr>
        <w:lastRenderedPageBreak/>
        <w:t>设备维修密钥，工具序列号。（提供相关证明材料</w:t>
      </w:r>
      <w:r w:rsidRPr="005833AD">
        <w:rPr>
          <w:rFonts w:ascii="仿宋" w:eastAsia="仿宋" w:hAnsi="仿宋" w:cs="Times New Roman"/>
          <w:bCs/>
          <w:sz w:val="24"/>
          <w:szCs w:val="24"/>
        </w:rPr>
        <w:t>加盖投标人公章</w:t>
      </w:r>
      <w:r w:rsidRPr="005833AD">
        <w:rPr>
          <w:rFonts w:ascii="仿宋" w:eastAsia="仿宋" w:hAnsi="仿宋" w:cs="Times New Roman" w:hint="eastAsia"/>
          <w:bCs/>
          <w:sz w:val="24"/>
          <w:szCs w:val="24"/>
        </w:rPr>
        <w:t>）</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6、投标人保证设备开机率达到95%以上（按每年365天计算，每超过一天，按照1：2赔偿）。</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7、投标人须提供全部服务类型：定期巡检、远程服务（电话支持)、现场服务。</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8、服务时间</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8</w:t>
      </w:r>
      <w:r w:rsidRPr="005833AD">
        <w:rPr>
          <w:rFonts w:ascii="仿宋" w:eastAsia="仿宋" w:hAnsi="仿宋" w:cs="Times New Roman"/>
          <w:bCs/>
          <w:sz w:val="24"/>
          <w:szCs w:val="24"/>
        </w:rPr>
        <w:t>.1</w:t>
      </w:r>
      <w:r w:rsidRPr="005833AD">
        <w:rPr>
          <w:rFonts w:ascii="仿宋" w:eastAsia="仿宋" w:hAnsi="仿宋" w:cs="Times New Roman" w:hint="eastAsia"/>
          <w:bCs/>
          <w:sz w:val="24"/>
          <w:szCs w:val="24"/>
        </w:rPr>
        <w:t>提供800及400客户服务专线电话。</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8.</w:t>
      </w:r>
      <w:r w:rsidRPr="005833AD">
        <w:rPr>
          <w:rFonts w:ascii="仿宋" w:eastAsia="仿宋" w:hAnsi="仿宋" w:cs="Times New Roman"/>
          <w:bCs/>
          <w:sz w:val="24"/>
          <w:szCs w:val="24"/>
        </w:rPr>
        <w:t>2</w:t>
      </w:r>
      <w:r w:rsidRPr="005833AD">
        <w:rPr>
          <w:rFonts w:ascii="仿宋" w:eastAsia="仿宋" w:hAnsi="仿宋" w:cs="Times New Roman" w:hint="eastAsia"/>
          <w:bCs/>
          <w:sz w:val="24"/>
          <w:szCs w:val="24"/>
        </w:rPr>
        <w:t>并有5人以上专人接听，且采用服务数据管理类系统。</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8.</w:t>
      </w:r>
      <w:r w:rsidRPr="005833AD">
        <w:rPr>
          <w:rFonts w:ascii="仿宋" w:eastAsia="仿宋" w:hAnsi="仿宋" w:cs="Times New Roman"/>
          <w:bCs/>
          <w:sz w:val="24"/>
          <w:szCs w:val="24"/>
        </w:rPr>
        <w:t>3</w:t>
      </w:r>
      <w:r w:rsidRPr="005833AD">
        <w:rPr>
          <w:rFonts w:ascii="仿宋" w:eastAsia="仿宋" w:hAnsi="仿宋" w:cs="Times New Roman" w:hint="eastAsia"/>
          <w:bCs/>
          <w:sz w:val="24"/>
          <w:szCs w:val="24"/>
        </w:rPr>
        <w:t>每天开通服务时间不少于12小时，全年365天开通。</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9、响应时间要求：接获报修电话后提供突发性问题的解决措施及特殊紧急的合理化处理措施：</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9.1.每年报修响应时间为365天。</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9.2.接获报修电话后响应时间须≤2小时。</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9.3.接获报修电话后到达现场时间≤24小时。</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10、投标人能合法获得使用在有效期内的原厂高级故障诊断软件诊断维修钥匙(Service Key)。</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w:t>
      </w:r>
      <w:r w:rsidRPr="005833AD">
        <w:rPr>
          <w:rFonts w:ascii="仿宋" w:eastAsia="仿宋" w:hAnsi="仿宋" w:cs="Times New Roman"/>
          <w:bCs/>
          <w:sz w:val="24"/>
          <w:szCs w:val="24"/>
        </w:rPr>
        <w:t>1</w:t>
      </w:r>
      <w:r w:rsidRPr="005833AD">
        <w:rPr>
          <w:rFonts w:ascii="仿宋" w:eastAsia="仿宋" w:hAnsi="仿宋" w:cs="Times New Roman" w:hint="eastAsia"/>
          <w:bCs/>
          <w:sz w:val="24"/>
          <w:szCs w:val="24"/>
        </w:rPr>
        <w:t>、零备件供应：所有更换的零部件必须为原厂认证/测试合格件, 有追踪号码且必须提供原厂配件。（提供承诺函）</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w:t>
      </w:r>
      <w:r w:rsidRPr="005833AD">
        <w:rPr>
          <w:rFonts w:ascii="仿宋" w:eastAsia="仿宋" w:hAnsi="仿宋" w:cs="Times New Roman"/>
          <w:bCs/>
          <w:sz w:val="24"/>
          <w:szCs w:val="24"/>
        </w:rPr>
        <w:t>2</w:t>
      </w:r>
      <w:r w:rsidRPr="005833AD">
        <w:rPr>
          <w:rFonts w:ascii="仿宋" w:eastAsia="仿宋" w:hAnsi="仿宋" w:cs="Times New Roman" w:hint="eastAsia"/>
          <w:bCs/>
          <w:sz w:val="24"/>
          <w:szCs w:val="24"/>
        </w:rPr>
        <w:t>、投标人必须在国内设有专门的设备零备件仓库。</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w:t>
      </w:r>
      <w:r w:rsidRPr="005833AD">
        <w:rPr>
          <w:rFonts w:ascii="仿宋" w:eastAsia="仿宋" w:hAnsi="仿宋" w:cs="Times New Roman"/>
          <w:bCs/>
          <w:sz w:val="24"/>
          <w:szCs w:val="24"/>
        </w:rPr>
        <w:t>3</w:t>
      </w:r>
      <w:r w:rsidRPr="005833AD">
        <w:rPr>
          <w:rFonts w:ascii="仿宋" w:eastAsia="仿宋" w:hAnsi="仿宋" w:cs="Times New Roman" w:hint="eastAsia"/>
          <w:bCs/>
          <w:sz w:val="24"/>
          <w:szCs w:val="24"/>
        </w:rPr>
        <w:t>、每年提供现场设备保养≥1次，使之保持原厂QC标准或国家</w:t>
      </w:r>
      <w:proofErr w:type="gramStart"/>
      <w:r w:rsidRPr="005833AD">
        <w:rPr>
          <w:rFonts w:ascii="仿宋" w:eastAsia="仿宋" w:hAnsi="仿宋" w:cs="Times New Roman" w:hint="eastAsia"/>
          <w:bCs/>
          <w:sz w:val="24"/>
          <w:szCs w:val="24"/>
        </w:rPr>
        <w:t>质量计监部门</w:t>
      </w:r>
      <w:proofErr w:type="gramEnd"/>
      <w:r w:rsidRPr="005833AD">
        <w:rPr>
          <w:rFonts w:ascii="仿宋" w:eastAsia="仿宋" w:hAnsi="仿宋" w:cs="Times New Roman" w:hint="eastAsia"/>
          <w:bCs/>
          <w:sz w:val="24"/>
          <w:szCs w:val="24"/>
        </w:rPr>
        <w:t>之标准，并包含如下项目。</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bCs/>
          <w:sz w:val="24"/>
          <w:szCs w:val="24"/>
        </w:rPr>
        <w:t>13.</w:t>
      </w:r>
      <w:r w:rsidRPr="005833AD">
        <w:rPr>
          <w:rFonts w:ascii="仿宋" w:eastAsia="仿宋" w:hAnsi="仿宋" w:cs="Times New Roman" w:hint="eastAsia"/>
          <w:bCs/>
          <w:sz w:val="24"/>
          <w:szCs w:val="24"/>
        </w:rPr>
        <w:t>1.机器清洁≥2次/年。</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bCs/>
          <w:sz w:val="24"/>
          <w:szCs w:val="24"/>
        </w:rPr>
        <w:t>13.</w:t>
      </w:r>
      <w:r w:rsidRPr="005833AD">
        <w:rPr>
          <w:rFonts w:ascii="仿宋" w:eastAsia="仿宋" w:hAnsi="仿宋" w:cs="Times New Roman" w:hint="eastAsia"/>
          <w:bCs/>
          <w:sz w:val="24"/>
          <w:szCs w:val="24"/>
        </w:rPr>
        <w:t>2.性能测试及校准≥2次/年。</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bCs/>
          <w:sz w:val="24"/>
          <w:szCs w:val="24"/>
        </w:rPr>
        <w:t>13.</w:t>
      </w:r>
      <w:r w:rsidRPr="005833AD">
        <w:rPr>
          <w:rFonts w:ascii="仿宋" w:eastAsia="仿宋" w:hAnsi="仿宋" w:cs="Times New Roman" w:hint="eastAsia"/>
          <w:bCs/>
          <w:sz w:val="24"/>
          <w:szCs w:val="24"/>
        </w:rPr>
        <w:t>3.必要的机械或电气环境的检查≥2次/年。</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bCs/>
          <w:sz w:val="24"/>
          <w:szCs w:val="24"/>
        </w:rPr>
        <w:t>13.</w:t>
      </w:r>
      <w:r w:rsidRPr="005833AD">
        <w:rPr>
          <w:rFonts w:ascii="仿宋" w:eastAsia="仿宋" w:hAnsi="仿宋" w:cs="Times New Roman" w:hint="eastAsia"/>
          <w:bCs/>
          <w:sz w:val="24"/>
          <w:szCs w:val="24"/>
        </w:rPr>
        <w:t>4.提供计划性的定期维护报告≥1次/年。</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w:t>
      </w:r>
      <w:r w:rsidRPr="005833AD">
        <w:rPr>
          <w:rFonts w:ascii="仿宋" w:eastAsia="仿宋" w:hAnsi="仿宋" w:cs="Times New Roman"/>
          <w:bCs/>
          <w:sz w:val="24"/>
          <w:szCs w:val="24"/>
        </w:rPr>
        <w:t>4</w:t>
      </w:r>
      <w:r w:rsidRPr="005833AD">
        <w:rPr>
          <w:rFonts w:ascii="仿宋" w:eastAsia="仿宋" w:hAnsi="仿宋" w:cs="Times New Roman" w:hint="eastAsia"/>
          <w:bCs/>
          <w:sz w:val="24"/>
          <w:szCs w:val="24"/>
        </w:rPr>
        <w:t>、在维保周期内所有的故障维修、检测、保养、更换配件、人工、运输（除耗材外）等费用均包含在年维修保养价格内，不再收取任何费用。</w:t>
      </w:r>
    </w:p>
    <w:p w:rsidR="005833AD" w:rsidRPr="005833AD" w:rsidRDefault="005833AD" w:rsidP="005833AD">
      <w:pPr>
        <w:spacing w:after="160" w:line="400" w:lineRule="exact"/>
        <w:ind w:firstLineChars="200" w:firstLine="482"/>
        <w:jc w:val="center"/>
        <w:outlineLvl w:val="2"/>
        <w:rPr>
          <w:rFonts w:ascii="仿宋" w:eastAsia="仿宋" w:hAnsi="仿宋" w:cs="Times New Roman"/>
          <w:b/>
          <w:sz w:val="24"/>
          <w:szCs w:val="24"/>
        </w:rPr>
      </w:pPr>
      <w:r w:rsidRPr="005833AD">
        <w:rPr>
          <w:rFonts w:ascii="仿宋" w:eastAsia="仿宋" w:hAnsi="仿宋" w:cs="Times New Roman" w:hint="eastAsia"/>
          <w:b/>
          <w:sz w:val="24"/>
          <w:szCs w:val="24"/>
        </w:rPr>
        <w:t>03包</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1、保修内容：每年任选4支探头更换。</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2、服务要求：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2.1.服务时间：周一至周日，7×24小时。</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2.2.响应时间：电话响应：1小时内。现场响应时间：24小时内到达现场并完成维修，如需更换配件的48小时内完成维修。</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2.3.服务热线：要求提供免费800或400电话支持。</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lastRenderedPageBreak/>
        <w:t>2.4.远程维修技术支持能通过电话、邮件等获得专业技术工程师支持。</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2.5.设备定期保养：每半年一次专业规范保养，提供各项漏电流、电压等的检测报告、设备的安全检查、影像质量检查服务，运行状态检查及除尘保养服务，并提供维护保养报告。</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2.6.出现故障更换原厂全新零配件，在合同履行过程中需出具配件来源证明（需合法有效）。</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2.7.探头故障需更换原厂全新探头，在合同履行过程中需出具配件来源证明（需合法有效），为保障服务执行质量，投标人需提供本项目使用的探头实物照片（包含备件号及序列号）及来源证明。</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2.8.承诺中标后取得飞利浦原厂授权及技术、配件支持，签订合同时需提供厂家授权函。（提供承诺函）</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2.9.服务品质保障：</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备件要求：在成都设有备件库房或承诺中标后设置，更换的配件为权属清楚的全新原厂配件，不能使用可替换的配件或二手配件，保障维修后的机器性能和使用效果，达到原厂维修标准，符合国家相关法律法规规定的技术标准。</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（2）维修服务报告：维修完成后提供维修服务报告。</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2.10.服务能力：投标人需通过ISO9000质量管理体系认证或ISO13485医疗器械质量管理体系认证。</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2.11.维修人员要求：供应商需提供四川区域维修该设备的驻原厂工程师或经原厂认证的工程师五名或以上的证明材料，并具备原厂TSE技术支持能力。</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3、保修服务涵盖保修内容涉及的所有备件费、人工费用及交通差旅费。</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4、要求定期维护保养服务，设备的安全检查、影像质量检查服务，运行状态检查不得少于4次/年/台。要求提供除尘保养服务，不得少于2次/年/台，提供维护保养报告。</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*5、保证备件充足，不得以任何理由拖延备件发货时间。</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6、保证所保设备全年的开机率，全年的开机率达到95%以上，按照一年365天计算，若所保设备未达到开机率保证，需给予双倍补偿，即停机每超出一天，维修服务合同期限自动延长两天。</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7、要求提供软硬件升级服务（费用包含在投标总价内）。</w:t>
      </w:r>
    </w:p>
    <w:p w:rsidR="005833AD" w:rsidRPr="005833AD" w:rsidRDefault="005833AD" w:rsidP="005833AD">
      <w:pPr>
        <w:spacing w:after="160" w:line="400" w:lineRule="exact"/>
        <w:ind w:firstLineChars="200" w:firstLine="482"/>
        <w:jc w:val="center"/>
        <w:outlineLvl w:val="2"/>
        <w:rPr>
          <w:rFonts w:ascii="仿宋" w:eastAsia="仿宋" w:hAnsi="仿宋" w:cs="Times New Roman"/>
          <w:b/>
          <w:sz w:val="24"/>
          <w:szCs w:val="24"/>
        </w:rPr>
      </w:pPr>
      <w:r w:rsidRPr="005833AD">
        <w:rPr>
          <w:rFonts w:ascii="仿宋" w:eastAsia="仿宋" w:hAnsi="仿宋" w:cs="Times New Roman" w:hint="eastAsia"/>
          <w:b/>
          <w:sz w:val="24"/>
          <w:szCs w:val="24"/>
        </w:rPr>
        <w:t>04包</w:t>
      </w:r>
    </w:p>
    <w:p w:rsidR="005833AD" w:rsidRPr="005833AD" w:rsidRDefault="005833AD" w:rsidP="005833AD">
      <w:pPr>
        <w:spacing w:after="160" w:line="400" w:lineRule="exact"/>
        <w:ind w:firstLineChars="175" w:firstLine="422"/>
        <w:rPr>
          <w:rFonts w:ascii="Calibri" w:eastAsia="宋体" w:hAnsi="Calibri" w:cs="Times New Roman"/>
          <w:szCs w:val="24"/>
        </w:rPr>
      </w:pPr>
      <w:r w:rsidRPr="005833AD">
        <w:rPr>
          <w:rFonts w:ascii="仿宋" w:eastAsia="仿宋" w:hAnsi="仿宋" w:cs="Times New Roman" w:hint="eastAsia"/>
          <w:b/>
          <w:bCs/>
          <w:sz w:val="24"/>
          <w:szCs w:val="24"/>
        </w:rPr>
        <w:t>*（一）设备情况</w:t>
      </w: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3"/>
        <w:gridCol w:w="1906"/>
        <w:gridCol w:w="819"/>
        <w:gridCol w:w="2269"/>
      </w:tblGrid>
      <w:tr w:rsidR="005833AD" w:rsidRPr="005833AD" w:rsidTr="00FA30E2">
        <w:trPr>
          <w:jc w:val="center"/>
        </w:trPr>
        <w:tc>
          <w:tcPr>
            <w:tcW w:w="1413" w:type="dxa"/>
            <w:shd w:val="clear" w:color="auto" w:fill="auto"/>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设备名称</w:t>
            </w:r>
          </w:p>
        </w:tc>
        <w:tc>
          <w:tcPr>
            <w:tcW w:w="1413" w:type="dxa"/>
            <w:shd w:val="clear" w:color="auto" w:fill="auto"/>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品牌</w:t>
            </w:r>
          </w:p>
        </w:tc>
        <w:tc>
          <w:tcPr>
            <w:tcW w:w="1906" w:type="dxa"/>
            <w:shd w:val="clear" w:color="auto" w:fill="auto"/>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规格型号</w:t>
            </w:r>
          </w:p>
        </w:tc>
        <w:tc>
          <w:tcPr>
            <w:tcW w:w="819" w:type="dxa"/>
            <w:shd w:val="clear" w:color="auto" w:fill="auto"/>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数量</w:t>
            </w:r>
          </w:p>
        </w:tc>
        <w:tc>
          <w:tcPr>
            <w:tcW w:w="2269" w:type="dxa"/>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维保类型</w:t>
            </w:r>
          </w:p>
        </w:tc>
      </w:tr>
      <w:tr w:rsidR="005833AD" w:rsidRPr="005833AD" w:rsidTr="00FA30E2">
        <w:trPr>
          <w:jc w:val="center"/>
        </w:trPr>
        <w:tc>
          <w:tcPr>
            <w:tcW w:w="1413" w:type="dxa"/>
            <w:shd w:val="clear" w:color="auto" w:fill="auto"/>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超声多普勒诊断仪</w:t>
            </w:r>
          </w:p>
        </w:tc>
        <w:tc>
          <w:tcPr>
            <w:tcW w:w="1413" w:type="dxa"/>
            <w:shd w:val="clear" w:color="auto" w:fill="auto"/>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三星</w:t>
            </w:r>
          </w:p>
        </w:tc>
        <w:tc>
          <w:tcPr>
            <w:tcW w:w="1906" w:type="dxa"/>
            <w:shd w:val="clear" w:color="auto" w:fill="auto"/>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WS80A</w:t>
            </w:r>
          </w:p>
        </w:tc>
        <w:tc>
          <w:tcPr>
            <w:tcW w:w="819" w:type="dxa"/>
            <w:shd w:val="clear" w:color="auto" w:fill="auto"/>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1台</w:t>
            </w:r>
          </w:p>
        </w:tc>
        <w:tc>
          <w:tcPr>
            <w:tcW w:w="2269" w:type="dxa"/>
            <w:vAlign w:val="center"/>
          </w:tcPr>
          <w:p w:rsidR="005833AD" w:rsidRPr="005833AD" w:rsidRDefault="005833AD" w:rsidP="005833AD">
            <w:pPr>
              <w:autoSpaceDE w:val="0"/>
              <w:autoSpaceDN w:val="0"/>
              <w:adjustRightInd w:val="0"/>
              <w:jc w:val="center"/>
              <w:rPr>
                <w:rFonts w:ascii="仿宋" w:eastAsia="仿宋" w:hAnsi="仿宋" w:cs="宋体"/>
                <w:kern w:val="0"/>
                <w:sz w:val="24"/>
                <w:szCs w:val="24"/>
              </w:rPr>
            </w:pPr>
            <w:r w:rsidRPr="005833AD">
              <w:rPr>
                <w:rFonts w:ascii="仿宋" w:eastAsia="仿宋" w:hAnsi="仿宋" w:cs="宋体" w:hint="eastAsia"/>
                <w:kern w:val="0"/>
                <w:sz w:val="24"/>
                <w:szCs w:val="24"/>
              </w:rPr>
              <w:t>全保</w:t>
            </w:r>
          </w:p>
        </w:tc>
      </w:tr>
    </w:tbl>
    <w:p w:rsidR="005833AD" w:rsidRPr="005833AD" w:rsidRDefault="005833AD" w:rsidP="005833AD">
      <w:pPr>
        <w:spacing w:after="160" w:line="400" w:lineRule="exact"/>
        <w:ind w:firstLineChars="175" w:firstLine="422"/>
        <w:rPr>
          <w:rFonts w:ascii="仿宋" w:eastAsia="仿宋" w:hAnsi="仿宋" w:cs="Times New Roman"/>
          <w:bCs/>
          <w:sz w:val="24"/>
          <w:szCs w:val="24"/>
        </w:rPr>
      </w:pPr>
      <w:r w:rsidRPr="005833AD">
        <w:rPr>
          <w:rFonts w:ascii="仿宋" w:eastAsia="仿宋" w:hAnsi="仿宋" w:cs="Times New Roman" w:hint="eastAsia"/>
          <w:b/>
          <w:bCs/>
          <w:sz w:val="24"/>
          <w:szCs w:val="24"/>
        </w:rPr>
        <w:lastRenderedPageBreak/>
        <w:t>（二）服务要求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1、维保服务范围：三星彩超WS80A维保，包括主机、显示器及所有探头。</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2、服务要求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*2.1.提供定期的设备维护、调试与参数校正、使设备达到最好的状态，同时也提高设备的稳定率和使用寿命，对设备的影像质量进行检测，并提供检测报告。</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2.2.提供定期维护保养服务，设备的安全检查、影像质量检查服务，运行状态检查不得少于4次/年/台。要求提供除尘保养服务，不得少于2次/年/台</w:t>
      </w:r>
      <w:bookmarkStart w:id="2" w:name="_Hlk74034290"/>
      <w:r w:rsidRPr="005833AD">
        <w:rPr>
          <w:rFonts w:ascii="仿宋" w:eastAsia="仿宋" w:hAnsi="仿宋" w:cs="Times New Roman" w:hint="eastAsia"/>
          <w:bCs/>
          <w:sz w:val="24"/>
          <w:szCs w:val="24"/>
        </w:rPr>
        <w:t>，提供维护保养报告</w:t>
      </w:r>
      <w:bookmarkEnd w:id="2"/>
      <w:r w:rsidRPr="005833AD">
        <w:rPr>
          <w:rFonts w:ascii="仿宋" w:eastAsia="仿宋" w:hAnsi="仿宋" w:cs="Times New Roman" w:hint="eastAsia"/>
          <w:bCs/>
          <w:sz w:val="24"/>
          <w:szCs w:val="24"/>
        </w:rPr>
        <w:t>。</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2.3.定期对设备运行环境、运行状态进行检查评估等并提供检查评估报告。</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2.4.响应时间：在接到设备故障报修电话后，应立即响应。通过电话、网络等方式及时了解故障现象，准确判断故障，及时解决故障，时间不超过30分钟。如30分钟内无法通过电话、网络等远程方式解决问题，则工程师应立即出发赶赴故障设备现场进行维修，并保证在24小时内完成故障设备维修交付采购人正常使用。</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2.5.备用机提供：如24小时内不能完成设备故障维修交付科室正常使用，应提供故障设备相同型号相同配置备用机，以保证医院科室正常开展医疗服务，同时加紧故障设备的维修，保证设备尽快恢复正常工作状态。</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2.6.为保证与原有设备的配套性及吻合度，确保病人诊疗质量及诊疗安全，所有探头及</w:t>
      </w:r>
      <w:proofErr w:type="gramStart"/>
      <w:r w:rsidRPr="005833AD">
        <w:rPr>
          <w:rFonts w:ascii="仿宋" w:eastAsia="仿宋" w:hAnsi="仿宋" w:cs="Times New Roman" w:hint="eastAsia"/>
          <w:bCs/>
          <w:sz w:val="24"/>
          <w:szCs w:val="24"/>
        </w:rPr>
        <w:t>主板均</w:t>
      </w:r>
      <w:proofErr w:type="gramEnd"/>
      <w:r w:rsidRPr="005833AD">
        <w:rPr>
          <w:rFonts w:ascii="仿宋" w:eastAsia="仿宋" w:hAnsi="仿宋" w:cs="Times New Roman" w:hint="eastAsia"/>
          <w:bCs/>
          <w:sz w:val="24"/>
          <w:szCs w:val="24"/>
        </w:rPr>
        <w:t>只换不修，探头及主板均为原厂全新配件。</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3、维修时间：周一至周日，7×24小时。</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4、承诺中标后取得三星原厂授权及技术、配件支持（提供承诺函）。</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5、配置至少4名及以上工程师，工程师需获得三星公司原厂近两年内的专业培训证书。（提供相关证书复印件加盖投标人公章）</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6、应提供不定期的性能升级和产品优化服务等，以提高设备稳定性、安全性和可靠性。</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7、保障设备的使用，确保机器每年开机时间为95%以上，按照一年365个天计算，若所保设备未达到开机率保证，需给予双倍补偿，即停机每超出一天，维修服务合同期限自动延长两天。</w:t>
      </w:r>
    </w:p>
    <w:p w:rsidR="005833AD" w:rsidRPr="005833AD" w:rsidRDefault="005833AD" w:rsidP="005833AD">
      <w:pPr>
        <w:spacing w:line="400" w:lineRule="exact"/>
        <w:ind w:firstLineChars="200" w:firstLine="480"/>
        <w:rPr>
          <w:rFonts w:ascii="仿宋" w:eastAsia="仿宋" w:hAnsi="仿宋" w:cs="Times New Roman"/>
          <w:sz w:val="32"/>
          <w:szCs w:val="32"/>
        </w:rPr>
      </w:pPr>
      <w:r w:rsidRPr="005833AD">
        <w:rPr>
          <w:rFonts w:ascii="仿宋" w:eastAsia="仿宋" w:hAnsi="仿宋" w:cs="Times New Roman" w:hint="eastAsia"/>
          <w:bCs/>
          <w:sz w:val="24"/>
          <w:szCs w:val="24"/>
        </w:rPr>
        <w:t>8、在线支持: 协助采购人的设备维修人员分析和维修有关设备。提供售后服务热线电话，提供工程师提供在线技术支持及答疑服务。</w:t>
      </w:r>
    </w:p>
    <w:p w:rsidR="005833AD" w:rsidRPr="005833AD" w:rsidRDefault="005833AD" w:rsidP="005833AD">
      <w:pPr>
        <w:spacing w:after="160" w:line="400" w:lineRule="exact"/>
        <w:jc w:val="center"/>
        <w:outlineLvl w:val="2"/>
        <w:rPr>
          <w:rFonts w:ascii="仿宋" w:eastAsia="仿宋" w:hAnsi="仿宋" w:cs="Times New Roman"/>
          <w:b/>
          <w:sz w:val="24"/>
          <w:szCs w:val="24"/>
        </w:rPr>
      </w:pPr>
      <w:r w:rsidRPr="005833AD">
        <w:rPr>
          <w:rFonts w:ascii="仿宋" w:eastAsia="仿宋" w:hAnsi="仿宋" w:cs="Times New Roman" w:hint="eastAsia"/>
          <w:b/>
          <w:sz w:val="24"/>
          <w:szCs w:val="24"/>
        </w:rPr>
        <w:t>0</w:t>
      </w:r>
      <w:r w:rsidRPr="005833AD">
        <w:rPr>
          <w:rFonts w:ascii="仿宋" w:eastAsia="仿宋" w:hAnsi="仿宋" w:cs="Times New Roman"/>
          <w:b/>
          <w:sz w:val="24"/>
          <w:szCs w:val="24"/>
        </w:rPr>
        <w:t>5</w:t>
      </w:r>
      <w:r w:rsidRPr="005833AD">
        <w:rPr>
          <w:rFonts w:ascii="仿宋" w:eastAsia="仿宋" w:hAnsi="仿宋" w:cs="Times New Roman" w:hint="eastAsia"/>
          <w:b/>
          <w:sz w:val="24"/>
          <w:szCs w:val="24"/>
        </w:rPr>
        <w:t>包</w:t>
      </w:r>
    </w:p>
    <w:p w:rsidR="005833AD" w:rsidRPr="005833AD" w:rsidRDefault="005833AD" w:rsidP="005833AD">
      <w:pPr>
        <w:spacing w:line="400" w:lineRule="exact"/>
        <w:ind w:firstLineChars="200" w:firstLine="482"/>
        <w:jc w:val="center"/>
        <w:outlineLvl w:val="3"/>
        <w:rPr>
          <w:rFonts w:ascii="仿宋" w:eastAsia="仿宋" w:hAnsi="仿宋" w:cs="Times New Roman"/>
          <w:b/>
          <w:sz w:val="24"/>
          <w:szCs w:val="24"/>
        </w:rPr>
      </w:pPr>
      <w:r w:rsidRPr="005833AD">
        <w:rPr>
          <w:rFonts w:ascii="仿宋" w:eastAsia="仿宋" w:hAnsi="仿宋" w:cs="Times New Roman" w:hint="eastAsia"/>
          <w:b/>
          <w:sz w:val="24"/>
          <w:szCs w:val="24"/>
        </w:rPr>
        <w:t>消毒供应中心纯水机维保要求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1、基本要求：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lastRenderedPageBreak/>
        <w:t>参与保修后合同期内所有故障维修和更换配件、材料、人工、运输等费用均包含在年维修保养价格内，不再收取任何费用。</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2、具体内容：</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2.1.设备检修</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（1）当采购</w:t>
      </w:r>
      <w:proofErr w:type="gramStart"/>
      <w:r w:rsidRPr="005833AD">
        <w:rPr>
          <w:rFonts w:ascii="仿宋" w:eastAsia="仿宋" w:hAnsi="仿宋" w:cs="Times New Roman" w:hint="eastAsia"/>
          <w:bCs/>
          <w:sz w:val="24"/>
          <w:szCs w:val="24"/>
        </w:rPr>
        <w:t>人设备</w:t>
      </w:r>
      <w:proofErr w:type="gramEnd"/>
      <w:r w:rsidRPr="005833AD">
        <w:rPr>
          <w:rFonts w:ascii="仿宋" w:eastAsia="仿宋" w:hAnsi="仿宋" w:cs="Times New Roman" w:hint="eastAsia"/>
          <w:bCs/>
          <w:sz w:val="24"/>
          <w:szCs w:val="24"/>
        </w:rPr>
        <w:t>出现故障时，中标人接到采购人通知，应于1小时内电话响应，2小时内赶到现场进行设备维修，对维修结果做好记录，维修完成后向采购人出具设备检修报告。</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（2）如维修不涉及零配件更换，应在4小时内修复完毕。</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（3）如涉及到零配件更换，应在24小时内修复完毕。</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（4）在维修期间，能保证采购人正常的应急用水需求。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2.2.预防性保养：按照保养计划提供，以保证设备处于最佳运行状态，水质达到中华人民共和国卫生行业标准WS310.1-3--2016相关规定。</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（1）合同期内设备每月巡检至少一次。</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（2）按照保养计划更换配件及耗材。</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（3）按照厂家标准进行调校，保证供水质量。</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（4）确认各项技术指标及性能。</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（5）记录设备状况。</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（6）每年至少一次由符合资质的单位对蒸汽用水和蒸汽冷凝物进行水质检测，结果符合中华人民共和国卫生行业标准WS310.1-3--2016相关规定。</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2.3.材料：至少保证树脂和</w:t>
      </w:r>
      <w:proofErr w:type="gramStart"/>
      <w:r w:rsidRPr="005833AD">
        <w:rPr>
          <w:rFonts w:ascii="仿宋" w:eastAsia="仿宋" w:hAnsi="仿宋" w:cs="Times New Roman" w:hint="eastAsia"/>
          <w:bCs/>
          <w:sz w:val="24"/>
          <w:szCs w:val="24"/>
        </w:rPr>
        <w:t>反渗膜</w:t>
      </w:r>
      <w:proofErr w:type="gramEnd"/>
      <w:r w:rsidRPr="005833AD">
        <w:rPr>
          <w:rFonts w:ascii="仿宋" w:eastAsia="仿宋" w:hAnsi="仿宋" w:cs="Times New Roman" w:hint="eastAsia"/>
          <w:bCs/>
          <w:sz w:val="24"/>
          <w:szCs w:val="24"/>
        </w:rPr>
        <w:t>为原厂配件。</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2.4.提供24小时×365天电话咨询服务，能为采购人提供故障快速诊断技术支持。</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2.5.提供设备保修所需的备件和材料，备件和材料供应要及时、充足，备件和材料必须是全新。</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2.6.</w:t>
      </w:r>
      <w:proofErr w:type="gramStart"/>
      <w:r w:rsidRPr="005833AD">
        <w:rPr>
          <w:rFonts w:ascii="仿宋" w:eastAsia="仿宋" w:hAnsi="仿宋" w:cs="Times New Roman" w:hint="eastAsia"/>
          <w:bCs/>
          <w:sz w:val="24"/>
          <w:szCs w:val="24"/>
        </w:rPr>
        <w:t>每合同年</w:t>
      </w:r>
      <w:proofErr w:type="gramEnd"/>
      <w:r w:rsidRPr="005833AD">
        <w:rPr>
          <w:rFonts w:ascii="仿宋" w:eastAsia="仿宋" w:hAnsi="仿宋" w:cs="Times New Roman" w:hint="eastAsia"/>
          <w:bCs/>
          <w:sz w:val="24"/>
          <w:szCs w:val="24"/>
        </w:rPr>
        <w:t>结束后将维保设备的维修、检查、保养记录制定成册交与采购人留档保存。</w:t>
      </w:r>
    </w:p>
    <w:p w:rsidR="005833AD" w:rsidRPr="005833AD" w:rsidRDefault="005833AD" w:rsidP="005833AD">
      <w:pPr>
        <w:spacing w:line="400" w:lineRule="exact"/>
        <w:ind w:firstLineChars="200" w:firstLine="480"/>
        <w:rPr>
          <w:rFonts w:ascii="仿宋" w:eastAsia="仿宋" w:hAnsi="仿宋" w:cs="Times New Roman"/>
          <w:sz w:val="32"/>
          <w:szCs w:val="32"/>
        </w:rPr>
      </w:pPr>
      <w:r w:rsidRPr="005833AD">
        <w:rPr>
          <w:rFonts w:ascii="仿宋" w:eastAsia="仿宋" w:hAnsi="仿宋" w:cs="Times New Roman" w:hint="eastAsia"/>
          <w:bCs/>
          <w:sz w:val="24"/>
          <w:szCs w:val="24"/>
        </w:rPr>
        <w:t>2.7.材料更换计划如下：如在更换周期前水质不达标需要提前更换材料，也应更换。</w:t>
      </w:r>
    </w:p>
    <w:tbl>
      <w:tblPr>
        <w:tblW w:w="7099" w:type="dxa"/>
        <w:jc w:val="center"/>
        <w:tblLook w:val="04A0" w:firstRow="1" w:lastRow="0" w:firstColumn="1" w:lastColumn="0" w:noHBand="0" w:noVBand="1"/>
      </w:tblPr>
      <w:tblGrid>
        <w:gridCol w:w="1316"/>
        <w:gridCol w:w="2313"/>
        <w:gridCol w:w="3470"/>
      </w:tblGrid>
      <w:tr w:rsidR="005833AD" w:rsidRPr="005833AD" w:rsidTr="00FA30E2">
        <w:trPr>
          <w:trHeight w:val="261"/>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序号</w:t>
            </w:r>
          </w:p>
        </w:tc>
        <w:tc>
          <w:tcPr>
            <w:tcW w:w="2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名称</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建议更换周期</w:t>
            </w:r>
          </w:p>
        </w:tc>
      </w:tr>
      <w:tr w:rsidR="005833AD" w:rsidRPr="005833AD" w:rsidTr="00FA30E2">
        <w:trPr>
          <w:trHeight w:val="261"/>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1</w:t>
            </w:r>
          </w:p>
        </w:tc>
        <w:tc>
          <w:tcPr>
            <w:tcW w:w="2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石英砂</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24个月</w:t>
            </w:r>
          </w:p>
        </w:tc>
      </w:tr>
      <w:tr w:rsidR="005833AD" w:rsidRPr="005833AD" w:rsidTr="00FA30E2">
        <w:trPr>
          <w:trHeight w:val="261"/>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2</w:t>
            </w:r>
          </w:p>
        </w:tc>
        <w:tc>
          <w:tcPr>
            <w:tcW w:w="2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石英砂</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24个月</w:t>
            </w:r>
          </w:p>
        </w:tc>
      </w:tr>
      <w:tr w:rsidR="005833AD" w:rsidRPr="005833AD" w:rsidTr="00FA30E2">
        <w:trPr>
          <w:trHeight w:val="261"/>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3</w:t>
            </w:r>
          </w:p>
        </w:tc>
        <w:tc>
          <w:tcPr>
            <w:tcW w:w="2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石英砂</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24个月</w:t>
            </w:r>
          </w:p>
        </w:tc>
      </w:tr>
      <w:tr w:rsidR="005833AD" w:rsidRPr="005833AD" w:rsidTr="00FA30E2">
        <w:trPr>
          <w:trHeight w:val="261"/>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4</w:t>
            </w:r>
          </w:p>
        </w:tc>
        <w:tc>
          <w:tcPr>
            <w:tcW w:w="2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活性炭</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6-12个月</w:t>
            </w:r>
          </w:p>
        </w:tc>
      </w:tr>
      <w:tr w:rsidR="005833AD" w:rsidRPr="005833AD" w:rsidTr="00FA30E2">
        <w:trPr>
          <w:trHeight w:val="261"/>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lastRenderedPageBreak/>
              <w:t>5</w:t>
            </w:r>
          </w:p>
        </w:tc>
        <w:tc>
          <w:tcPr>
            <w:tcW w:w="2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阳树脂</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12个月</w:t>
            </w:r>
          </w:p>
        </w:tc>
      </w:tr>
      <w:tr w:rsidR="005833AD" w:rsidRPr="005833AD" w:rsidTr="00FA30E2">
        <w:trPr>
          <w:trHeight w:val="261"/>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6</w:t>
            </w:r>
          </w:p>
        </w:tc>
        <w:tc>
          <w:tcPr>
            <w:tcW w:w="2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精密滤芯</w:t>
            </w:r>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3个月</w:t>
            </w:r>
          </w:p>
        </w:tc>
      </w:tr>
      <w:tr w:rsidR="005833AD" w:rsidRPr="005833AD" w:rsidTr="00FA30E2">
        <w:trPr>
          <w:trHeight w:val="261"/>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7</w:t>
            </w:r>
          </w:p>
        </w:tc>
        <w:tc>
          <w:tcPr>
            <w:tcW w:w="2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一级</w:t>
            </w:r>
            <w:proofErr w:type="gramStart"/>
            <w:r w:rsidRPr="005833AD">
              <w:rPr>
                <w:rFonts w:ascii="仿宋" w:eastAsia="仿宋" w:hAnsi="仿宋" w:cs="仿宋" w:hint="eastAsia"/>
                <w:kern w:val="0"/>
                <w:sz w:val="24"/>
                <w:szCs w:val="24"/>
              </w:rPr>
              <w:t>反渗膜</w:t>
            </w:r>
            <w:proofErr w:type="gramEnd"/>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24个月</w:t>
            </w:r>
          </w:p>
        </w:tc>
      </w:tr>
      <w:tr w:rsidR="005833AD" w:rsidRPr="005833AD" w:rsidTr="00FA30E2">
        <w:trPr>
          <w:trHeight w:val="266"/>
          <w:jc w:val="center"/>
        </w:trPr>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8</w:t>
            </w:r>
          </w:p>
        </w:tc>
        <w:tc>
          <w:tcPr>
            <w:tcW w:w="23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二级</w:t>
            </w:r>
            <w:proofErr w:type="gramStart"/>
            <w:r w:rsidRPr="005833AD">
              <w:rPr>
                <w:rFonts w:ascii="仿宋" w:eastAsia="仿宋" w:hAnsi="仿宋" w:cs="仿宋" w:hint="eastAsia"/>
                <w:kern w:val="0"/>
                <w:sz w:val="24"/>
                <w:szCs w:val="24"/>
              </w:rPr>
              <w:t>反渗膜</w:t>
            </w:r>
            <w:proofErr w:type="gramEnd"/>
          </w:p>
        </w:tc>
        <w:tc>
          <w:tcPr>
            <w:tcW w:w="34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5833AD" w:rsidRPr="005833AD" w:rsidRDefault="005833AD" w:rsidP="005833AD">
            <w:pPr>
              <w:widowControl/>
              <w:spacing w:after="160"/>
              <w:jc w:val="center"/>
              <w:textAlignment w:val="center"/>
              <w:rPr>
                <w:rFonts w:ascii="仿宋" w:eastAsia="仿宋" w:hAnsi="仿宋" w:cs="仿宋"/>
                <w:sz w:val="24"/>
                <w:szCs w:val="24"/>
              </w:rPr>
            </w:pPr>
            <w:r w:rsidRPr="005833AD">
              <w:rPr>
                <w:rFonts w:ascii="仿宋" w:eastAsia="仿宋" w:hAnsi="仿宋" w:cs="仿宋" w:hint="eastAsia"/>
                <w:kern w:val="0"/>
                <w:sz w:val="24"/>
                <w:szCs w:val="24"/>
              </w:rPr>
              <w:t>24个月</w:t>
            </w:r>
          </w:p>
        </w:tc>
      </w:tr>
    </w:tbl>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2.8.附水质检测内容指标，并达到以下要求。</w:t>
      </w:r>
    </w:p>
    <w:p w:rsidR="005833AD" w:rsidRPr="005833AD" w:rsidRDefault="005833AD" w:rsidP="005833AD">
      <w:pPr>
        <w:spacing w:after="160" w:line="259" w:lineRule="auto"/>
        <w:rPr>
          <w:rFonts w:ascii="仿宋" w:eastAsia="仿宋" w:hAnsi="仿宋" w:cs="Times New Roman"/>
          <w:bCs/>
          <w:sz w:val="24"/>
          <w:szCs w:val="24"/>
        </w:rPr>
      </w:pPr>
      <w:r w:rsidRPr="005833AD">
        <w:rPr>
          <w:rFonts w:ascii="仿宋" w:eastAsia="仿宋" w:hAnsi="仿宋" w:cs="Times New Roman" w:hint="eastAsia"/>
          <w:bCs/>
          <w:sz w:val="24"/>
          <w:szCs w:val="24"/>
        </w:rPr>
        <w:br w:type="page"/>
      </w:r>
    </w:p>
    <w:p w:rsidR="005833AD" w:rsidRPr="005833AD" w:rsidRDefault="005833AD" w:rsidP="005833AD">
      <w:pPr>
        <w:spacing w:line="400" w:lineRule="exact"/>
        <w:ind w:firstLineChars="200" w:firstLine="480"/>
        <w:rPr>
          <w:rFonts w:ascii="仿宋" w:eastAsia="仿宋" w:hAnsi="仿宋" w:cs="Times New Roman"/>
          <w:bCs/>
          <w:sz w:val="24"/>
          <w:szCs w:val="24"/>
        </w:rPr>
      </w:pPr>
    </w:p>
    <w:p w:rsidR="005833AD" w:rsidRPr="005833AD" w:rsidRDefault="005833AD" w:rsidP="005833AD">
      <w:pPr>
        <w:spacing w:line="400" w:lineRule="exact"/>
        <w:ind w:firstLineChars="200" w:firstLine="420"/>
        <w:jc w:val="center"/>
        <w:outlineLvl w:val="3"/>
        <w:rPr>
          <w:rFonts w:ascii="仿宋" w:eastAsia="仿宋" w:hAnsi="仿宋" w:cs="Times New Roman"/>
          <w:b/>
          <w:sz w:val="24"/>
          <w:szCs w:val="24"/>
        </w:rPr>
      </w:pPr>
      <w:r w:rsidRPr="005833AD">
        <w:rPr>
          <w:rFonts w:ascii="Calibri" w:eastAsia="宋体" w:hAnsi="Calibri" w:cs="Times New Roman"/>
          <w:noProof/>
          <w:szCs w:val="24"/>
        </w:rPr>
        <w:drawing>
          <wp:anchor distT="0" distB="0" distL="114300" distR="114300" simplePos="0" relativeHeight="251660288" behindDoc="0" locked="0" layoutInCell="1" allowOverlap="1" wp14:anchorId="7B9B5CEA" wp14:editId="12488874">
            <wp:simplePos x="0" y="0"/>
            <wp:positionH relativeFrom="column">
              <wp:posOffset>-74930</wp:posOffset>
            </wp:positionH>
            <wp:positionV relativeFrom="paragraph">
              <wp:posOffset>3533140</wp:posOffset>
            </wp:positionV>
            <wp:extent cx="5200015" cy="2193290"/>
            <wp:effectExtent l="19050" t="0" r="63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4"/>
                    <a:stretch>
                      <a:fillRect/>
                    </a:stretch>
                  </pic:blipFill>
                  <pic:spPr>
                    <a:xfrm>
                      <a:off x="0" y="0"/>
                      <a:ext cx="5219573" cy="2193290"/>
                    </a:xfrm>
                    <a:prstGeom prst="rect">
                      <a:avLst/>
                    </a:prstGeom>
                    <a:noFill/>
                    <a:ln>
                      <a:noFill/>
                    </a:ln>
                  </pic:spPr>
                </pic:pic>
              </a:graphicData>
            </a:graphic>
          </wp:anchor>
        </w:drawing>
      </w:r>
      <w:r w:rsidRPr="005833AD">
        <w:rPr>
          <w:rFonts w:ascii="Calibri" w:eastAsia="宋体" w:hAnsi="Calibri" w:cs="Times New Roman"/>
          <w:noProof/>
          <w:szCs w:val="24"/>
        </w:rPr>
        <w:drawing>
          <wp:anchor distT="0" distB="0" distL="114300" distR="114300" simplePos="0" relativeHeight="251659264" behindDoc="0" locked="0" layoutInCell="1" allowOverlap="1" wp14:anchorId="03A77EF8" wp14:editId="4BBEA5BE">
            <wp:simplePos x="0" y="0"/>
            <wp:positionH relativeFrom="column">
              <wp:posOffset>-93345</wp:posOffset>
            </wp:positionH>
            <wp:positionV relativeFrom="paragraph">
              <wp:posOffset>66040</wp:posOffset>
            </wp:positionV>
            <wp:extent cx="5273675" cy="3310255"/>
            <wp:effectExtent l="19050" t="0" r="317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11543"/>
                    <a:stretch>
                      <a:fillRect/>
                    </a:stretch>
                  </pic:blipFill>
                  <pic:spPr>
                    <a:xfrm>
                      <a:off x="0" y="0"/>
                      <a:ext cx="5289453" cy="3310255"/>
                    </a:xfrm>
                    <a:prstGeom prst="rect">
                      <a:avLst/>
                    </a:prstGeom>
                    <a:noFill/>
                    <a:ln>
                      <a:noFill/>
                    </a:ln>
                  </pic:spPr>
                </pic:pic>
              </a:graphicData>
            </a:graphic>
          </wp:anchor>
        </w:drawing>
      </w:r>
      <w:r w:rsidRPr="005833AD">
        <w:rPr>
          <w:rFonts w:ascii="仿宋" w:eastAsia="仿宋" w:hAnsi="仿宋" w:cs="Times New Roman" w:hint="eastAsia"/>
          <w:bCs/>
          <w:sz w:val="24"/>
          <w:szCs w:val="24"/>
        </w:rPr>
        <w:br w:type="page"/>
      </w:r>
      <w:r w:rsidRPr="005833AD">
        <w:rPr>
          <w:rFonts w:ascii="仿宋" w:eastAsia="仿宋" w:hAnsi="仿宋" w:cs="Times New Roman" w:hint="eastAsia"/>
          <w:b/>
          <w:sz w:val="24"/>
          <w:szCs w:val="24"/>
        </w:rPr>
        <w:lastRenderedPageBreak/>
        <w:t>检验科纯水机维保要求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1、维保期内提供全天24小时在线/电话服务，设备异常报警时，及时接受工作人员询问并解答。发生故障时，能迅速响应，2小时内到达科室，24h内完成维修。</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2、当维修时，去离子水供应不能满足科室需求时，能提供有效的临时替代措施。</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3、定期巡检设备，频率不低于每个月1次，按需及时更换耗材，随时确保A组、B组及EDI模块能同时正常运行，保证产水流量和质量。</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4、维保的耗材及配件范围包括保证维持设备正常运行的砂、活性炭、树脂、</w:t>
      </w:r>
      <w:proofErr w:type="gramStart"/>
      <w:r w:rsidRPr="005833AD">
        <w:rPr>
          <w:rFonts w:ascii="仿宋" w:eastAsia="仿宋" w:hAnsi="仿宋" w:cs="Times New Roman" w:hint="eastAsia"/>
          <w:bCs/>
          <w:sz w:val="24"/>
          <w:szCs w:val="24"/>
        </w:rPr>
        <w:t>反渗膜</w:t>
      </w:r>
      <w:proofErr w:type="gramEnd"/>
      <w:r w:rsidRPr="005833AD">
        <w:rPr>
          <w:rFonts w:ascii="仿宋" w:eastAsia="仿宋" w:hAnsi="仿宋" w:cs="Times New Roman" w:hint="eastAsia"/>
          <w:bCs/>
          <w:sz w:val="24"/>
          <w:szCs w:val="24"/>
        </w:rPr>
        <w:t>、预处理耗材、滤芯和其它等整套设备（水箱、水管、A组、B组和EDI模块等）的所有耗材及配件。所有更换的耗材及配件均必须是全新且经相关部门检验合格的。</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5、能确保设备终端产水流量≥500L/h，产水电阻率＞10MΩ.cm,出水压力在1-5kg.f/cm2范围内可调节。产水水质需满足WS/T574-2018《临床实验室试剂用纯化水》的要求。</w:t>
      </w:r>
    </w:p>
    <w:p w:rsidR="005833AD" w:rsidRPr="005833AD" w:rsidRDefault="005833AD" w:rsidP="005833AD">
      <w:pPr>
        <w:spacing w:line="400" w:lineRule="exact"/>
        <w:ind w:firstLineChars="200" w:firstLine="480"/>
        <w:rPr>
          <w:rFonts w:ascii="仿宋" w:eastAsia="仿宋" w:hAnsi="仿宋" w:cs="Times New Roman"/>
          <w:b/>
          <w:sz w:val="24"/>
          <w:szCs w:val="24"/>
        </w:rPr>
      </w:pPr>
      <w:r w:rsidRPr="005833AD">
        <w:rPr>
          <w:rFonts w:ascii="仿宋" w:eastAsia="仿宋" w:hAnsi="仿宋" w:cs="Times New Roman" w:hint="eastAsia"/>
          <w:bCs/>
          <w:sz w:val="24"/>
          <w:szCs w:val="24"/>
        </w:rPr>
        <w:t>6、维保费用包含所有耗材、配件、人工、咨询等，后续不再收取任何费用。</w:t>
      </w:r>
    </w:p>
    <w:p w:rsidR="005833AD" w:rsidRPr="005833AD" w:rsidRDefault="005833AD" w:rsidP="005833AD">
      <w:pPr>
        <w:spacing w:line="400" w:lineRule="exact"/>
        <w:ind w:firstLineChars="200" w:firstLine="482"/>
        <w:rPr>
          <w:rFonts w:ascii="仿宋" w:eastAsia="仿宋" w:hAnsi="仿宋" w:cs="Times New Roman"/>
          <w:b/>
          <w:sz w:val="24"/>
          <w:szCs w:val="24"/>
        </w:rPr>
      </w:pPr>
    </w:p>
    <w:p w:rsidR="005833AD" w:rsidRPr="005833AD" w:rsidRDefault="005833AD" w:rsidP="005833AD">
      <w:pPr>
        <w:spacing w:line="400" w:lineRule="exact"/>
        <w:ind w:firstLineChars="200" w:firstLine="482"/>
        <w:jc w:val="center"/>
        <w:outlineLvl w:val="3"/>
        <w:rPr>
          <w:rFonts w:ascii="仿宋" w:eastAsia="仿宋" w:hAnsi="仿宋" w:cs="Times New Roman"/>
          <w:b/>
          <w:sz w:val="24"/>
          <w:szCs w:val="24"/>
        </w:rPr>
      </w:pPr>
      <w:r w:rsidRPr="005833AD">
        <w:rPr>
          <w:rFonts w:ascii="仿宋" w:eastAsia="仿宋" w:hAnsi="仿宋" w:cs="Times New Roman" w:hint="eastAsia"/>
          <w:b/>
          <w:sz w:val="24"/>
          <w:szCs w:val="24"/>
        </w:rPr>
        <w:t>血液透析用双级反渗透水处理装置维保要求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1、全保设备及时电话响应，提供7*24小时在线服务，现场维修48h以内处理完成（包括所有节假日）。含配件和人工费，日常故障处理，每六个月设备全面检查，每十二个月TSC检验一次。</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2、及时处理设备故障、报警等有关问题，减少拖延，并对在日常运行中发生非技术性报警，结合临床操作做好（现场或远程）指导。</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3、填料（砂、树脂、活性碳）和</w:t>
      </w:r>
      <w:proofErr w:type="gramStart"/>
      <w:r w:rsidRPr="005833AD">
        <w:rPr>
          <w:rFonts w:ascii="仿宋" w:eastAsia="仿宋" w:hAnsi="仿宋" w:cs="Times New Roman" w:hint="eastAsia"/>
          <w:bCs/>
          <w:sz w:val="24"/>
          <w:szCs w:val="24"/>
        </w:rPr>
        <w:t>反渗膜</w:t>
      </w:r>
      <w:proofErr w:type="gramEnd"/>
      <w:r w:rsidRPr="005833AD">
        <w:rPr>
          <w:rFonts w:ascii="仿宋" w:eastAsia="仿宋" w:hAnsi="仿宋" w:cs="Times New Roman" w:hint="eastAsia"/>
          <w:bCs/>
          <w:sz w:val="24"/>
          <w:szCs w:val="24"/>
        </w:rPr>
        <w:t>在检测合格的情况下每两年更换一次(2022年2月以前需至少更换一次），出现数值超标的情况立即更换。</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4、滤芯：至少每三个月更换一次。包含滤芯（20μ米及5u米）和人工。出现数值超标的情况立即更换。</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5、消毒：化学消毒至少每三个月一次。包含消毒剂、检测试剂和人工，出现数值超标的情况立即消毒。</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6、膜除钙：每半年一次，包含除钙剂和人工，出现异常情况立即除钙。</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7、每年至少一次水化学污染物监测，包括采样、送检及检测费用，并将报告单返回采购人。</w:t>
      </w:r>
      <w:proofErr w:type="gramStart"/>
      <w:r w:rsidRPr="005833AD">
        <w:rPr>
          <w:rFonts w:ascii="仿宋" w:eastAsia="仿宋" w:hAnsi="仿宋" w:cs="Times New Roman" w:hint="eastAsia"/>
          <w:bCs/>
          <w:sz w:val="24"/>
          <w:szCs w:val="24"/>
        </w:rPr>
        <w:t>若结果</w:t>
      </w:r>
      <w:proofErr w:type="gramEnd"/>
      <w:r w:rsidRPr="005833AD">
        <w:rPr>
          <w:rFonts w:ascii="仿宋" w:eastAsia="仿宋" w:hAnsi="仿宋" w:cs="Times New Roman" w:hint="eastAsia"/>
          <w:bCs/>
          <w:sz w:val="24"/>
          <w:szCs w:val="24"/>
        </w:rPr>
        <w:t>有异常，需改进后再次复测（采样、送检及检测费用由维保公司承担），直至检测结果符合国家相关行业标准《血液透析及相关治疗用水》（YY0572-2015）的要求。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lastRenderedPageBreak/>
        <w:t>8、指导采购人工程技术人员每天完成水硬度、PH值、余氯、</w:t>
      </w:r>
      <w:proofErr w:type="gramStart"/>
      <w:r w:rsidRPr="005833AD">
        <w:rPr>
          <w:rFonts w:ascii="仿宋" w:eastAsia="仿宋" w:hAnsi="仿宋" w:cs="Times New Roman" w:hint="eastAsia"/>
          <w:bCs/>
          <w:sz w:val="24"/>
          <w:szCs w:val="24"/>
        </w:rPr>
        <w:t>总氯等</w:t>
      </w:r>
      <w:proofErr w:type="gramEnd"/>
      <w:r w:rsidRPr="005833AD">
        <w:rPr>
          <w:rFonts w:ascii="仿宋" w:eastAsia="仿宋" w:hAnsi="仿宋" w:cs="Times New Roman" w:hint="eastAsia"/>
          <w:bCs/>
          <w:sz w:val="24"/>
          <w:szCs w:val="24"/>
        </w:rPr>
        <w:t>的监测，异常情况及时处理；并提供检测试剂或试纸。</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9、对水处理系统故障有预见性，对疑似故障部件及时备件，避免出现故障时，因无备件而延迟维修进度，影响治疗。</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10、设备出现故障及时维修，保障病员有序治疗，若第二次出现同一故障，在作好应急维修，保证机器运转的情况下（运转情况不影响患者治疗），必须在一周以内更换故障部件，避免反复故障。</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11、每月对水处理系统进行系统维护、保养、检修，在检修中发现老化配件，及时主动更换并提供维护保养记录。</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*12、在维保期满前15天内，工程师须对维保设备进行全面检查及保养，若发现存在故障隐患的配件应及时更换，以保证设备正常运行。</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13、维保周期内开机率应达到97%，即维保周期内停机时间累积不能超过11天，维保周期按365天计算。若乙方因配件及人员等因素造成延误而未达到该开机率的，应顺延维保期限，即停机时间超过1天维保期延长1天。</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14、维保过程中产生的配件费、人工费、差旅费等相关费用均由中标人承担，维保过程中所使用的材料、消毒剂、试剂等必须符合国家及费森尤斯水处理系统相关规范要求。</w:t>
      </w:r>
    </w:p>
    <w:p w:rsidR="005833AD" w:rsidRPr="005833AD" w:rsidRDefault="005833AD" w:rsidP="005833AD">
      <w:pPr>
        <w:spacing w:after="160" w:line="400" w:lineRule="exact"/>
        <w:jc w:val="center"/>
        <w:outlineLvl w:val="2"/>
        <w:rPr>
          <w:rFonts w:ascii="仿宋" w:eastAsia="仿宋" w:hAnsi="仿宋" w:cs="Times New Roman"/>
          <w:b/>
          <w:sz w:val="24"/>
          <w:szCs w:val="24"/>
        </w:rPr>
      </w:pPr>
      <w:r w:rsidRPr="005833AD">
        <w:rPr>
          <w:rFonts w:ascii="仿宋" w:eastAsia="仿宋" w:hAnsi="仿宋" w:cs="Times New Roman" w:hint="eastAsia"/>
          <w:b/>
          <w:sz w:val="24"/>
          <w:szCs w:val="24"/>
        </w:rPr>
        <w:t>0</w:t>
      </w:r>
      <w:r w:rsidRPr="005833AD">
        <w:rPr>
          <w:rFonts w:ascii="仿宋" w:eastAsia="仿宋" w:hAnsi="仿宋" w:cs="Times New Roman"/>
          <w:b/>
          <w:sz w:val="24"/>
          <w:szCs w:val="24"/>
        </w:rPr>
        <w:t>6</w:t>
      </w:r>
      <w:r w:rsidRPr="005833AD">
        <w:rPr>
          <w:rFonts w:ascii="仿宋" w:eastAsia="仿宋" w:hAnsi="仿宋" w:cs="Times New Roman" w:hint="eastAsia"/>
          <w:b/>
          <w:sz w:val="24"/>
          <w:szCs w:val="24"/>
        </w:rPr>
        <w:t>包</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1、服务内容：整套设备的定期保养、检测、调试、故障维修，保证原厂保养和原厂部件更换。更换整机所有配件（包括电容箱、电磁盘、透镜、水囊以及所有零备件，X射线球管、X射线增强器及第三方产品除外）。</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2、服务要求：</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2.1.响应时间保证：接到运行故障的报修电话后，务必在2小时内响应服务，即刻启动远程诊断进行处理，必要时安排工程师在24小时内到达现场对设备进行维修，使设备尽快恢复正常工作状态。</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*2.2.精密保养: 每年≧2次，包括对电路检测、影像清晰度调试、能量大小、定位准确度调试，提供维保报告，每季度回访至少1次，及时系统升级成最新版的软件。</w:t>
      </w:r>
    </w:p>
    <w:p w:rsidR="005833AD" w:rsidRPr="005833AD" w:rsidRDefault="005833AD" w:rsidP="005833AD">
      <w:pPr>
        <w:spacing w:line="400" w:lineRule="exact"/>
        <w:ind w:firstLineChars="200" w:firstLine="480"/>
        <w:rPr>
          <w:rFonts w:ascii="仿宋" w:eastAsia="仿宋" w:hAnsi="仿宋" w:cs="Times New Roman"/>
          <w:bCs/>
          <w:sz w:val="24"/>
          <w:szCs w:val="24"/>
        </w:rPr>
      </w:pPr>
      <w:r w:rsidRPr="005833AD">
        <w:rPr>
          <w:rFonts w:ascii="仿宋" w:eastAsia="仿宋" w:hAnsi="仿宋" w:cs="Times New Roman" w:hint="eastAsia"/>
          <w:bCs/>
          <w:sz w:val="24"/>
          <w:szCs w:val="24"/>
        </w:rPr>
        <w:t>2.3.保证系统开机时间不少于全年的95％，365天/年计算。如果在维修协议实施期间每年的系统开机时间无法达到95％，则按照每超过停机</w:t>
      </w:r>
      <w:proofErr w:type="gramStart"/>
      <w:r w:rsidRPr="005833AD">
        <w:rPr>
          <w:rFonts w:ascii="仿宋" w:eastAsia="仿宋" w:hAnsi="仿宋" w:cs="Times New Roman" w:hint="eastAsia"/>
          <w:bCs/>
          <w:sz w:val="24"/>
          <w:szCs w:val="24"/>
        </w:rPr>
        <w:t>一天延保三天</w:t>
      </w:r>
      <w:proofErr w:type="gramEnd"/>
      <w:r w:rsidRPr="005833AD">
        <w:rPr>
          <w:rFonts w:ascii="仿宋" w:eastAsia="仿宋" w:hAnsi="仿宋" w:cs="Times New Roman" w:hint="eastAsia"/>
          <w:bCs/>
          <w:sz w:val="24"/>
          <w:szCs w:val="24"/>
        </w:rPr>
        <w:t>提供服务。</w:t>
      </w:r>
    </w:p>
    <w:p w:rsidR="005833AD" w:rsidRPr="005833AD" w:rsidRDefault="005833AD" w:rsidP="005833AD">
      <w:pPr>
        <w:spacing w:line="400" w:lineRule="exact"/>
        <w:ind w:firstLineChars="200" w:firstLine="480"/>
        <w:rPr>
          <w:rFonts w:ascii="仿宋" w:eastAsia="仿宋" w:hAnsi="仿宋" w:cs="Times New Roman"/>
          <w:b/>
          <w:bCs/>
          <w:sz w:val="24"/>
          <w:szCs w:val="24"/>
        </w:rPr>
      </w:pPr>
      <w:r w:rsidRPr="005833AD">
        <w:rPr>
          <w:rFonts w:ascii="仿宋" w:eastAsia="仿宋" w:hAnsi="仿宋" w:cs="Times New Roman" w:hint="eastAsia"/>
          <w:bCs/>
          <w:sz w:val="24"/>
          <w:szCs w:val="24"/>
        </w:rPr>
        <w:t>2.4.服务费用包括:回访,巡检,保养,检测,维修,更换所需配件,技术指导,交通,差旅,食宿等一切费用。</w:t>
      </w:r>
    </w:p>
    <w:p w:rsidR="004F7866" w:rsidRPr="005833AD" w:rsidRDefault="004F7866">
      <w:bookmarkStart w:id="3" w:name="_GoBack"/>
      <w:bookmarkEnd w:id="3"/>
    </w:p>
    <w:sectPr w:rsidR="004F7866" w:rsidRPr="005833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AD"/>
    <w:rsid w:val="004F7866"/>
    <w:rsid w:val="00583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12650-B631-4819-A887-1FAC0415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qFormat/>
    <w:rsid w:val="005833A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83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965</Words>
  <Characters>5507</Characters>
  <Application>Microsoft Office Word</Application>
  <DocSecurity>0</DocSecurity>
  <Lines>45</Lines>
  <Paragraphs>12</Paragraphs>
  <ScaleCrop>false</ScaleCrop>
  <Company>微软中国</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2021-10-29T06:45:00Z</dcterms:created>
  <dcterms:modified xsi:type="dcterms:W3CDTF">2021-10-29T06:47:00Z</dcterms:modified>
</cp:coreProperties>
</file>