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10" w:rsidRDefault="00480610" w:rsidP="00480610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前提：本章中标注“★”的条款为本项目的实质性条款，投标人不满足的，将按照无效投标处理。</w:t>
      </w:r>
    </w:p>
    <w:bookmarkEnd w:id="0"/>
    <w:p w:rsidR="00480610" w:rsidRDefault="00480610" w:rsidP="0048061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0"/>
        <w:gridCol w:w="1099"/>
        <w:gridCol w:w="1099"/>
        <w:gridCol w:w="1696"/>
      </w:tblGrid>
      <w:tr w:rsidR="00480610" w:rsidTr="00480610">
        <w:trPr>
          <w:trHeight w:val="131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480610" w:rsidTr="00480610">
        <w:trPr>
          <w:trHeight w:val="131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烧伤科专用轧皮机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610" w:rsidRDefault="00480610">
            <w:pPr>
              <w:spacing w:after="0"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480610" w:rsidRDefault="00480610" w:rsidP="0048061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★二.商务要求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（一）交货期：合同签订生效后30日内。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（二）交货地点：成都大学附属医院（院区内）。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（三）付款方式：设备经安装、调试、培训且验收合格之日起2个月内，采购人向中标人支付合同金额的100%（中标人应提供合法等额票据）。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（四）验收标准：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480610" w:rsidRDefault="00480610" w:rsidP="00480610">
      <w:pPr>
        <w:spacing w:line="50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2.承诺所供货物出厂日期不得超过一年，验收时提供相关证明文件。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（五）质保期：整体质保≥5年。承诺中标后提供生产企业针对本项目的售后承诺书原件。</w:t>
      </w:r>
    </w:p>
    <w:p w:rsidR="00480610" w:rsidRDefault="00480610" w:rsidP="00480610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480610" w:rsidRDefault="00480610" w:rsidP="00480610">
      <w:pPr>
        <w:spacing w:line="500" w:lineRule="exact"/>
        <w:jc w:val="center"/>
        <w:outlineLvl w:val="2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烧伤科专用轧皮机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★1. 基本要求：用于外科植皮手术，兼具轧制小皮块和网状皮制备功能。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 标配辊刀：2组。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▲3. 轧制小皮片刀具规格标配2组（可选规格：7*7mm;3*3mm；5*5mm；10*10mm；12*12mm；20*20mm）。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▲4. 制做网状皮刀具规格标配1组（可选规格：1:1；1:1.5；1:2；1:3；1:4；1:5；1:6）。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▲5.</w:t>
      </w:r>
      <w:r>
        <w:t xml:space="preserve"> </w:t>
      </w:r>
      <w:r>
        <w:rPr>
          <w:rFonts w:ascii="仿宋" w:eastAsia="仿宋" w:hAnsi="仿宋" w:hint="eastAsia"/>
          <w:bCs/>
          <w:sz w:val="24"/>
        </w:rPr>
        <w:t>最大处理皮片宽度大于等于127mm。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6. 最大处理皮片长度：无限制。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7. 最大处理皮片厚度：无限制。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 功能实现方式：更换刀具。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 机器操作方式：手动。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10. 消毒方式：高温高压方式或其他灭菌方式。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11. 机器材质：整体机身及刀具不生锈、不腐蚀，无需特殊保养。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▲12. 刀具工艺：非模辊刀具设计，可更换单片刀片。</w:t>
      </w:r>
    </w:p>
    <w:p w:rsidR="00480610" w:rsidRDefault="00480610" w:rsidP="00480610">
      <w:pPr>
        <w:spacing w:after="0" w:line="276" w:lineRule="auto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13. 垫板配送5套。</w:t>
      </w:r>
    </w:p>
    <w:p w:rsidR="0016788B" w:rsidRDefault="0016788B">
      <w:pPr>
        <w:rPr>
          <w:rFonts w:hint="eastAsia"/>
        </w:rPr>
      </w:pPr>
      <w:bookmarkStart w:id="2" w:name="_GoBack"/>
      <w:bookmarkEnd w:id="2"/>
    </w:p>
    <w:sectPr w:rsidR="00167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FB"/>
    <w:rsid w:val="0016788B"/>
    <w:rsid w:val="00480610"/>
    <w:rsid w:val="00A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87E53-C5B4-43FC-93A1-CFBF3CE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10"/>
    <w:pPr>
      <w:widowControl w:val="0"/>
      <w:spacing w:after="160" w:line="256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80610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48061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2021-10-26T03:47:00Z</dcterms:created>
  <dcterms:modified xsi:type="dcterms:W3CDTF">2021-10-26T03:47:00Z</dcterms:modified>
</cp:coreProperties>
</file>