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53" w:rsidRPr="00C11253" w:rsidRDefault="00C11253" w:rsidP="00C11253">
      <w:pPr>
        <w:keepNext/>
        <w:keepLines/>
        <w:spacing w:before="340" w:after="330" w:line="578" w:lineRule="auto"/>
        <w:jc w:val="center"/>
        <w:outlineLvl w:val="0"/>
        <w:rPr>
          <w:rFonts w:ascii="仿宋" w:eastAsia="仿宋" w:hAnsi="仿宋" w:cs="Times New Roman"/>
          <w:b/>
          <w:bCs/>
          <w:kern w:val="44"/>
          <w:sz w:val="36"/>
          <w:szCs w:val="36"/>
        </w:rPr>
      </w:pPr>
      <w:r w:rsidRPr="00C11253">
        <w:rPr>
          <w:rFonts w:ascii="仿宋" w:eastAsia="仿宋" w:hAnsi="仿宋" w:cs="Times New Roman" w:hint="eastAsia"/>
          <w:b/>
          <w:bCs/>
          <w:kern w:val="44"/>
          <w:sz w:val="36"/>
          <w:szCs w:val="36"/>
        </w:rPr>
        <w:t>招标项目技术、服务、政府采购合同内容条款及其他商务要求</w:t>
      </w:r>
    </w:p>
    <w:p w:rsidR="00C11253" w:rsidRPr="00C11253" w:rsidRDefault="00C11253" w:rsidP="00C11253">
      <w:pPr>
        <w:spacing w:after="160" w:line="400" w:lineRule="exact"/>
        <w:ind w:firstLineChars="98" w:firstLine="235"/>
        <w:rPr>
          <w:rFonts w:ascii="仿宋" w:eastAsia="仿宋" w:hAnsi="仿宋" w:cs="Times New Roman"/>
          <w:sz w:val="24"/>
          <w:szCs w:val="24"/>
        </w:rPr>
      </w:pPr>
      <w:bookmarkStart w:id="0" w:name="_Toc217446094"/>
      <w:r w:rsidRPr="00C11253">
        <w:rPr>
          <w:rFonts w:ascii="仿宋" w:eastAsia="仿宋" w:hAnsi="仿宋" w:cs="Times New Roman" w:hint="eastAsia"/>
          <w:sz w:val="24"/>
          <w:szCs w:val="24"/>
        </w:rPr>
        <w:t>前提：本章中标注“*”的条款为本项目的实质性条款，投标人不满足的，将按照无效投标处理。</w:t>
      </w:r>
      <w:bookmarkEnd w:id="0"/>
    </w:p>
    <w:p w:rsidR="00C11253" w:rsidRPr="00C11253" w:rsidRDefault="00C11253" w:rsidP="00C11253">
      <w:pPr>
        <w:keepNext/>
        <w:keepLines/>
        <w:spacing w:before="260" w:after="260" w:line="400" w:lineRule="exact"/>
        <w:outlineLvl w:val="1"/>
        <w:rPr>
          <w:rFonts w:ascii="仿宋" w:eastAsia="仿宋" w:hAnsi="仿宋" w:cs="Times New Roman"/>
          <w:b/>
          <w:bCs/>
          <w:sz w:val="24"/>
          <w:szCs w:val="24"/>
        </w:rPr>
      </w:pPr>
      <w:proofErr w:type="gramStart"/>
      <w:r w:rsidRPr="00C11253">
        <w:rPr>
          <w:rFonts w:ascii="仿宋" w:eastAsia="仿宋" w:hAnsi="仿宋" w:cs="Times New Roman" w:hint="eastAsia"/>
          <w:b/>
          <w:bCs/>
          <w:sz w:val="24"/>
          <w:szCs w:val="24"/>
        </w:rPr>
        <w:t>一</w:t>
      </w:r>
      <w:proofErr w:type="gramEnd"/>
      <w:r w:rsidRPr="00C11253">
        <w:rPr>
          <w:rFonts w:ascii="仿宋" w:eastAsia="仿宋" w:hAnsi="仿宋" w:cs="Times New Roman" w:hint="eastAsia"/>
          <w:b/>
          <w:bCs/>
          <w:sz w:val="24"/>
          <w:szCs w:val="24"/>
        </w:rPr>
        <w:t>.采购标的名称及所属行业</w:t>
      </w:r>
    </w:p>
    <w:tbl>
      <w:tblPr>
        <w:tblStyle w:val="a3"/>
        <w:tblW w:w="9066" w:type="dxa"/>
        <w:jc w:val="center"/>
        <w:tblLayout w:type="fixed"/>
        <w:tblLook w:val="04A0" w:firstRow="1" w:lastRow="0" w:firstColumn="1" w:lastColumn="0" w:noHBand="0" w:noVBand="1"/>
      </w:tblPr>
      <w:tblGrid>
        <w:gridCol w:w="850"/>
        <w:gridCol w:w="3216"/>
        <w:gridCol w:w="749"/>
        <w:gridCol w:w="1417"/>
        <w:gridCol w:w="1519"/>
        <w:gridCol w:w="1315"/>
      </w:tblGrid>
      <w:tr w:rsidR="00C11253" w:rsidRPr="00C11253" w:rsidTr="00286E65">
        <w:trPr>
          <w:trHeight w:val="227"/>
          <w:jc w:val="center"/>
        </w:trPr>
        <w:tc>
          <w:tcPr>
            <w:tcW w:w="850" w:type="dxa"/>
            <w:noWrap/>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序号</w:t>
            </w:r>
          </w:p>
        </w:tc>
        <w:tc>
          <w:tcPr>
            <w:tcW w:w="3216" w:type="dxa"/>
            <w:noWrap/>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标的名称</w:t>
            </w:r>
          </w:p>
        </w:tc>
        <w:tc>
          <w:tcPr>
            <w:tcW w:w="749" w:type="dxa"/>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单位</w:t>
            </w:r>
          </w:p>
        </w:tc>
        <w:tc>
          <w:tcPr>
            <w:tcW w:w="1417" w:type="dxa"/>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预估数量</w:t>
            </w:r>
          </w:p>
        </w:tc>
        <w:tc>
          <w:tcPr>
            <w:tcW w:w="1519" w:type="dxa"/>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单价最高限价(万元)</w:t>
            </w:r>
          </w:p>
        </w:tc>
        <w:tc>
          <w:tcPr>
            <w:tcW w:w="1315" w:type="dxa"/>
            <w:vAlign w:val="center"/>
          </w:tcPr>
          <w:p w:rsidR="00C11253" w:rsidRPr="00C11253" w:rsidRDefault="00C11253" w:rsidP="00C11253">
            <w:pPr>
              <w:spacing w:line="276" w:lineRule="auto"/>
              <w:jc w:val="center"/>
              <w:rPr>
                <w:rFonts w:ascii="仿宋" w:eastAsia="仿宋" w:hAnsi="仿宋" w:cs="仿宋"/>
                <w:b/>
                <w:bCs/>
                <w:sz w:val="24"/>
                <w:szCs w:val="24"/>
              </w:rPr>
            </w:pPr>
            <w:r w:rsidRPr="00C11253">
              <w:rPr>
                <w:rFonts w:ascii="仿宋" w:eastAsia="仿宋" w:hAnsi="仿宋" w:cs="仿宋" w:hint="eastAsia"/>
                <w:b/>
                <w:bCs/>
                <w:sz w:val="24"/>
                <w:szCs w:val="24"/>
              </w:rPr>
              <w:t>所属行业</w:t>
            </w:r>
          </w:p>
        </w:tc>
      </w:tr>
      <w:tr w:rsidR="00C11253" w:rsidRPr="00C11253" w:rsidTr="00286E65">
        <w:trPr>
          <w:trHeight w:val="567"/>
          <w:jc w:val="center"/>
        </w:trPr>
        <w:tc>
          <w:tcPr>
            <w:tcW w:w="850" w:type="dxa"/>
            <w:noWrap/>
            <w:vAlign w:val="center"/>
          </w:tcPr>
          <w:p w:rsidR="00C11253" w:rsidRPr="00C11253" w:rsidRDefault="00C11253" w:rsidP="00C11253">
            <w:pPr>
              <w:spacing w:line="276" w:lineRule="auto"/>
              <w:jc w:val="center"/>
              <w:rPr>
                <w:rFonts w:ascii="仿宋" w:eastAsia="仿宋" w:hAnsi="仿宋" w:cs="仿宋"/>
                <w:sz w:val="24"/>
                <w:szCs w:val="24"/>
              </w:rPr>
            </w:pPr>
            <w:r w:rsidRPr="00C11253">
              <w:rPr>
                <w:rFonts w:ascii="仿宋" w:eastAsia="仿宋" w:hAnsi="仿宋" w:cs="仿宋"/>
                <w:sz w:val="24"/>
                <w:szCs w:val="24"/>
              </w:rPr>
              <w:t>1-</w:t>
            </w:r>
            <w:r w:rsidRPr="00C11253">
              <w:rPr>
                <w:rFonts w:ascii="仿宋" w:eastAsia="仿宋" w:hAnsi="仿宋" w:cs="仿宋" w:hint="eastAsia"/>
                <w:sz w:val="24"/>
                <w:szCs w:val="24"/>
              </w:rPr>
              <w:t>1</w:t>
            </w:r>
          </w:p>
        </w:tc>
        <w:tc>
          <w:tcPr>
            <w:tcW w:w="3216" w:type="dxa"/>
            <w:noWrap/>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r w:rsidRPr="00C11253">
              <w:rPr>
                <w:rFonts w:ascii="仿宋" w:eastAsia="仿宋" w:hAnsi="仿宋" w:cs="仿宋" w:hint="eastAsia"/>
                <w:sz w:val="24"/>
                <w:szCs w:val="24"/>
              </w:rPr>
              <w:t>非吸收性外科缝线</w:t>
            </w:r>
          </w:p>
        </w:tc>
        <w:tc>
          <w:tcPr>
            <w:tcW w:w="749" w:type="dxa"/>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r w:rsidRPr="00C11253">
              <w:rPr>
                <w:rFonts w:ascii="仿宋" w:eastAsia="仿宋" w:hAnsi="仿宋" w:cs="仿宋" w:hint="eastAsia"/>
                <w:sz w:val="24"/>
                <w:szCs w:val="24"/>
              </w:rPr>
              <w:t>根</w:t>
            </w:r>
          </w:p>
        </w:tc>
        <w:tc>
          <w:tcPr>
            <w:tcW w:w="1417" w:type="dxa"/>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r w:rsidRPr="00C11253">
              <w:rPr>
                <w:rFonts w:ascii="仿宋" w:eastAsia="仿宋" w:hAnsi="仿宋" w:cs="仿宋" w:hint="eastAsia"/>
                <w:sz w:val="24"/>
                <w:szCs w:val="24"/>
              </w:rPr>
              <w:t>100</w:t>
            </w:r>
          </w:p>
        </w:tc>
        <w:tc>
          <w:tcPr>
            <w:tcW w:w="1519" w:type="dxa"/>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r w:rsidRPr="00C11253">
              <w:rPr>
                <w:rFonts w:ascii="仿宋" w:eastAsia="仿宋" w:hAnsi="仿宋" w:cs="仿宋" w:hint="eastAsia"/>
                <w:sz w:val="24"/>
                <w:szCs w:val="24"/>
              </w:rPr>
              <w:t xml:space="preserve">0.0068 </w:t>
            </w:r>
          </w:p>
        </w:tc>
        <w:tc>
          <w:tcPr>
            <w:tcW w:w="1315" w:type="dxa"/>
            <w:vMerge w:val="restart"/>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r w:rsidRPr="00C11253">
              <w:rPr>
                <w:rFonts w:ascii="仿宋" w:eastAsia="仿宋" w:hAnsi="仿宋" w:cs="仿宋" w:hint="eastAsia"/>
                <w:sz w:val="24"/>
                <w:szCs w:val="24"/>
              </w:rPr>
              <w:t>工业</w:t>
            </w:r>
          </w:p>
        </w:tc>
      </w:tr>
      <w:tr w:rsidR="00C11253" w:rsidRPr="00C11253" w:rsidTr="00286E65">
        <w:trPr>
          <w:trHeight w:val="567"/>
          <w:jc w:val="center"/>
        </w:trPr>
        <w:tc>
          <w:tcPr>
            <w:tcW w:w="850" w:type="dxa"/>
            <w:noWrap/>
            <w:vAlign w:val="center"/>
          </w:tcPr>
          <w:p w:rsidR="00C11253" w:rsidRPr="00C11253" w:rsidRDefault="00C11253" w:rsidP="00C11253">
            <w:pPr>
              <w:spacing w:line="276" w:lineRule="auto"/>
              <w:jc w:val="center"/>
              <w:rPr>
                <w:rFonts w:ascii="仿宋" w:eastAsia="仿宋" w:hAnsi="仿宋" w:cs="仿宋"/>
                <w:sz w:val="24"/>
                <w:szCs w:val="24"/>
              </w:rPr>
            </w:pPr>
            <w:r w:rsidRPr="00C11253">
              <w:rPr>
                <w:rFonts w:ascii="仿宋" w:eastAsia="仿宋" w:hAnsi="仿宋" w:cs="仿宋"/>
                <w:sz w:val="24"/>
                <w:szCs w:val="24"/>
              </w:rPr>
              <w:t>1-</w:t>
            </w:r>
            <w:r w:rsidRPr="00C11253">
              <w:rPr>
                <w:rFonts w:ascii="仿宋" w:eastAsia="仿宋" w:hAnsi="仿宋" w:cs="仿宋" w:hint="eastAsia"/>
                <w:sz w:val="24"/>
                <w:szCs w:val="24"/>
              </w:rPr>
              <w:t>2</w:t>
            </w:r>
          </w:p>
        </w:tc>
        <w:tc>
          <w:tcPr>
            <w:tcW w:w="3216" w:type="dxa"/>
            <w:noWrap/>
            <w:vAlign w:val="center"/>
          </w:tcPr>
          <w:p w:rsidR="00C11253" w:rsidRPr="00C11253" w:rsidRDefault="00C11253" w:rsidP="00C11253">
            <w:pPr>
              <w:widowControl/>
              <w:spacing w:line="276" w:lineRule="auto"/>
              <w:jc w:val="center"/>
              <w:textAlignment w:val="center"/>
              <w:rPr>
                <w:rFonts w:ascii="仿宋" w:eastAsia="仿宋" w:hAnsi="仿宋" w:cs="仿宋"/>
                <w:sz w:val="24"/>
                <w:szCs w:val="24"/>
              </w:rPr>
            </w:pPr>
            <w:proofErr w:type="gramStart"/>
            <w:r w:rsidRPr="00C11253">
              <w:rPr>
                <w:rFonts w:ascii="仿宋" w:eastAsia="仿宋" w:hAnsi="仿宋" w:cs="仿宋" w:hint="eastAsia"/>
                <w:sz w:val="24"/>
                <w:szCs w:val="24"/>
              </w:rPr>
              <w:t>带针钛</w:t>
            </w:r>
            <w:proofErr w:type="gramEnd"/>
            <w:r w:rsidRPr="00C11253">
              <w:rPr>
                <w:rFonts w:ascii="仿宋" w:eastAsia="仿宋" w:hAnsi="仿宋" w:cs="仿宋" w:hint="eastAsia"/>
                <w:sz w:val="24"/>
                <w:szCs w:val="24"/>
              </w:rPr>
              <w:t>镍记忆合金缝合线（核心产品）</w:t>
            </w:r>
          </w:p>
        </w:tc>
        <w:tc>
          <w:tcPr>
            <w:tcW w:w="749"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根</w:t>
            </w:r>
          </w:p>
        </w:tc>
        <w:tc>
          <w:tcPr>
            <w:tcW w:w="1417"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100</w:t>
            </w:r>
          </w:p>
        </w:tc>
        <w:tc>
          <w:tcPr>
            <w:tcW w:w="1519"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 xml:space="preserve">0.0405 </w:t>
            </w:r>
          </w:p>
        </w:tc>
        <w:tc>
          <w:tcPr>
            <w:tcW w:w="1315" w:type="dxa"/>
            <w:vMerge/>
          </w:tcPr>
          <w:p w:rsidR="00C11253" w:rsidRPr="00C11253" w:rsidRDefault="00C11253" w:rsidP="00C11253">
            <w:pPr>
              <w:spacing w:after="160" w:line="259" w:lineRule="auto"/>
              <w:jc w:val="center"/>
              <w:rPr>
                <w:rFonts w:ascii="仿宋" w:eastAsia="仿宋" w:hAnsi="仿宋"/>
                <w:szCs w:val="24"/>
              </w:rPr>
            </w:pPr>
          </w:p>
        </w:tc>
      </w:tr>
      <w:tr w:rsidR="00C11253" w:rsidRPr="00C11253" w:rsidTr="00286E65">
        <w:trPr>
          <w:trHeight w:val="567"/>
          <w:jc w:val="center"/>
        </w:trPr>
        <w:tc>
          <w:tcPr>
            <w:tcW w:w="850" w:type="dxa"/>
            <w:noWrap/>
            <w:vAlign w:val="center"/>
          </w:tcPr>
          <w:p w:rsidR="00C11253" w:rsidRPr="00C11253" w:rsidRDefault="00C11253" w:rsidP="00C11253">
            <w:pPr>
              <w:spacing w:line="276" w:lineRule="auto"/>
              <w:jc w:val="center"/>
              <w:rPr>
                <w:rFonts w:ascii="仿宋" w:eastAsia="仿宋" w:hAnsi="仿宋" w:cs="仿宋"/>
                <w:sz w:val="24"/>
                <w:szCs w:val="24"/>
              </w:rPr>
            </w:pPr>
            <w:r w:rsidRPr="00C11253">
              <w:rPr>
                <w:rFonts w:ascii="仿宋" w:eastAsia="仿宋" w:hAnsi="仿宋" w:cs="仿宋"/>
                <w:sz w:val="24"/>
                <w:szCs w:val="24"/>
              </w:rPr>
              <w:t>1-</w:t>
            </w:r>
            <w:r w:rsidRPr="00C11253">
              <w:rPr>
                <w:rFonts w:ascii="仿宋" w:eastAsia="仿宋" w:hAnsi="仿宋" w:cs="仿宋" w:hint="eastAsia"/>
                <w:sz w:val="24"/>
                <w:szCs w:val="24"/>
              </w:rPr>
              <w:t>3</w:t>
            </w:r>
          </w:p>
        </w:tc>
        <w:tc>
          <w:tcPr>
            <w:tcW w:w="3216" w:type="dxa"/>
            <w:noWrap/>
            <w:vAlign w:val="center"/>
          </w:tcPr>
          <w:p w:rsidR="00C11253" w:rsidRPr="00C11253" w:rsidRDefault="00C11253" w:rsidP="00C11253">
            <w:pPr>
              <w:spacing w:line="276" w:lineRule="auto"/>
              <w:jc w:val="center"/>
              <w:rPr>
                <w:rFonts w:ascii="仿宋" w:eastAsia="仿宋" w:hAnsi="仿宋" w:cs="仿宋"/>
                <w:sz w:val="24"/>
                <w:szCs w:val="24"/>
                <w:lang w:bidi="ar"/>
              </w:rPr>
            </w:pPr>
            <w:r w:rsidRPr="00C11253">
              <w:rPr>
                <w:rFonts w:ascii="仿宋" w:eastAsia="仿宋" w:hAnsi="仿宋" w:cs="仿宋" w:hint="eastAsia"/>
                <w:sz w:val="24"/>
                <w:szCs w:val="24"/>
              </w:rPr>
              <w:t>非吸收性聚丙烯缝线</w:t>
            </w:r>
          </w:p>
        </w:tc>
        <w:tc>
          <w:tcPr>
            <w:tcW w:w="749"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根</w:t>
            </w:r>
          </w:p>
        </w:tc>
        <w:tc>
          <w:tcPr>
            <w:tcW w:w="1417"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100</w:t>
            </w:r>
          </w:p>
        </w:tc>
        <w:tc>
          <w:tcPr>
            <w:tcW w:w="1519" w:type="dxa"/>
            <w:vAlign w:val="center"/>
          </w:tcPr>
          <w:p w:rsidR="00C11253" w:rsidRPr="00C11253" w:rsidRDefault="00C11253" w:rsidP="00C11253">
            <w:pPr>
              <w:spacing w:after="160" w:line="259" w:lineRule="auto"/>
              <w:jc w:val="center"/>
              <w:rPr>
                <w:rFonts w:ascii="仿宋" w:eastAsia="仿宋" w:hAnsi="仿宋" w:cs="仿宋"/>
                <w:sz w:val="24"/>
                <w:szCs w:val="24"/>
              </w:rPr>
            </w:pPr>
            <w:r w:rsidRPr="00C11253">
              <w:rPr>
                <w:rFonts w:ascii="仿宋" w:eastAsia="仿宋" w:hAnsi="仿宋" w:cs="仿宋" w:hint="eastAsia"/>
                <w:sz w:val="24"/>
                <w:szCs w:val="24"/>
              </w:rPr>
              <w:t>0.0118</w:t>
            </w:r>
          </w:p>
        </w:tc>
        <w:tc>
          <w:tcPr>
            <w:tcW w:w="1315" w:type="dxa"/>
            <w:vMerge/>
          </w:tcPr>
          <w:p w:rsidR="00C11253" w:rsidRPr="00C11253" w:rsidRDefault="00C11253" w:rsidP="00C11253">
            <w:pPr>
              <w:spacing w:after="160" w:line="259" w:lineRule="auto"/>
              <w:jc w:val="center"/>
              <w:rPr>
                <w:rFonts w:ascii="仿宋" w:eastAsia="仿宋" w:hAnsi="仿宋"/>
                <w:szCs w:val="24"/>
              </w:rPr>
            </w:pPr>
          </w:p>
        </w:tc>
      </w:tr>
    </w:tbl>
    <w:p w:rsidR="00C11253" w:rsidRPr="00C11253" w:rsidRDefault="00C11253" w:rsidP="00C11253">
      <w:pPr>
        <w:keepNext/>
        <w:keepLines/>
        <w:spacing w:before="260" w:after="260" w:line="400" w:lineRule="exact"/>
        <w:outlineLvl w:val="1"/>
        <w:rPr>
          <w:rFonts w:ascii="仿宋" w:eastAsia="仿宋" w:hAnsi="仿宋" w:cs="Times New Roman"/>
          <w:b/>
          <w:bCs/>
          <w:sz w:val="24"/>
          <w:szCs w:val="24"/>
        </w:rPr>
      </w:pPr>
      <w:bookmarkStart w:id="1" w:name="_Toc217446095"/>
      <w:r w:rsidRPr="00C11253">
        <w:rPr>
          <w:rFonts w:ascii="仿宋" w:eastAsia="仿宋" w:hAnsi="仿宋" w:cs="Times New Roman" w:hint="eastAsia"/>
          <w:b/>
          <w:bCs/>
          <w:sz w:val="24"/>
          <w:szCs w:val="24"/>
        </w:rPr>
        <w:t>*二.商务要求</w:t>
      </w:r>
    </w:p>
    <w:p w:rsidR="00C11253" w:rsidRPr="00C11253" w:rsidRDefault="00C11253" w:rsidP="00C11253">
      <w:pPr>
        <w:spacing w:after="160" w:line="460" w:lineRule="exact"/>
        <w:ind w:firstLineChars="200" w:firstLine="482"/>
        <w:rPr>
          <w:rFonts w:ascii="仿宋" w:eastAsia="仿宋" w:hAnsi="仿宋" w:cs="宋体"/>
          <w:b/>
          <w:bCs/>
          <w:sz w:val="24"/>
          <w:szCs w:val="24"/>
        </w:rPr>
      </w:pPr>
      <w:bookmarkStart w:id="2" w:name="_Hlk79090457"/>
      <w:r w:rsidRPr="00C11253">
        <w:rPr>
          <w:rFonts w:ascii="仿宋" w:eastAsia="仿宋" w:hAnsi="仿宋" w:cs="宋体" w:hint="eastAsia"/>
          <w:b/>
          <w:bCs/>
          <w:sz w:val="24"/>
          <w:szCs w:val="24"/>
        </w:rPr>
        <w:t>1</w:t>
      </w:r>
      <w:r w:rsidRPr="00C11253">
        <w:rPr>
          <w:rFonts w:ascii="仿宋" w:eastAsia="仿宋" w:hAnsi="仿宋" w:cs="宋体"/>
          <w:b/>
          <w:bCs/>
          <w:sz w:val="24"/>
          <w:szCs w:val="24"/>
        </w:rPr>
        <w:t>.</w:t>
      </w:r>
      <w:r w:rsidRPr="00C11253">
        <w:rPr>
          <w:rFonts w:ascii="仿宋" w:eastAsia="仿宋" w:hAnsi="仿宋" w:cs="宋体" w:hint="eastAsia"/>
          <w:b/>
          <w:bCs/>
          <w:sz w:val="24"/>
          <w:szCs w:val="24"/>
        </w:rPr>
        <w:t>合同期限</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（1）合同期限为壹年。合同期限到期后，如出现合同期限内已发出采购订单未完成供货的情况，则合同相关条款延续到所有订单全部完成供货及结算止。</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（2）采购人不承诺合同期内最低订单数量及金额，且如遇国家或上级主管部门调整部分耗材采购方式，采购人有权按照国家或上级主管部门要求对该部分耗材另行组织供货，供应商不得因此提出索赔。</w:t>
      </w:r>
    </w:p>
    <w:p w:rsidR="00C11253" w:rsidRPr="00C11253" w:rsidRDefault="00C11253" w:rsidP="00C11253">
      <w:pPr>
        <w:spacing w:after="160" w:line="460" w:lineRule="exact"/>
        <w:ind w:firstLineChars="200" w:firstLine="482"/>
        <w:rPr>
          <w:rFonts w:ascii="仿宋" w:eastAsia="仿宋" w:hAnsi="仿宋" w:cs="宋体"/>
          <w:b/>
          <w:bCs/>
          <w:sz w:val="24"/>
          <w:szCs w:val="24"/>
        </w:rPr>
      </w:pPr>
      <w:r w:rsidRPr="00C11253">
        <w:rPr>
          <w:rFonts w:ascii="仿宋" w:eastAsia="仿宋" w:hAnsi="仿宋" w:cs="宋体" w:hint="eastAsia"/>
          <w:b/>
          <w:bCs/>
          <w:sz w:val="24"/>
          <w:szCs w:val="24"/>
        </w:rPr>
        <w:t>2</w:t>
      </w:r>
      <w:r w:rsidRPr="00C11253">
        <w:rPr>
          <w:rFonts w:ascii="仿宋" w:eastAsia="仿宋" w:hAnsi="仿宋" w:cs="宋体"/>
          <w:b/>
          <w:bCs/>
          <w:sz w:val="24"/>
          <w:szCs w:val="24"/>
        </w:rPr>
        <w:t>.</w:t>
      </w:r>
      <w:r w:rsidRPr="00C11253">
        <w:rPr>
          <w:rFonts w:ascii="仿宋" w:eastAsia="仿宋" w:hAnsi="仿宋" w:cs="宋体" w:hint="eastAsia"/>
          <w:b/>
          <w:bCs/>
          <w:sz w:val="24"/>
          <w:szCs w:val="24"/>
        </w:rPr>
        <w:t>履约地点：</w:t>
      </w:r>
      <w:r w:rsidRPr="00C11253">
        <w:rPr>
          <w:rFonts w:ascii="仿宋" w:eastAsia="仿宋" w:hAnsi="仿宋" w:cs="宋体" w:hint="eastAsia"/>
          <w:sz w:val="24"/>
          <w:szCs w:val="24"/>
        </w:rPr>
        <w:t>成都市双流区妇幼保健院。</w:t>
      </w:r>
    </w:p>
    <w:p w:rsidR="00C11253" w:rsidRPr="00C11253" w:rsidRDefault="00C11253" w:rsidP="00C11253">
      <w:pPr>
        <w:spacing w:after="160" w:line="460" w:lineRule="exact"/>
        <w:ind w:firstLineChars="200" w:firstLine="482"/>
        <w:rPr>
          <w:rFonts w:ascii="仿宋" w:eastAsia="仿宋" w:hAnsi="仿宋" w:cs="Times New Roman"/>
          <w:b/>
          <w:bCs/>
          <w:sz w:val="24"/>
          <w:szCs w:val="24"/>
        </w:rPr>
      </w:pPr>
      <w:r w:rsidRPr="00C11253">
        <w:rPr>
          <w:rFonts w:ascii="仿宋" w:eastAsia="仿宋" w:hAnsi="仿宋" w:cs="宋体"/>
          <w:b/>
          <w:bCs/>
          <w:sz w:val="24"/>
          <w:szCs w:val="24"/>
        </w:rPr>
        <w:t>3.</w:t>
      </w:r>
      <w:r w:rsidRPr="00C11253">
        <w:rPr>
          <w:rFonts w:ascii="仿宋" w:eastAsia="仿宋" w:hAnsi="仿宋" w:cs="宋体" w:hint="eastAsia"/>
          <w:b/>
          <w:bCs/>
          <w:sz w:val="24"/>
          <w:szCs w:val="24"/>
        </w:rPr>
        <w:t>包装和运输</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1）原厂包装：供应商所供耗材应使用原厂包装物并必须符合国家有关规定；具有符合要求的中文说明书、标签和包装标识，耗材包装上（包括大包装、小包装等）必须附有名称、批号、产地、规格、型号、有效期等国家规定的中文标识。每一个包装箱内应附一份合格证明，如非整件则须附有</w:t>
      </w:r>
      <w:proofErr w:type="gramStart"/>
      <w:r w:rsidRPr="00C11253">
        <w:rPr>
          <w:rFonts w:ascii="仿宋" w:eastAsia="仿宋" w:hAnsi="仿宋" w:cs="Times New Roman" w:hint="eastAsia"/>
          <w:sz w:val="24"/>
          <w:szCs w:val="24"/>
        </w:rPr>
        <w:t>加盖鲜章的</w:t>
      </w:r>
      <w:proofErr w:type="gramEnd"/>
      <w:r w:rsidRPr="00C11253">
        <w:rPr>
          <w:rFonts w:ascii="仿宋" w:eastAsia="仿宋" w:hAnsi="仿宋" w:cs="Times New Roman" w:hint="eastAsia"/>
          <w:sz w:val="24"/>
          <w:szCs w:val="24"/>
        </w:rPr>
        <w:t>合格证</w:t>
      </w:r>
      <w:r w:rsidRPr="00C11253">
        <w:rPr>
          <w:rFonts w:ascii="仿宋" w:eastAsia="仿宋" w:hAnsi="仿宋" w:cs="Times New Roman" w:hint="eastAsia"/>
          <w:sz w:val="24"/>
          <w:szCs w:val="24"/>
        </w:rPr>
        <w:lastRenderedPageBreak/>
        <w:t>明的复印件。如不满足前述要求之一的，采购人有权拒收相应的货物，视为供应商未按约定供货。</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（2）额外包装：供应商对提供的全部耗材均应提供适当额外包装，以防止耗材在转运中损坏或变质，包装应能够适应远距离运输、防潮、防震、防变质、防野蛮装卸，以确保耗材安全无损运抵指定地点。</w:t>
      </w:r>
    </w:p>
    <w:p w:rsidR="00C11253" w:rsidRPr="00C11253" w:rsidRDefault="00C11253" w:rsidP="00C11253">
      <w:pPr>
        <w:spacing w:after="160" w:line="460" w:lineRule="exact"/>
        <w:ind w:firstLineChars="200" w:firstLine="482"/>
        <w:rPr>
          <w:rFonts w:ascii="仿宋" w:eastAsia="仿宋" w:hAnsi="仿宋" w:cs="宋体"/>
          <w:b/>
          <w:bCs/>
          <w:sz w:val="24"/>
          <w:szCs w:val="24"/>
        </w:rPr>
      </w:pPr>
      <w:r w:rsidRPr="00C11253">
        <w:rPr>
          <w:rFonts w:ascii="仿宋" w:eastAsia="仿宋" w:hAnsi="仿宋" w:cs="宋体"/>
          <w:b/>
          <w:bCs/>
          <w:sz w:val="24"/>
          <w:szCs w:val="24"/>
        </w:rPr>
        <w:t>4.</w:t>
      </w:r>
      <w:r w:rsidRPr="00C11253">
        <w:rPr>
          <w:rFonts w:ascii="仿宋" w:eastAsia="仿宋" w:hAnsi="仿宋" w:cs="宋体" w:hint="eastAsia"/>
          <w:b/>
          <w:bCs/>
          <w:sz w:val="24"/>
          <w:szCs w:val="24"/>
        </w:rPr>
        <w:t>供货时间及风险转移</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（1）根据采购人实际购货计划分期分批按时供货，紧急供货需求在接到采购人通知后按采购人要求时限内完成供货，一般供货需求在接到采购人通知后48小时内完成供货。供应商承诺节假日期间亦照常配送。</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（2）供应商承担采购耗材验收合格前的运输、保管责任，并承担采购耗材验收合格前采购耗材损毁灭失的风险。自采购人验收合格之日起，采购耗材的损毁灭失风险转移由采购人承担。</w:t>
      </w:r>
    </w:p>
    <w:p w:rsidR="00C11253" w:rsidRPr="00C11253" w:rsidRDefault="00C11253" w:rsidP="00C11253">
      <w:pPr>
        <w:spacing w:after="160" w:line="460" w:lineRule="exact"/>
        <w:ind w:firstLineChars="200" w:firstLine="482"/>
        <w:rPr>
          <w:rFonts w:ascii="仿宋" w:eastAsia="仿宋" w:hAnsi="仿宋" w:cs="宋体"/>
          <w:b/>
          <w:bCs/>
          <w:sz w:val="24"/>
          <w:szCs w:val="24"/>
        </w:rPr>
      </w:pPr>
      <w:r w:rsidRPr="00C11253">
        <w:rPr>
          <w:rFonts w:ascii="仿宋" w:eastAsia="仿宋" w:hAnsi="仿宋" w:cs="宋体"/>
          <w:b/>
          <w:bCs/>
          <w:sz w:val="24"/>
          <w:szCs w:val="24"/>
        </w:rPr>
        <w:t>5.</w:t>
      </w:r>
      <w:r w:rsidRPr="00C11253">
        <w:rPr>
          <w:rFonts w:ascii="仿宋" w:eastAsia="仿宋" w:hAnsi="仿宋" w:cs="宋体" w:hint="eastAsia"/>
          <w:b/>
          <w:bCs/>
          <w:sz w:val="24"/>
          <w:szCs w:val="24"/>
        </w:rPr>
        <w:t>付款条件及进度</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采购人于本项目签订后5个工作日内支付中标合同总价的30%作为预付款。采购人于完成结算并收到全部结算资料后支付相应的货款。采购人已支付的预付款优先扣抵结算应支付的货款。除预付款支付外，供应商向采购人申请支付每笔款项前，应当提供相应的结算资料。如供应商未按合同约定提供结算资料或增值税发票的，采购人有权拒绝付款且不构成违约。如根据合同约定，供应商应支付违约金、承担费用的，供应商同意采购人有权从采购人应支付供应商的货款中扣除相应的违约金、费用。</w:t>
      </w:r>
    </w:p>
    <w:p w:rsidR="00C11253" w:rsidRPr="00C11253" w:rsidRDefault="00C11253" w:rsidP="00C11253">
      <w:pPr>
        <w:spacing w:after="160" w:line="460" w:lineRule="exact"/>
        <w:ind w:firstLineChars="200" w:firstLine="482"/>
        <w:rPr>
          <w:rFonts w:ascii="仿宋" w:eastAsia="仿宋" w:hAnsi="仿宋" w:cs="宋体"/>
          <w:b/>
          <w:bCs/>
          <w:sz w:val="24"/>
          <w:szCs w:val="24"/>
        </w:rPr>
      </w:pPr>
      <w:r w:rsidRPr="00C11253">
        <w:rPr>
          <w:rFonts w:ascii="仿宋" w:eastAsia="仿宋" w:hAnsi="仿宋" w:cs="宋体" w:hint="eastAsia"/>
          <w:b/>
          <w:bCs/>
          <w:sz w:val="24"/>
          <w:szCs w:val="24"/>
        </w:rPr>
        <w:t>6</w:t>
      </w:r>
      <w:r w:rsidRPr="00C11253">
        <w:rPr>
          <w:rFonts w:ascii="仿宋" w:eastAsia="仿宋" w:hAnsi="仿宋" w:cs="宋体"/>
          <w:b/>
          <w:bCs/>
          <w:sz w:val="24"/>
          <w:szCs w:val="24"/>
        </w:rPr>
        <w:t>.</w:t>
      </w:r>
      <w:r w:rsidRPr="00C11253">
        <w:rPr>
          <w:rFonts w:ascii="仿宋" w:eastAsia="仿宋" w:hAnsi="仿宋" w:cs="宋体" w:hint="eastAsia"/>
          <w:b/>
          <w:bCs/>
          <w:sz w:val="24"/>
          <w:szCs w:val="24"/>
        </w:rPr>
        <w:t>质量要求</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（1）</w:t>
      </w:r>
      <w:r w:rsidRPr="00C11253">
        <w:rPr>
          <w:rFonts w:ascii="仿宋" w:eastAsia="仿宋" w:hAnsi="仿宋" w:cs="Times New Roman" w:hint="eastAsia"/>
          <w:sz w:val="24"/>
          <w:szCs w:val="24"/>
        </w:rPr>
        <w:t>供应商保证所提供的耗材的质量标准应当符合国家标准和行业标准，没有国家标准和行业标准的，按照通常标准或者符合合同目的的特定标准确定。</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（2）供应商应保证所提供的耗材（含配件等）是全新的、完整的，且符合本项目的要求的，质量是优良的，并符合安全可靠、经济运行和易于维护的要求。</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（3）供应商应保证所提供耗材的数量、质量、型号及技术性能等完全满足</w:t>
      </w:r>
      <w:r w:rsidRPr="00C11253">
        <w:rPr>
          <w:rFonts w:ascii="仿宋" w:eastAsia="仿宋" w:hAnsi="仿宋" w:cs="Times New Roman" w:hint="eastAsia"/>
          <w:sz w:val="24"/>
          <w:szCs w:val="24"/>
        </w:rPr>
        <w:lastRenderedPageBreak/>
        <w:t>合同文件的约定，具有医疗器械生产企业质检部门医用耗材检验报告书。</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w:t>
      </w:r>
      <w:r w:rsidRPr="00C11253">
        <w:rPr>
          <w:rFonts w:ascii="仿宋" w:eastAsia="仿宋" w:hAnsi="仿宋" w:cs="Times New Roman"/>
          <w:sz w:val="24"/>
          <w:szCs w:val="24"/>
        </w:rPr>
        <w:t>4</w:t>
      </w:r>
      <w:r w:rsidRPr="00C11253">
        <w:rPr>
          <w:rFonts w:ascii="仿宋" w:eastAsia="仿宋" w:hAnsi="仿宋" w:cs="Times New Roman" w:hint="eastAsia"/>
          <w:sz w:val="24"/>
          <w:szCs w:val="24"/>
        </w:rPr>
        <w:t>）如因供应商提供的耗材质量等非采购</w:t>
      </w:r>
      <w:proofErr w:type="gramStart"/>
      <w:r w:rsidRPr="00C11253">
        <w:rPr>
          <w:rFonts w:ascii="仿宋" w:eastAsia="仿宋" w:hAnsi="仿宋" w:cs="Times New Roman" w:hint="eastAsia"/>
          <w:sz w:val="24"/>
          <w:szCs w:val="24"/>
        </w:rPr>
        <w:t>人原因</w:t>
      </w:r>
      <w:proofErr w:type="gramEnd"/>
      <w:r w:rsidRPr="00C11253">
        <w:rPr>
          <w:rFonts w:ascii="仿宋" w:eastAsia="仿宋" w:hAnsi="仿宋" w:cs="Times New Roman" w:hint="eastAsia"/>
          <w:sz w:val="24"/>
          <w:szCs w:val="24"/>
        </w:rPr>
        <w:t>导致采购人、患者及他人人身损害、财产损失的，供应商应当承担全部赔偿责任。如采购人因此而承担赔偿责任的，有权向供应商全额追偿。</w:t>
      </w:r>
    </w:p>
    <w:p w:rsidR="00C11253" w:rsidRPr="00C11253" w:rsidRDefault="00C11253" w:rsidP="00C11253">
      <w:pPr>
        <w:spacing w:after="160" w:line="460" w:lineRule="exact"/>
        <w:ind w:firstLineChars="200" w:firstLine="482"/>
        <w:rPr>
          <w:rFonts w:ascii="仿宋" w:eastAsia="仿宋" w:hAnsi="仿宋" w:cs="宋体"/>
          <w:b/>
          <w:bCs/>
          <w:sz w:val="24"/>
          <w:szCs w:val="24"/>
        </w:rPr>
      </w:pPr>
      <w:r w:rsidRPr="00C11253">
        <w:rPr>
          <w:rFonts w:ascii="仿宋" w:eastAsia="仿宋" w:hAnsi="仿宋" w:cs="宋体" w:hint="eastAsia"/>
          <w:b/>
          <w:bCs/>
          <w:sz w:val="24"/>
          <w:szCs w:val="24"/>
        </w:rPr>
        <w:t>7</w:t>
      </w:r>
      <w:r w:rsidRPr="00C11253">
        <w:rPr>
          <w:rFonts w:ascii="仿宋" w:eastAsia="仿宋" w:hAnsi="仿宋" w:cs="宋体"/>
          <w:b/>
          <w:bCs/>
          <w:sz w:val="24"/>
          <w:szCs w:val="24"/>
        </w:rPr>
        <w:t>.</w:t>
      </w:r>
      <w:r w:rsidRPr="00C11253">
        <w:rPr>
          <w:rFonts w:ascii="仿宋" w:eastAsia="仿宋" w:hAnsi="仿宋" w:cs="宋体" w:hint="eastAsia"/>
          <w:b/>
          <w:bCs/>
          <w:sz w:val="24"/>
          <w:szCs w:val="24"/>
        </w:rPr>
        <w:t>验收、交付标准和方法</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（1）按国家及行业有关法律法规规定以及招标文件的质量要求和技术指标、投标响应文件及承诺与合同约定标准进行验收。</w:t>
      </w:r>
    </w:p>
    <w:p w:rsidR="00C11253" w:rsidRPr="00C11253" w:rsidRDefault="00C11253" w:rsidP="00C11253">
      <w:pPr>
        <w:spacing w:after="160" w:line="460" w:lineRule="exact"/>
        <w:ind w:firstLineChars="200" w:firstLine="480"/>
        <w:rPr>
          <w:rFonts w:ascii="仿宋" w:eastAsia="仿宋" w:hAnsi="仿宋" w:cs="宋体"/>
          <w:sz w:val="24"/>
          <w:szCs w:val="24"/>
        </w:rPr>
      </w:pPr>
      <w:r w:rsidRPr="00C11253">
        <w:rPr>
          <w:rFonts w:ascii="仿宋" w:eastAsia="仿宋" w:hAnsi="仿宋" w:cs="宋体" w:hint="eastAsia"/>
          <w:sz w:val="24"/>
          <w:szCs w:val="24"/>
        </w:rPr>
        <w:t>（2）其他未尽事宜应严格按照《财政部关于进一步加强政府采购需求和履约验收管理的指导意见》（财库〔2016〕205号）等政府采购相关法律法规的要求进行验收。</w:t>
      </w:r>
    </w:p>
    <w:p w:rsidR="00C11253" w:rsidRPr="00C11253" w:rsidRDefault="00C11253" w:rsidP="00C11253">
      <w:pPr>
        <w:widowControl/>
        <w:spacing w:line="460" w:lineRule="exact"/>
        <w:ind w:firstLineChars="200" w:firstLine="482"/>
        <w:rPr>
          <w:rFonts w:ascii="仿宋" w:eastAsia="仿宋" w:hAnsi="仿宋" w:cs="宋体"/>
          <w:b/>
          <w:bCs/>
          <w:kern w:val="0"/>
          <w:sz w:val="24"/>
          <w:szCs w:val="24"/>
        </w:rPr>
      </w:pPr>
      <w:r w:rsidRPr="00C11253">
        <w:rPr>
          <w:rFonts w:ascii="仿宋" w:eastAsia="仿宋" w:hAnsi="仿宋" w:cs="宋体" w:hint="eastAsia"/>
          <w:b/>
          <w:bCs/>
          <w:kern w:val="0"/>
          <w:sz w:val="24"/>
          <w:szCs w:val="24"/>
        </w:rPr>
        <w:t>8</w:t>
      </w:r>
      <w:r w:rsidRPr="00C11253">
        <w:rPr>
          <w:rFonts w:ascii="仿宋" w:eastAsia="仿宋" w:hAnsi="仿宋" w:cs="宋体"/>
          <w:b/>
          <w:bCs/>
          <w:kern w:val="0"/>
          <w:sz w:val="24"/>
          <w:szCs w:val="24"/>
        </w:rPr>
        <w:t>.</w:t>
      </w:r>
      <w:r w:rsidRPr="00C11253">
        <w:rPr>
          <w:rFonts w:ascii="仿宋" w:eastAsia="仿宋" w:hAnsi="仿宋" w:cs="宋体" w:hint="eastAsia"/>
          <w:b/>
          <w:bCs/>
          <w:kern w:val="0"/>
          <w:sz w:val="24"/>
          <w:szCs w:val="24"/>
        </w:rPr>
        <w:t>售后服务</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（1）供应商须指派专人负责与采购人联系售后服务事宜。</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2）供应商应承诺无条件退换破损耗材和退换本项目期限内有效期低于6个月的耗材。如供应商未按采购人要求退还换破损耗材和（或）退换本项目期限内有效期低于6个月的耗材的，视为供应商未交付该部分耗材，采购人有权要求供应商退还该部分耗材对应的价款并有权按照该部分耗材对应的价款的2</w:t>
      </w:r>
      <w:r w:rsidRPr="00C11253">
        <w:rPr>
          <w:rFonts w:ascii="仿宋" w:eastAsia="仿宋" w:hAnsi="仿宋" w:cs="Times New Roman"/>
          <w:sz w:val="24"/>
          <w:szCs w:val="24"/>
        </w:rPr>
        <w:t>0</w:t>
      </w:r>
      <w:r w:rsidRPr="00C11253">
        <w:rPr>
          <w:rFonts w:ascii="仿宋" w:eastAsia="仿宋" w:hAnsi="仿宋" w:cs="Times New Roman" w:hint="eastAsia"/>
          <w:sz w:val="24"/>
          <w:szCs w:val="24"/>
        </w:rPr>
        <w:t>%收取违约金，且有权从应支付供应商的货款（如有）中直接扣除。</w:t>
      </w:r>
    </w:p>
    <w:p w:rsidR="00C11253" w:rsidRPr="00C11253" w:rsidRDefault="00C11253" w:rsidP="00C11253">
      <w:pPr>
        <w:spacing w:after="160" w:line="460" w:lineRule="exact"/>
        <w:ind w:firstLineChars="200" w:firstLine="482"/>
        <w:rPr>
          <w:rFonts w:ascii="仿宋" w:eastAsia="仿宋" w:hAnsi="仿宋" w:cs="Times New Roman"/>
          <w:sz w:val="24"/>
          <w:szCs w:val="24"/>
        </w:rPr>
      </w:pPr>
      <w:r w:rsidRPr="00C11253">
        <w:rPr>
          <w:rFonts w:ascii="仿宋" w:eastAsia="仿宋" w:hAnsi="仿宋" w:cs="Times New Roman" w:hint="eastAsia"/>
          <w:b/>
          <w:bCs/>
          <w:sz w:val="24"/>
          <w:szCs w:val="24"/>
        </w:rPr>
        <w:t>9</w:t>
      </w:r>
      <w:r w:rsidRPr="00C11253">
        <w:rPr>
          <w:rFonts w:ascii="仿宋" w:eastAsia="仿宋" w:hAnsi="仿宋" w:cs="Times New Roman"/>
          <w:b/>
          <w:bCs/>
          <w:sz w:val="24"/>
          <w:szCs w:val="24"/>
        </w:rPr>
        <w:t>.</w:t>
      </w:r>
      <w:r w:rsidRPr="00C11253">
        <w:rPr>
          <w:rFonts w:ascii="仿宋" w:eastAsia="仿宋" w:hAnsi="仿宋" w:cs="Times New Roman" w:hint="eastAsia"/>
          <w:b/>
          <w:bCs/>
          <w:sz w:val="24"/>
          <w:szCs w:val="24"/>
        </w:rPr>
        <w:t>培训</w:t>
      </w:r>
    </w:p>
    <w:p w:rsidR="00C11253" w:rsidRPr="00C11253" w:rsidRDefault="00C11253" w:rsidP="00C11253">
      <w:pPr>
        <w:spacing w:after="160" w:line="460" w:lineRule="exact"/>
        <w:ind w:firstLineChars="200" w:firstLine="480"/>
        <w:rPr>
          <w:rFonts w:ascii="仿宋" w:eastAsia="仿宋" w:hAnsi="仿宋" w:cs="Times New Roman"/>
          <w:sz w:val="24"/>
          <w:szCs w:val="24"/>
        </w:rPr>
      </w:pPr>
      <w:r w:rsidRPr="00C11253">
        <w:rPr>
          <w:rFonts w:ascii="仿宋" w:eastAsia="仿宋" w:hAnsi="仿宋" w:cs="Times New Roman" w:hint="eastAsia"/>
          <w:sz w:val="24"/>
          <w:szCs w:val="24"/>
        </w:rPr>
        <w:t>供应商应就耗材的使用等对采购</w:t>
      </w:r>
      <w:proofErr w:type="gramStart"/>
      <w:r w:rsidRPr="00C11253">
        <w:rPr>
          <w:rFonts w:ascii="仿宋" w:eastAsia="仿宋" w:hAnsi="仿宋" w:cs="Times New Roman" w:hint="eastAsia"/>
          <w:sz w:val="24"/>
          <w:szCs w:val="24"/>
        </w:rPr>
        <w:t>人人员</w:t>
      </w:r>
      <w:proofErr w:type="gramEnd"/>
      <w:r w:rsidRPr="00C11253">
        <w:rPr>
          <w:rFonts w:ascii="仿宋" w:eastAsia="仿宋" w:hAnsi="仿宋" w:cs="Times New Roman" w:hint="eastAsia"/>
          <w:sz w:val="24"/>
          <w:szCs w:val="24"/>
        </w:rPr>
        <w:t>及操作人员进行培训，直至采购人的操作人员能独立操作，所需的费用已包括在合同总价中，采购人无须另行支付。</w:t>
      </w:r>
      <w:bookmarkEnd w:id="2"/>
    </w:p>
    <w:p w:rsidR="00C11253" w:rsidRPr="00C11253" w:rsidRDefault="00C11253" w:rsidP="00C11253">
      <w:pPr>
        <w:keepNext/>
        <w:keepLines/>
        <w:spacing w:before="260" w:after="260" w:line="400" w:lineRule="exact"/>
        <w:ind w:firstLineChars="98" w:firstLine="236"/>
        <w:outlineLvl w:val="1"/>
        <w:rPr>
          <w:rFonts w:ascii="仿宋" w:eastAsia="仿宋" w:hAnsi="仿宋" w:cs="Times New Roman"/>
          <w:b/>
          <w:bCs/>
          <w:sz w:val="24"/>
          <w:szCs w:val="24"/>
        </w:rPr>
      </w:pPr>
      <w:r w:rsidRPr="00C11253">
        <w:rPr>
          <w:rFonts w:ascii="仿宋" w:eastAsia="仿宋" w:hAnsi="仿宋" w:cs="Times New Roman" w:hint="eastAsia"/>
          <w:b/>
          <w:bCs/>
          <w:sz w:val="24"/>
          <w:szCs w:val="24"/>
        </w:rPr>
        <w:t>三.技术参数要求</w:t>
      </w:r>
      <w:bookmarkEnd w:id="1"/>
    </w:p>
    <w:p w:rsidR="00C11253" w:rsidRPr="00C11253" w:rsidRDefault="00C11253" w:rsidP="00C11253">
      <w:pPr>
        <w:spacing w:after="160" w:line="259" w:lineRule="auto"/>
        <w:ind w:firstLineChars="200" w:firstLine="482"/>
        <w:outlineLvl w:val="2"/>
        <w:rPr>
          <w:rFonts w:ascii="仿宋" w:eastAsia="仿宋" w:hAnsi="仿宋" w:cs="仿宋"/>
          <w:b/>
          <w:bCs/>
          <w:sz w:val="24"/>
          <w:szCs w:val="24"/>
        </w:rPr>
      </w:pPr>
      <w:r w:rsidRPr="00C11253">
        <w:rPr>
          <w:rFonts w:ascii="仿宋" w:eastAsia="仿宋" w:hAnsi="仿宋" w:cs="仿宋" w:hint="eastAsia"/>
          <w:b/>
          <w:bCs/>
          <w:sz w:val="24"/>
          <w:szCs w:val="24"/>
        </w:rPr>
        <w:t>1 非吸收性外科缝线</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1.1用途：用于一般软组织以及血管的缝合与结扎。</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★1.2缝线材质：聚丙烯，带缝针，缝针有圆针和角针。</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1.3特质：单股聚丙烯缝线，线体顺滑，不易分叉。</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1.4规格：0、2-0、3-0、4-0、5-0、6-0、7-0。</w:t>
      </w:r>
    </w:p>
    <w:p w:rsidR="00C11253" w:rsidRPr="00C11253" w:rsidRDefault="00C11253" w:rsidP="00C11253">
      <w:pPr>
        <w:spacing w:after="160" w:line="259" w:lineRule="auto"/>
        <w:ind w:firstLineChars="200" w:firstLine="480"/>
        <w:rPr>
          <w:rFonts w:ascii="仿宋" w:eastAsia="仿宋" w:hAnsi="仿宋" w:cs="仿宋"/>
          <w:sz w:val="24"/>
          <w:szCs w:val="24"/>
        </w:rPr>
      </w:pPr>
    </w:p>
    <w:p w:rsidR="00C11253" w:rsidRPr="00C11253" w:rsidRDefault="00C11253" w:rsidP="00C11253">
      <w:pPr>
        <w:spacing w:after="160" w:line="259" w:lineRule="auto"/>
        <w:ind w:firstLineChars="200" w:firstLine="482"/>
        <w:jc w:val="center"/>
        <w:outlineLvl w:val="2"/>
        <w:rPr>
          <w:rFonts w:ascii="仿宋" w:eastAsia="仿宋" w:hAnsi="仿宋" w:cs="仿宋"/>
          <w:b/>
          <w:bCs/>
          <w:sz w:val="24"/>
          <w:szCs w:val="24"/>
        </w:rPr>
      </w:pPr>
      <w:r w:rsidRPr="00C11253">
        <w:rPr>
          <w:rFonts w:ascii="仿宋" w:eastAsia="仿宋" w:hAnsi="仿宋" w:cs="仿宋" w:hint="eastAsia"/>
          <w:b/>
          <w:bCs/>
          <w:sz w:val="24"/>
          <w:szCs w:val="24"/>
        </w:rPr>
        <w:t xml:space="preserve">2 </w:t>
      </w:r>
      <w:proofErr w:type="gramStart"/>
      <w:r w:rsidRPr="00C11253">
        <w:rPr>
          <w:rFonts w:ascii="仿宋" w:eastAsia="仿宋" w:hAnsi="仿宋" w:cs="仿宋" w:hint="eastAsia"/>
          <w:b/>
          <w:bCs/>
          <w:sz w:val="24"/>
          <w:szCs w:val="24"/>
        </w:rPr>
        <w:t>带针钛</w:t>
      </w:r>
      <w:proofErr w:type="gramEnd"/>
      <w:r w:rsidRPr="00C11253">
        <w:rPr>
          <w:rFonts w:ascii="仿宋" w:eastAsia="仿宋" w:hAnsi="仿宋" w:cs="仿宋" w:hint="eastAsia"/>
          <w:b/>
          <w:bCs/>
          <w:sz w:val="24"/>
          <w:szCs w:val="24"/>
        </w:rPr>
        <w:t>镍记忆合金缝合线</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2.1用途：用于妇产科、普外科、烧伤整形外科等手术时对人体软组织的缝合。</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★2.2材质：带针，缝针采用40Cr13材料，缝线采用钛镍记忆合金材料。</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★2.3强度：超过同规格钢丝的抗拉强度，不会断裂。</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★2.4非吸收性，可长期植入体内，无毛细现象，无磁性金属材料，可以在X光和磁共振显影，不影响磁共振的影像效果，缝合过程不需打结，皮层下S型连续缝合。</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2.5规格：2-0、3-0、4-0、6-0。</w:t>
      </w:r>
    </w:p>
    <w:p w:rsidR="00C11253" w:rsidRPr="00C11253" w:rsidRDefault="00C11253" w:rsidP="00C11253">
      <w:pPr>
        <w:spacing w:after="160" w:line="259" w:lineRule="auto"/>
        <w:ind w:firstLineChars="200" w:firstLine="480"/>
        <w:rPr>
          <w:rFonts w:ascii="仿宋" w:eastAsia="仿宋" w:hAnsi="仿宋" w:cs="仿宋"/>
          <w:sz w:val="24"/>
          <w:szCs w:val="24"/>
        </w:rPr>
      </w:pPr>
    </w:p>
    <w:p w:rsidR="00C11253" w:rsidRPr="00C11253" w:rsidRDefault="00C11253" w:rsidP="00C11253">
      <w:pPr>
        <w:spacing w:after="160" w:line="259" w:lineRule="auto"/>
        <w:ind w:firstLineChars="200" w:firstLine="482"/>
        <w:jc w:val="center"/>
        <w:outlineLvl w:val="2"/>
        <w:rPr>
          <w:rFonts w:ascii="仿宋" w:eastAsia="仿宋" w:hAnsi="仿宋" w:cs="仿宋"/>
          <w:b/>
          <w:bCs/>
          <w:sz w:val="24"/>
          <w:szCs w:val="24"/>
        </w:rPr>
      </w:pPr>
      <w:r w:rsidRPr="00C11253">
        <w:rPr>
          <w:rFonts w:ascii="仿宋" w:eastAsia="仿宋" w:hAnsi="仿宋" w:cs="仿宋" w:hint="eastAsia"/>
          <w:b/>
          <w:bCs/>
          <w:sz w:val="24"/>
          <w:szCs w:val="24"/>
        </w:rPr>
        <w:t>3 非吸收性单股聚丙烯缝线</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3.1用途：用于一般软组织以及血管的缝合与结扎。</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★3.2缝线材质：聚丙烯、聚乙烯和0.75%聚乙二醇二硬脂酸盐，单股缝线，带缝针，缝针有圆针和角针。</w:t>
      </w:r>
    </w:p>
    <w:p w:rsidR="00C11253" w:rsidRPr="00C11253" w:rsidRDefault="00C11253" w:rsidP="00C11253">
      <w:pPr>
        <w:spacing w:after="160" w:line="259" w:lineRule="auto"/>
        <w:ind w:firstLineChars="200" w:firstLine="480"/>
        <w:rPr>
          <w:rFonts w:ascii="仿宋" w:eastAsia="仿宋" w:hAnsi="仿宋" w:cs="仿宋"/>
          <w:sz w:val="24"/>
          <w:szCs w:val="24"/>
        </w:rPr>
      </w:pPr>
      <w:r w:rsidRPr="00C11253">
        <w:rPr>
          <w:rFonts w:ascii="仿宋" w:eastAsia="仿宋" w:hAnsi="仿宋" w:cs="仿宋" w:hint="eastAsia"/>
          <w:sz w:val="24"/>
          <w:szCs w:val="24"/>
        </w:rPr>
        <w:t>★3.3单股聚丙烯缝线，具有PEG添加剂。</w:t>
      </w:r>
    </w:p>
    <w:p w:rsidR="00C11253" w:rsidRPr="00C11253" w:rsidRDefault="00C11253" w:rsidP="00C11253">
      <w:pPr>
        <w:spacing w:after="160" w:line="259" w:lineRule="auto"/>
        <w:ind w:firstLineChars="200" w:firstLine="480"/>
        <w:rPr>
          <w:rFonts w:ascii="仿宋" w:eastAsia="仿宋" w:hAnsi="仿宋" w:cs="Times New Roman"/>
          <w:b/>
          <w:bCs/>
          <w:sz w:val="24"/>
          <w:szCs w:val="24"/>
        </w:rPr>
      </w:pPr>
      <w:r w:rsidRPr="00C11253">
        <w:rPr>
          <w:rFonts w:ascii="仿宋" w:eastAsia="仿宋" w:hAnsi="仿宋" w:cs="仿宋" w:hint="eastAsia"/>
          <w:sz w:val="24"/>
          <w:szCs w:val="24"/>
        </w:rPr>
        <w:t>3.4规格：2-0、3-0、4-0、5-0、6-0、7-0。</w:t>
      </w:r>
    </w:p>
    <w:p w:rsidR="002E1674" w:rsidRDefault="002E1674">
      <w:bookmarkStart w:id="3" w:name="_GoBack"/>
      <w:bookmarkEnd w:id="3"/>
    </w:p>
    <w:sectPr w:rsidR="002E16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3"/>
    <w:rsid w:val="002E1674"/>
    <w:rsid w:val="00C1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B413C-D14D-4513-A29C-7A7F0197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1125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1973</Characters>
  <Application>Microsoft Office Word</Application>
  <DocSecurity>0</DocSecurity>
  <Lines>16</Lines>
  <Paragraphs>4</Paragraphs>
  <ScaleCrop>false</ScaleCrop>
  <Company>微软中国</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2021-10-15T05:20:00Z</dcterms:created>
  <dcterms:modified xsi:type="dcterms:W3CDTF">2021-10-15T05:20:00Z</dcterms:modified>
</cp:coreProperties>
</file>