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1D" w:rsidRPr="00D73E1D" w:rsidRDefault="00D73E1D" w:rsidP="00D73E1D">
      <w:pPr>
        <w:spacing w:before="240" w:after="60"/>
        <w:jc w:val="center"/>
        <w:outlineLvl w:val="0"/>
        <w:rPr>
          <w:rFonts w:ascii="仿宋" w:eastAsia="仿宋" w:hAnsi="仿宋" w:cs="Times New Roman"/>
          <w:b/>
          <w:bCs/>
          <w:color w:val="000000"/>
          <w:sz w:val="32"/>
          <w:szCs w:val="32"/>
        </w:rPr>
      </w:pPr>
      <w:r w:rsidRPr="00D73E1D">
        <w:rPr>
          <w:rFonts w:ascii="仿宋" w:eastAsia="仿宋" w:hAnsi="仿宋" w:cs="Times New Roman" w:hint="eastAsia"/>
          <w:b/>
          <w:bCs/>
          <w:color w:val="000000"/>
          <w:sz w:val="32"/>
          <w:szCs w:val="32"/>
        </w:rPr>
        <w:t>采购项目技术、服务、政府采购合同内容条款及其他商务要求</w:t>
      </w:r>
    </w:p>
    <w:p w:rsidR="00D73E1D" w:rsidRPr="00D73E1D" w:rsidRDefault="00D73E1D" w:rsidP="00D73E1D">
      <w:pPr>
        <w:spacing w:line="400" w:lineRule="exact"/>
        <w:ind w:firstLineChars="49" w:firstLine="118"/>
        <w:jc w:val="left"/>
        <w:rPr>
          <w:rFonts w:ascii="仿宋" w:eastAsia="仿宋" w:hAnsi="仿宋" w:cs="Times New Roman"/>
          <w:color w:val="000000"/>
          <w:sz w:val="24"/>
          <w:szCs w:val="24"/>
        </w:rPr>
      </w:pPr>
    </w:p>
    <w:p w:rsidR="00D73E1D" w:rsidRPr="00D73E1D" w:rsidRDefault="00D73E1D" w:rsidP="00D73E1D">
      <w:pPr>
        <w:spacing w:line="400" w:lineRule="exact"/>
        <w:ind w:firstLineChars="49" w:firstLine="118"/>
        <w:jc w:val="left"/>
        <w:rPr>
          <w:rFonts w:ascii="仿宋" w:eastAsia="仿宋" w:hAnsi="仿宋" w:cs="Times New Roman"/>
          <w:color w:val="000000"/>
          <w:sz w:val="24"/>
          <w:szCs w:val="24"/>
        </w:rPr>
      </w:pPr>
      <w:bookmarkStart w:id="0" w:name="PO_默认文件内容_27"/>
      <w:r w:rsidRPr="00D73E1D">
        <w:rPr>
          <w:rFonts w:ascii="仿宋" w:eastAsia="仿宋" w:hAnsi="仿宋" w:cs="Times New Roman" w:hint="eastAsia"/>
          <w:color w:val="000000"/>
          <w:sz w:val="24"/>
          <w:szCs w:val="24"/>
        </w:rPr>
        <w:t>前提：</w:t>
      </w:r>
      <w:r w:rsidRPr="00D73E1D">
        <w:rPr>
          <w:rFonts w:ascii="仿宋" w:eastAsia="仿宋" w:hAnsi="仿宋" w:cs="Times New Roman"/>
          <w:color w:val="000000"/>
          <w:sz w:val="24"/>
          <w:szCs w:val="24"/>
        </w:rPr>
        <w:t>本章采购需求中标注“*”号的条款为本次磋商采购项目的实质性要求，供应商应全部满足。</w:t>
      </w:r>
    </w:p>
    <w:bookmarkEnd w:id="0"/>
    <w:p w:rsidR="00D73E1D" w:rsidRPr="00D73E1D" w:rsidRDefault="00D73E1D" w:rsidP="00D73E1D">
      <w:pPr>
        <w:spacing w:line="400" w:lineRule="exact"/>
        <w:ind w:firstLineChars="49" w:firstLine="118"/>
        <w:jc w:val="left"/>
        <w:outlineLvl w:val="1"/>
        <w:rPr>
          <w:rFonts w:ascii="仿宋" w:eastAsia="仿宋" w:hAnsi="仿宋" w:cs="Times New Roman"/>
          <w:b/>
          <w:bCs/>
          <w:color w:val="000000"/>
          <w:sz w:val="24"/>
          <w:szCs w:val="24"/>
        </w:rPr>
      </w:pPr>
      <w:r w:rsidRPr="00D73E1D">
        <w:rPr>
          <w:rFonts w:ascii="仿宋" w:eastAsia="仿宋" w:hAnsi="仿宋" w:cs="Times New Roman" w:hint="eastAsia"/>
          <w:b/>
          <w:bCs/>
          <w:color w:val="000000"/>
          <w:sz w:val="24"/>
          <w:szCs w:val="24"/>
        </w:rPr>
        <w:t>一、项目概述</w:t>
      </w:r>
    </w:p>
    <w:p w:rsidR="00D73E1D" w:rsidRPr="00D73E1D" w:rsidRDefault="00D73E1D" w:rsidP="00D73E1D">
      <w:pPr>
        <w:ind w:firstLine="480"/>
        <w:rPr>
          <w:rFonts w:ascii="仿宋" w:eastAsia="仿宋" w:hAnsi="仿宋" w:cs="Times New Roman"/>
          <w:bCs/>
          <w:color w:val="000000"/>
          <w:sz w:val="24"/>
          <w:szCs w:val="24"/>
        </w:rPr>
      </w:pPr>
      <w:r w:rsidRPr="00D73E1D">
        <w:rPr>
          <w:rFonts w:ascii="仿宋" w:eastAsia="仿宋" w:hAnsi="仿宋" w:cs="Times New Roman" w:hint="eastAsia"/>
          <w:bCs/>
          <w:color w:val="000000"/>
          <w:sz w:val="24"/>
          <w:szCs w:val="24"/>
        </w:rPr>
        <w:t>1、为贯彻落实《中华人民共和国环境保护法》、《中华人民共和国大气污染防治法》、《四川省〈中华人民共和国大气污染防治法〉实施办法》、《四川省打赢蓝天保卫战实施方案》，切实推进双流区大气污染防治工作。成都市双流区综合行政执法局拟采用竞争性磋商方式选择一家</w:t>
      </w:r>
      <w:r w:rsidRPr="00D73E1D">
        <w:rPr>
          <w:rFonts w:ascii="仿宋" w:eastAsia="仿宋" w:hAnsi="仿宋" w:cs="Times New Roman" w:hint="eastAsia"/>
          <w:color w:val="000000"/>
          <w:sz w:val="24"/>
          <w:szCs w:val="24"/>
        </w:rPr>
        <w:t>油烟排放检测机构，加强对辖区内</w:t>
      </w:r>
      <w:r w:rsidRPr="00D73E1D">
        <w:rPr>
          <w:rFonts w:ascii="仿宋" w:eastAsia="仿宋" w:hAnsi="仿宋" w:cs="Times New Roman" w:hint="eastAsia"/>
          <w:color w:val="000000"/>
          <w:sz w:val="24"/>
          <w:szCs w:val="32"/>
        </w:rPr>
        <w:t>油烟(油烟重点排放单位约1000家)排放情况的监督性检测</w:t>
      </w:r>
      <w:r w:rsidRPr="00D73E1D">
        <w:rPr>
          <w:rFonts w:ascii="仿宋" w:eastAsia="仿宋" w:hAnsi="仿宋" w:cs="Times New Roman" w:hint="eastAsia"/>
          <w:color w:val="000000"/>
          <w:sz w:val="24"/>
          <w:szCs w:val="24"/>
        </w:rPr>
        <w:t>。</w:t>
      </w:r>
    </w:p>
    <w:p w:rsidR="00D73E1D" w:rsidRPr="00D73E1D" w:rsidRDefault="00D73E1D" w:rsidP="00D73E1D">
      <w:pPr>
        <w:ind w:firstLine="480"/>
        <w:rPr>
          <w:rFonts w:ascii="仿宋" w:eastAsia="仿宋" w:hAnsi="仿宋" w:cs="Times New Roman"/>
          <w:bCs/>
          <w:color w:val="000000"/>
          <w:sz w:val="24"/>
          <w:szCs w:val="24"/>
        </w:rPr>
      </w:pPr>
      <w:r w:rsidRPr="00D73E1D">
        <w:rPr>
          <w:rFonts w:ascii="仿宋" w:eastAsia="仿宋" w:hAnsi="仿宋" w:cs="Times New Roman" w:hint="eastAsia"/>
          <w:color w:val="000000"/>
          <w:sz w:val="24"/>
          <w:szCs w:val="24"/>
        </w:rPr>
        <w:t>2、标的名称：餐饮油烟排放检测服务；所属行业：其他未列明行业。</w:t>
      </w:r>
    </w:p>
    <w:p w:rsidR="00D73E1D" w:rsidRPr="00D73E1D" w:rsidRDefault="00D73E1D" w:rsidP="00D73E1D">
      <w:pPr>
        <w:spacing w:line="400" w:lineRule="exact"/>
        <w:ind w:firstLineChars="49" w:firstLine="118"/>
        <w:jc w:val="left"/>
        <w:outlineLvl w:val="1"/>
        <w:rPr>
          <w:rFonts w:ascii="仿宋" w:eastAsia="仿宋" w:hAnsi="仿宋" w:cs="Times New Roman"/>
          <w:bCs/>
          <w:color w:val="000000"/>
          <w:sz w:val="24"/>
          <w:szCs w:val="32"/>
        </w:rPr>
      </w:pPr>
      <w:r w:rsidRPr="00D73E1D">
        <w:rPr>
          <w:rFonts w:ascii="仿宋" w:eastAsia="仿宋" w:hAnsi="仿宋" w:cs="Times New Roman" w:hint="eastAsia"/>
          <w:b/>
          <w:bCs/>
          <w:color w:val="000000"/>
          <w:sz w:val="24"/>
          <w:szCs w:val="32"/>
        </w:rPr>
        <w:t>*</w:t>
      </w:r>
      <w:r w:rsidRPr="00D73E1D">
        <w:rPr>
          <w:rFonts w:ascii="仿宋" w:eastAsia="仿宋" w:hAnsi="仿宋" w:cs="Times New Roman"/>
          <w:b/>
          <w:bCs/>
          <w:color w:val="000000"/>
          <w:sz w:val="24"/>
          <w:szCs w:val="32"/>
        </w:rPr>
        <w:t>二</w:t>
      </w:r>
      <w:r w:rsidRPr="00D73E1D">
        <w:rPr>
          <w:rFonts w:ascii="仿宋" w:eastAsia="仿宋" w:hAnsi="仿宋" w:cs="Times New Roman" w:hint="eastAsia"/>
          <w:b/>
          <w:bCs/>
          <w:color w:val="000000"/>
          <w:sz w:val="24"/>
          <w:szCs w:val="32"/>
        </w:rPr>
        <w:t>、</w:t>
      </w:r>
      <w:r w:rsidRPr="00D73E1D">
        <w:rPr>
          <w:rFonts w:ascii="仿宋" w:eastAsia="仿宋" w:hAnsi="仿宋" w:cs="Times New Roman"/>
          <w:b/>
          <w:bCs/>
          <w:color w:val="000000"/>
          <w:sz w:val="24"/>
          <w:szCs w:val="32"/>
        </w:rPr>
        <w:t>商务要求</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一）付款方式：合同签订后15个工作日内预付合同价款的30%。采购人收到完整有效的票据后30日内通过银行转账付款，前期货款逐月在预付款中抵扣。采购人逾期支付货款的，除应及时付足货款外，应向供应商偿付欠款总额万分之1/天的违约金；逾期付款超过 180 天的，供应商有权终止合同。</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（二）服务时间：从合同签订之日起一年；</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（三）项目成果：书面提交正式检测报告；</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（四）验收要求：</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1、本项目严格按照财库[2016]205号文件相关要求和采购合同进行验收。</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2、供应商提供每次检测检验纸质报告书（附图片），并可通过网络查询；</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3、汇总编制每次检验报告书，有合理建议；</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4、检测工作中允许采购方进行现场监督检查；</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5、在响应文件中提供检测结果符合国家质量要求的承诺书；</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（五）违约责任（需提供承诺函）</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color w:val="000000"/>
          <w:sz w:val="24"/>
          <w:szCs w:val="24"/>
        </w:rPr>
        <w:t>1</w:t>
      </w:r>
      <w:r w:rsidRPr="00D73E1D">
        <w:rPr>
          <w:rFonts w:ascii="仿宋" w:eastAsia="仿宋" w:hAnsi="仿宋" w:cs="Times New Roman" w:hint="eastAsia"/>
          <w:color w:val="000000"/>
          <w:sz w:val="24"/>
          <w:szCs w:val="24"/>
        </w:rPr>
        <w:t>、采购人和成交供应商双方必须遵守合同并执行合同中的各项规定，保证本合同的正常履行。</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color w:val="000000"/>
          <w:sz w:val="24"/>
          <w:szCs w:val="24"/>
        </w:rPr>
        <w:t>2</w:t>
      </w:r>
      <w:r w:rsidRPr="00D73E1D">
        <w:rPr>
          <w:rFonts w:ascii="仿宋" w:eastAsia="仿宋" w:hAnsi="仿宋" w:cs="Times New Roman" w:hint="eastAsia"/>
          <w:color w:val="000000"/>
          <w:sz w:val="24"/>
          <w:szCs w:val="24"/>
        </w:rPr>
        <w:t>、如因成交供应商工作人员在履行职务过程中的疏忽、失职、过错等故意或者过失原因给采购人造成损失或侵害，包括但不限于采购人本身的财产损失、采购人维权而支付的律师服务费等费用以及由此而导致的采购人对任何第三方的法律责任等，成交供应商均应承担全部的赔偿责任。</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（六）其他：供应商在本项目实施过程中如出现安全事故，则需承担一切责任。</w:t>
      </w:r>
    </w:p>
    <w:p w:rsidR="00D73E1D" w:rsidRPr="00D73E1D" w:rsidRDefault="00D73E1D" w:rsidP="00D73E1D">
      <w:pPr>
        <w:spacing w:line="400" w:lineRule="exact"/>
        <w:ind w:firstLineChars="49" w:firstLine="118"/>
        <w:jc w:val="left"/>
        <w:outlineLvl w:val="1"/>
        <w:rPr>
          <w:rFonts w:ascii="仿宋" w:eastAsia="仿宋" w:hAnsi="仿宋" w:cs="Times New Roman"/>
          <w:bCs/>
          <w:color w:val="000000"/>
          <w:sz w:val="24"/>
          <w:szCs w:val="32"/>
        </w:rPr>
      </w:pPr>
      <w:r w:rsidRPr="00D73E1D">
        <w:rPr>
          <w:rFonts w:ascii="仿宋" w:eastAsia="仿宋" w:hAnsi="仿宋" w:cs="Times New Roman"/>
          <w:b/>
          <w:bCs/>
          <w:color w:val="000000"/>
          <w:sz w:val="24"/>
          <w:szCs w:val="32"/>
        </w:rPr>
        <w:t>三</w:t>
      </w:r>
      <w:r w:rsidRPr="00D73E1D">
        <w:rPr>
          <w:rFonts w:ascii="仿宋" w:eastAsia="仿宋" w:hAnsi="仿宋" w:cs="Times New Roman" w:hint="eastAsia"/>
          <w:b/>
          <w:bCs/>
          <w:color w:val="000000"/>
          <w:sz w:val="24"/>
          <w:szCs w:val="32"/>
        </w:rPr>
        <w:t>、</w:t>
      </w:r>
      <w:r w:rsidRPr="00D73E1D">
        <w:rPr>
          <w:rFonts w:ascii="仿宋" w:eastAsia="仿宋" w:hAnsi="仿宋" w:cs="Times New Roman"/>
          <w:b/>
          <w:bCs/>
          <w:color w:val="000000"/>
          <w:sz w:val="24"/>
          <w:szCs w:val="32"/>
        </w:rPr>
        <w:t>技术</w:t>
      </w:r>
      <w:r w:rsidRPr="00D73E1D">
        <w:rPr>
          <w:rFonts w:ascii="仿宋" w:eastAsia="仿宋" w:hAnsi="仿宋" w:cs="Times New Roman" w:hint="eastAsia"/>
          <w:b/>
          <w:bCs/>
          <w:color w:val="000000"/>
          <w:sz w:val="24"/>
          <w:szCs w:val="32"/>
        </w:rPr>
        <w:t>、</w:t>
      </w:r>
      <w:r w:rsidRPr="00D73E1D">
        <w:rPr>
          <w:rFonts w:ascii="仿宋" w:eastAsia="仿宋" w:hAnsi="仿宋" w:cs="Times New Roman"/>
          <w:b/>
          <w:bCs/>
          <w:color w:val="000000"/>
          <w:sz w:val="24"/>
          <w:szCs w:val="32"/>
        </w:rPr>
        <w:t>服务要求</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*（一）服务内容：对双流区辖区内餐饮油烟排放单位排放油烟进行抽查检测。</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（二）服务要求</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1、总体要求</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严格按照《饮食业油烟排放标准（GB18483-2001）》的标准，开展检测工作，</w:t>
      </w:r>
      <w:r w:rsidRPr="00D73E1D">
        <w:rPr>
          <w:rFonts w:ascii="仿宋" w:eastAsia="仿宋" w:hAnsi="仿宋" w:cs="Times New Roman" w:hint="eastAsia"/>
          <w:color w:val="000000"/>
          <w:sz w:val="24"/>
          <w:szCs w:val="24"/>
        </w:rPr>
        <w:lastRenderedPageBreak/>
        <w:t>并按采购人要求提供检测报告。</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2、检测范围</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依据提供的油烟排放重点单位名单开展抽查检测工作。</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3、检测项目</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油烟。</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4、检测频次</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服务期内对提供的油烟排放重点单位开展至少1次检测，特殊情况下按照采购人要求开展检测工作。</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5、检测布点与采样</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5.1 样品采集应在油烟排放单位作业高峰期进行；</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5.2 采样时间应在油烟排放单位正常作业期间，采样次数为连续采样5次，每次 10min。</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6、检测方法</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采样及分析测试方法应优先采用国家标准规定的方法。</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7、编制报告</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供应商对监督性检测结果进行分析，编制监督性检测报告。检测报告主要包括：工作概况、任务完成情况、质量控制、检测数据、检测结果及分析、工作建议等内容以及原始检测报告、采样点位图等附件。检测报告根据合同约定时间报送。（提供承诺函）</w:t>
      </w:r>
    </w:p>
    <w:p w:rsidR="00D73E1D" w:rsidRPr="00D73E1D" w:rsidRDefault="00D73E1D" w:rsidP="00D73E1D">
      <w:pPr>
        <w:ind w:firstLine="482"/>
        <w:outlineLvl w:val="2"/>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★（三）人员配置要求</w:t>
      </w:r>
    </w:p>
    <w:tbl>
      <w:tblPr>
        <w:tblStyle w:val="a3"/>
        <w:tblW w:w="8297" w:type="dxa"/>
        <w:jc w:val="center"/>
        <w:tblLayout w:type="fixed"/>
        <w:tblLook w:val="04A0" w:firstRow="1" w:lastRow="0" w:firstColumn="1" w:lastColumn="0" w:noHBand="0" w:noVBand="1"/>
      </w:tblPr>
      <w:tblGrid>
        <w:gridCol w:w="684"/>
        <w:gridCol w:w="1011"/>
        <w:gridCol w:w="710"/>
        <w:gridCol w:w="3403"/>
        <w:gridCol w:w="2489"/>
      </w:tblGrid>
      <w:tr w:rsidR="00D73E1D" w:rsidRPr="00D73E1D" w:rsidTr="00710721">
        <w:trPr>
          <w:trHeight w:val="322"/>
          <w:jc w:val="center"/>
        </w:trPr>
        <w:tc>
          <w:tcPr>
            <w:tcW w:w="684"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序号</w:t>
            </w:r>
          </w:p>
        </w:tc>
        <w:tc>
          <w:tcPr>
            <w:tcW w:w="1011"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人员</w:t>
            </w:r>
          </w:p>
        </w:tc>
        <w:tc>
          <w:tcPr>
            <w:tcW w:w="710"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数量</w:t>
            </w:r>
          </w:p>
        </w:tc>
        <w:tc>
          <w:tcPr>
            <w:tcW w:w="3403"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职责</w:t>
            </w:r>
          </w:p>
        </w:tc>
        <w:tc>
          <w:tcPr>
            <w:tcW w:w="2489"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备注</w:t>
            </w:r>
          </w:p>
        </w:tc>
      </w:tr>
      <w:tr w:rsidR="00D73E1D" w:rsidRPr="00D73E1D" w:rsidTr="00710721">
        <w:trPr>
          <w:trHeight w:val="64"/>
          <w:jc w:val="center"/>
        </w:trPr>
        <w:tc>
          <w:tcPr>
            <w:tcW w:w="684"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1</w:t>
            </w:r>
          </w:p>
        </w:tc>
        <w:tc>
          <w:tcPr>
            <w:tcW w:w="1011"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项目总负责人</w:t>
            </w:r>
          </w:p>
        </w:tc>
        <w:tc>
          <w:tcPr>
            <w:tcW w:w="710"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1</w:t>
            </w:r>
          </w:p>
        </w:tc>
        <w:tc>
          <w:tcPr>
            <w:tcW w:w="3403" w:type="dxa"/>
            <w:vAlign w:val="center"/>
          </w:tcPr>
          <w:p w:rsidR="00D73E1D" w:rsidRPr="00D73E1D" w:rsidRDefault="00D73E1D" w:rsidP="00D73E1D">
            <w:pPr>
              <w:widowControl/>
              <w:jc w:val="left"/>
              <w:rPr>
                <w:rFonts w:ascii="仿宋" w:eastAsia="仿宋" w:hAnsi="仿宋"/>
                <w:color w:val="000000"/>
                <w:sz w:val="24"/>
                <w:szCs w:val="24"/>
              </w:rPr>
            </w:pPr>
            <w:r w:rsidRPr="00D73E1D">
              <w:rPr>
                <w:rFonts w:ascii="仿宋" w:eastAsia="仿宋" w:hAnsi="仿宋" w:cs="宋体" w:hint="eastAsia"/>
                <w:color w:val="000000"/>
                <w:sz w:val="24"/>
                <w:szCs w:val="24"/>
              </w:rPr>
              <w:t>总体负责把控项目需求调研、文档整理、质量进度、交付及验收等各个环节，以及与采购人等相关单位的沟通协调工作。</w:t>
            </w:r>
          </w:p>
        </w:tc>
        <w:tc>
          <w:tcPr>
            <w:tcW w:w="2489" w:type="dxa"/>
            <w:vMerge w:val="restart"/>
            <w:vAlign w:val="center"/>
          </w:tcPr>
          <w:p w:rsidR="00D73E1D" w:rsidRPr="00D73E1D" w:rsidRDefault="00D73E1D" w:rsidP="00D73E1D">
            <w:pPr>
              <w:rPr>
                <w:rFonts w:ascii="仿宋" w:eastAsia="仿宋" w:hAnsi="仿宋" w:cs="宋体"/>
                <w:color w:val="000000"/>
                <w:sz w:val="24"/>
                <w:szCs w:val="24"/>
              </w:rPr>
            </w:pPr>
            <w:r w:rsidRPr="00D73E1D">
              <w:rPr>
                <w:rFonts w:ascii="仿宋" w:eastAsia="仿宋" w:hAnsi="仿宋" w:cs="宋体" w:hint="eastAsia"/>
                <w:color w:val="000000"/>
                <w:sz w:val="24"/>
                <w:szCs w:val="24"/>
              </w:rPr>
              <w:t>1、以上人员不得重复。</w:t>
            </w:r>
          </w:p>
          <w:p w:rsidR="00D73E1D" w:rsidRPr="00D73E1D" w:rsidRDefault="00D73E1D" w:rsidP="00D73E1D">
            <w:pPr>
              <w:widowControl/>
              <w:jc w:val="left"/>
              <w:rPr>
                <w:rFonts w:ascii="仿宋" w:eastAsia="仿宋" w:hAnsi="仿宋"/>
                <w:color w:val="000000"/>
                <w:sz w:val="24"/>
                <w:szCs w:val="24"/>
              </w:rPr>
            </w:pPr>
            <w:r w:rsidRPr="00D73E1D">
              <w:rPr>
                <w:rFonts w:ascii="仿宋" w:eastAsia="仿宋" w:hAnsi="仿宋" w:cs="宋体" w:hint="eastAsia"/>
                <w:color w:val="000000"/>
                <w:sz w:val="24"/>
                <w:szCs w:val="24"/>
              </w:rPr>
              <w:t>2、需提供实施人员名单、身份证复印件、在供应商单位工作证明材料复印件（供应商与实施人员签订的劳务合同或其他相关证明材料）并加盖供应商公章。</w:t>
            </w:r>
          </w:p>
        </w:tc>
      </w:tr>
      <w:tr w:rsidR="00D73E1D" w:rsidRPr="00D73E1D" w:rsidTr="00710721">
        <w:trPr>
          <w:trHeight w:val="322"/>
          <w:jc w:val="center"/>
        </w:trPr>
        <w:tc>
          <w:tcPr>
            <w:tcW w:w="684"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2</w:t>
            </w:r>
          </w:p>
        </w:tc>
        <w:tc>
          <w:tcPr>
            <w:tcW w:w="1011"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技术负责人</w:t>
            </w:r>
          </w:p>
        </w:tc>
        <w:tc>
          <w:tcPr>
            <w:tcW w:w="710"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1</w:t>
            </w:r>
          </w:p>
        </w:tc>
        <w:tc>
          <w:tcPr>
            <w:tcW w:w="3403" w:type="dxa"/>
            <w:vAlign w:val="center"/>
          </w:tcPr>
          <w:p w:rsidR="00D73E1D" w:rsidRPr="00D73E1D" w:rsidRDefault="00D73E1D" w:rsidP="00D73E1D">
            <w:pPr>
              <w:widowControl/>
              <w:jc w:val="left"/>
              <w:rPr>
                <w:rFonts w:ascii="仿宋" w:eastAsia="仿宋" w:hAnsi="仿宋"/>
                <w:color w:val="000000"/>
                <w:sz w:val="24"/>
                <w:szCs w:val="24"/>
              </w:rPr>
            </w:pPr>
            <w:r w:rsidRPr="00D73E1D">
              <w:rPr>
                <w:rFonts w:ascii="仿宋" w:eastAsia="仿宋" w:hAnsi="仿宋" w:cs="宋体" w:hint="eastAsia"/>
                <w:color w:val="000000"/>
                <w:sz w:val="24"/>
                <w:szCs w:val="24"/>
              </w:rPr>
              <w:t>对项目技术方面进行整体把控和指导，负责项目的技术难点和风险点。</w:t>
            </w:r>
          </w:p>
        </w:tc>
        <w:tc>
          <w:tcPr>
            <w:tcW w:w="2489" w:type="dxa"/>
            <w:vMerge/>
            <w:vAlign w:val="center"/>
          </w:tcPr>
          <w:p w:rsidR="00D73E1D" w:rsidRPr="00D73E1D" w:rsidRDefault="00D73E1D" w:rsidP="00D73E1D">
            <w:pPr>
              <w:widowControl/>
              <w:jc w:val="center"/>
              <w:rPr>
                <w:rFonts w:ascii="仿宋" w:eastAsia="仿宋" w:hAnsi="仿宋"/>
                <w:color w:val="000000"/>
                <w:sz w:val="24"/>
                <w:szCs w:val="24"/>
              </w:rPr>
            </w:pPr>
          </w:p>
        </w:tc>
      </w:tr>
      <w:tr w:rsidR="00D73E1D" w:rsidRPr="00D73E1D" w:rsidTr="00710721">
        <w:trPr>
          <w:trHeight w:val="322"/>
          <w:jc w:val="center"/>
        </w:trPr>
        <w:tc>
          <w:tcPr>
            <w:tcW w:w="684"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3</w:t>
            </w:r>
          </w:p>
        </w:tc>
        <w:tc>
          <w:tcPr>
            <w:tcW w:w="1011"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其他</w:t>
            </w:r>
            <w:r w:rsidRPr="00D73E1D">
              <w:rPr>
                <w:rFonts w:ascii="仿宋" w:eastAsia="仿宋" w:hAnsi="仿宋"/>
                <w:color w:val="000000"/>
                <w:sz w:val="24"/>
                <w:szCs w:val="24"/>
              </w:rPr>
              <w:t>服务人员</w:t>
            </w:r>
          </w:p>
        </w:tc>
        <w:tc>
          <w:tcPr>
            <w:tcW w:w="710" w:type="dxa"/>
            <w:vAlign w:val="center"/>
          </w:tcPr>
          <w:p w:rsidR="00D73E1D" w:rsidRPr="00D73E1D" w:rsidRDefault="00D73E1D" w:rsidP="00D73E1D">
            <w:pPr>
              <w:widowControl/>
              <w:jc w:val="center"/>
              <w:rPr>
                <w:rFonts w:ascii="仿宋" w:eastAsia="仿宋" w:hAnsi="仿宋"/>
                <w:color w:val="000000"/>
                <w:sz w:val="24"/>
                <w:szCs w:val="24"/>
              </w:rPr>
            </w:pPr>
            <w:r w:rsidRPr="00D73E1D">
              <w:rPr>
                <w:rFonts w:ascii="仿宋" w:eastAsia="仿宋" w:hAnsi="仿宋" w:hint="eastAsia"/>
                <w:color w:val="000000"/>
                <w:sz w:val="24"/>
                <w:szCs w:val="24"/>
              </w:rPr>
              <w:t>10</w:t>
            </w:r>
          </w:p>
        </w:tc>
        <w:tc>
          <w:tcPr>
            <w:tcW w:w="3403" w:type="dxa"/>
            <w:vAlign w:val="center"/>
          </w:tcPr>
          <w:p w:rsidR="00D73E1D" w:rsidRPr="00D73E1D" w:rsidRDefault="00D73E1D" w:rsidP="00D73E1D">
            <w:pPr>
              <w:widowControl/>
              <w:jc w:val="left"/>
              <w:rPr>
                <w:rFonts w:ascii="仿宋" w:eastAsia="仿宋" w:hAnsi="仿宋"/>
                <w:color w:val="000000"/>
                <w:sz w:val="24"/>
                <w:szCs w:val="24"/>
              </w:rPr>
            </w:pPr>
            <w:r w:rsidRPr="00D73E1D">
              <w:rPr>
                <w:rFonts w:ascii="仿宋" w:eastAsia="仿宋" w:hAnsi="仿宋" w:cs="宋体" w:hint="eastAsia"/>
                <w:color w:val="000000"/>
                <w:sz w:val="24"/>
                <w:szCs w:val="24"/>
              </w:rPr>
              <w:t>在项目实施过程中的采样、检测及分析、报告编制等工作。</w:t>
            </w:r>
          </w:p>
        </w:tc>
        <w:tc>
          <w:tcPr>
            <w:tcW w:w="2489" w:type="dxa"/>
            <w:vMerge/>
            <w:vAlign w:val="center"/>
          </w:tcPr>
          <w:p w:rsidR="00D73E1D" w:rsidRPr="00D73E1D" w:rsidRDefault="00D73E1D" w:rsidP="00D73E1D">
            <w:pPr>
              <w:widowControl/>
              <w:jc w:val="center"/>
              <w:rPr>
                <w:rFonts w:ascii="仿宋" w:eastAsia="仿宋" w:hAnsi="仿宋"/>
                <w:color w:val="000000"/>
                <w:sz w:val="24"/>
                <w:szCs w:val="24"/>
              </w:rPr>
            </w:pPr>
          </w:p>
        </w:tc>
      </w:tr>
    </w:tbl>
    <w:p w:rsidR="00D73E1D" w:rsidRPr="00D73E1D" w:rsidRDefault="00D73E1D" w:rsidP="00D73E1D">
      <w:pPr>
        <w:jc w:val="left"/>
        <w:rPr>
          <w:rFonts w:ascii="仿宋" w:eastAsia="仿宋" w:hAnsi="仿宋" w:cs="宋体"/>
          <w:color w:val="000000"/>
          <w:sz w:val="24"/>
          <w:szCs w:val="24"/>
        </w:rPr>
      </w:pPr>
      <w:r w:rsidRPr="00D73E1D">
        <w:rPr>
          <w:rFonts w:ascii="仿宋" w:eastAsia="仿宋" w:hAnsi="仿宋" w:cs="宋体" w:hint="eastAsia"/>
          <w:color w:val="000000"/>
          <w:sz w:val="24"/>
          <w:szCs w:val="24"/>
        </w:rPr>
        <w:t>备注：</w:t>
      </w:r>
      <w:r w:rsidRPr="00D73E1D">
        <w:rPr>
          <w:rFonts w:ascii="仿宋" w:eastAsia="仿宋" w:hAnsi="仿宋" w:cs="宋体"/>
          <w:color w:val="000000"/>
          <w:sz w:val="24"/>
          <w:szCs w:val="24"/>
        </w:rPr>
        <w:t xml:space="preserve"> </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供应商</w:t>
      </w:r>
      <w:r w:rsidRPr="00D73E1D">
        <w:rPr>
          <w:rFonts w:ascii="仿宋" w:eastAsia="仿宋" w:hAnsi="仿宋" w:cs="Times New Roman"/>
          <w:color w:val="000000"/>
          <w:sz w:val="24"/>
          <w:szCs w:val="24"/>
        </w:rPr>
        <w:t>需单独提供承诺函并加盖</w:t>
      </w:r>
      <w:r w:rsidRPr="00D73E1D">
        <w:rPr>
          <w:rFonts w:ascii="仿宋" w:eastAsia="仿宋" w:hAnsi="仿宋" w:cs="Times New Roman" w:hint="eastAsia"/>
          <w:color w:val="000000"/>
          <w:sz w:val="24"/>
          <w:szCs w:val="24"/>
        </w:rPr>
        <w:t>供应商</w:t>
      </w:r>
      <w:r w:rsidRPr="00D73E1D">
        <w:rPr>
          <w:rFonts w:ascii="仿宋" w:eastAsia="仿宋" w:hAnsi="仿宋" w:cs="Times New Roman"/>
          <w:color w:val="000000"/>
          <w:sz w:val="24"/>
          <w:szCs w:val="24"/>
        </w:rPr>
        <w:t>公章，并作为</w:t>
      </w:r>
      <w:r w:rsidRPr="00D73E1D">
        <w:rPr>
          <w:rFonts w:ascii="仿宋" w:eastAsia="仿宋" w:hAnsi="仿宋" w:cs="Times New Roman" w:hint="eastAsia"/>
          <w:color w:val="000000"/>
          <w:sz w:val="24"/>
          <w:szCs w:val="24"/>
        </w:rPr>
        <w:t>采购</w:t>
      </w:r>
      <w:r w:rsidRPr="00D73E1D">
        <w:rPr>
          <w:rFonts w:ascii="仿宋" w:eastAsia="仿宋" w:hAnsi="仿宋" w:cs="Times New Roman"/>
          <w:color w:val="000000"/>
          <w:sz w:val="24"/>
          <w:szCs w:val="24"/>
        </w:rPr>
        <w:t>合同的一部分。承诺函应包括以下内容：</w:t>
      </w:r>
    </w:p>
    <w:p w:rsidR="00D73E1D" w:rsidRPr="00D73E1D" w:rsidRDefault="00D73E1D" w:rsidP="00D73E1D">
      <w:pPr>
        <w:ind w:firstLine="480"/>
        <w:rPr>
          <w:rFonts w:ascii="仿宋" w:eastAsia="仿宋" w:hAnsi="仿宋" w:cs="Times New Roman"/>
          <w:color w:val="000000"/>
          <w:sz w:val="24"/>
          <w:szCs w:val="24"/>
        </w:rPr>
      </w:pPr>
      <w:r w:rsidRPr="00D73E1D">
        <w:rPr>
          <w:rFonts w:ascii="仿宋" w:eastAsia="仿宋" w:hAnsi="仿宋" w:cs="Times New Roman" w:hint="eastAsia"/>
          <w:color w:val="000000"/>
          <w:sz w:val="24"/>
          <w:szCs w:val="24"/>
        </w:rPr>
        <w:t>（1）本项目服务人员实行定岗定人，不得随意更换，如出现不可抗力原因需更换的，必须向采购人提交书面申请，并详细说明更换的原因、替代人员的简历等，经采购人同意后，方可更换。</w:t>
      </w:r>
    </w:p>
    <w:p w:rsidR="00614997" w:rsidRPr="00D73E1D" w:rsidRDefault="00D73E1D" w:rsidP="00D73E1D">
      <w:pPr>
        <w:ind w:firstLine="480"/>
        <w:rPr>
          <w:rFonts w:ascii="仿宋" w:eastAsia="仿宋" w:hAnsi="仿宋" w:cs="Times New Roman" w:hint="eastAsia"/>
          <w:color w:val="000000"/>
          <w:sz w:val="24"/>
          <w:szCs w:val="24"/>
        </w:rPr>
      </w:pPr>
      <w:r w:rsidRPr="00D73E1D">
        <w:rPr>
          <w:rFonts w:ascii="仿宋" w:eastAsia="仿宋" w:hAnsi="仿宋" w:cs="Times New Roman" w:hint="eastAsia"/>
          <w:color w:val="000000"/>
          <w:sz w:val="24"/>
          <w:szCs w:val="24"/>
        </w:rPr>
        <w:t>（2）在项目实施过程中接受采购人的监督。</w:t>
      </w:r>
      <w:bookmarkStart w:id="1" w:name="_GoBack"/>
      <w:bookmarkEnd w:id="1"/>
    </w:p>
    <w:sectPr w:rsidR="00614997" w:rsidRPr="00D73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1D"/>
    <w:rsid w:val="00614997"/>
    <w:rsid w:val="00D7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18E57-5217-4D16-BAD1-06870AD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73E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Company>Sky123.Org</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2021-10-13T03:20:00Z</dcterms:created>
  <dcterms:modified xsi:type="dcterms:W3CDTF">2021-10-13T03:20:00Z</dcterms:modified>
</cp:coreProperties>
</file>