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5E" w:rsidRPr="00BC625E" w:rsidRDefault="00BC625E" w:rsidP="00BC625E">
      <w:pPr>
        <w:spacing w:before="240" w:after="60"/>
        <w:jc w:val="center"/>
        <w:outlineLvl w:val="0"/>
        <w:rPr>
          <w:rFonts w:ascii="宋体" w:eastAsia="宋体" w:hAnsi="宋体" w:cs="宋体"/>
          <w:b/>
          <w:bCs/>
          <w:sz w:val="32"/>
          <w:szCs w:val="32"/>
        </w:rPr>
      </w:pPr>
      <w:r w:rsidRPr="00BC625E">
        <w:rPr>
          <w:rFonts w:ascii="宋体" w:eastAsia="宋体" w:hAnsi="宋体" w:cs="宋体" w:hint="eastAsia"/>
          <w:b/>
          <w:bCs/>
          <w:sz w:val="32"/>
          <w:szCs w:val="32"/>
        </w:rPr>
        <w:t>采购项目技术、服务、政府采购合同内容条款及其他商务要求</w:t>
      </w:r>
    </w:p>
    <w:p w:rsidR="00BC625E" w:rsidRPr="00BC625E" w:rsidRDefault="00BC625E" w:rsidP="00BC625E">
      <w:pPr>
        <w:spacing w:line="400" w:lineRule="exact"/>
        <w:ind w:firstLineChars="200" w:firstLine="480"/>
        <w:rPr>
          <w:rFonts w:ascii="宋体" w:eastAsia="宋体" w:hAnsi="宋体" w:cs="宋体"/>
          <w:sz w:val="24"/>
          <w:szCs w:val="24"/>
        </w:rPr>
      </w:pPr>
    </w:p>
    <w:p w:rsidR="00BC625E" w:rsidRPr="00BC625E" w:rsidRDefault="00BC625E" w:rsidP="00BC625E">
      <w:pPr>
        <w:spacing w:line="400" w:lineRule="exact"/>
        <w:ind w:firstLineChars="49" w:firstLine="118"/>
        <w:jc w:val="left"/>
        <w:outlineLvl w:val="1"/>
        <w:rPr>
          <w:rFonts w:ascii="宋体" w:eastAsia="宋体" w:hAnsi="宋体" w:cs="宋体"/>
          <w:b/>
          <w:bCs/>
          <w:sz w:val="24"/>
          <w:szCs w:val="24"/>
        </w:rPr>
      </w:pPr>
      <w:bookmarkStart w:id="0" w:name="PO_默认文件内容_27"/>
      <w:r w:rsidRPr="00BC625E">
        <w:rPr>
          <w:rFonts w:ascii="宋体" w:eastAsia="宋体" w:hAnsi="宋体" w:cs="宋体" w:hint="eastAsia"/>
          <w:b/>
          <w:bCs/>
          <w:sz w:val="24"/>
          <w:szCs w:val="24"/>
        </w:rPr>
        <w:t>前提：本章采购需求中标注“*”号的条款为本次磋商采购项目的实质性要求，供应商应全部满足。</w:t>
      </w:r>
    </w:p>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一、项目概述</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本项目共1个包，采购创业活动专项经费项目—2021成都全球创新创业交易会第二节届国际区块链产业博览会成都高新区承办活动服务供应商一名，执行内容包括举办金熊猫全球创新创业大赛、高层次“四派人才”企业成果展以及布展“蓉入美好生活科技展”展馆。预算为300万元，最高限价为300万元。</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2021成都全球创新创业交易会第二届国际区块链博览会（以下简称2021创交会）拟定于2021年10月中下旬举办，2021创交会将延续区块链主题，以区块链、人工智能、5G、大数据等新一代信息技术在“幸福美好生活十大工程”中的示范应用为切入点，通过论坛、展览、交易、大赛等形式，举办多项主体活动和若干配套活动，持续发出产业权威声音，展示我市在新一代信息技术融合发展、场景开放应用、人才引进、招商引资等领域的优势，实现“以会汇资、以会聚才、以会提能、以会促产、以会展城”办会目标。进一步助推我市区块链等新一代信息技术融合创新发展，依托产业功能区推进区块链应用示范基地的建设，形成分布式的区块链产业应用示范的成都模式，为争创国家级区块链发展先行示范区建设打下坚实基础。成都高新区负责牵头举办金熊猫全球创新创业大赛（以下简称2021金熊猫大赛）、高层次“四派人才”企业成果展以及布展“蓉入美好生活科技展”展馆。</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2021金熊猫大赛是2021创交会主体内容之一，大赛围绕成都市成都高新区主导产业电子信息、生物医药及新经济，大力吸引全球海归派、蓉归派、创客派、学院派“四派人才”开展创新创业，构建以行业融合应用新业态、新模式、新场景。通过大赛，面向全球征集高层次“四派人才”团队、企业参赛。同时，整合头部企业合作资源，为大赛参赛项目技术赋能。通过大赛吸引全球“四派人才”汇聚成都高新区，推动行业融合应用创新，全面营造产业生态。2021金熊猫大赛以打造“四派人才”品牌、国际双创大赛知名品牌为目标，以“高素质人才、高精尖技术、高质量项目”招引为核心，面向全球征集优质高层次“四派人才”项目，通过提供平台、开放场景，聚集全球顶尖科技创新人才、优质项目、社会资本，促进应用创新及商业场景落地，采用“以赛代招”的模式引进“四派人才”落户成都高新区。</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数字时代幸福美好生活场景展是2021创交会主体内容之一，展览总规划面积1万平米，将于10月中下旬在中国西部国际博览城举办，主要分为“科创引擎、赛道竞速、幸福十景、共享繁荣”四个篇章，将新兴技术转化为市民可见、可体验、可消费的应用场景，全方位彰显数字时代下成都生活未来图景创新协调、绿色共享和繁荣开放新格局。由成都高新区牵头实施的“蓉入美好生活”科技展馆，通过线下实景展呈现新技术、新产品、新服务、新消费所构建的幸福美好生活场景。展馆从人工智能基础层、人工智能算法层及人工智能应用层等方面全面</w:t>
      </w:r>
      <w:r w:rsidRPr="00BC625E">
        <w:rPr>
          <w:rFonts w:ascii="仿宋" w:eastAsia="仿宋" w:hAnsi="仿宋" w:cs="Times New Roman" w:hint="eastAsia"/>
          <w:sz w:val="24"/>
          <w:szCs w:val="24"/>
        </w:rPr>
        <w:lastRenderedPageBreak/>
        <w:t>展示行业领域的解决方案和成功应用。邀请人工智能各大应用行业的终端客户、信息化服务提供商、软件开发及区块链技术企业，实现供需双方的近距离相互了解和商务合作。展馆将体现出专业性、创新性、国际性、高端性的特色，有力地促进企业的品牌宣传和合作交流。</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标的名称：2021成都全球创新创业交易会成都高新区承办活动服务</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所属行业：租赁和商务服务业</w:t>
      </w:r>
    </w:p>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*二、商务要求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（一）服务时间</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1、签订合同之日起至金熊猫全球创新创业大赛后项目跟踪期结束止。</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2、各项活动按照采购人要求的时限内完成。</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（二）服务地点</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2021金熊猫大赛分赛地点:采购人根据项目实施指定地点，总决赛地点:成都高新区；</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展馆地点：中国西部国际博览城</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（三）付款方法和条件</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1、采购人与供应商签订服务合同后30个工作日内支付合同总金额的40%；</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2、2021金熊猫大赛、高层次“四派人才”企业成果展设计方案以及“蓉入美好生活”科技展览设计方案通过采购人审核后30个工作日内支付合同总金额的30%；</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3、2021金熊猫大赛、企业成果展及展览结束，供应商提交项目总结报告，2021金熊猫大赛项目跟踪期结束并提交绩效报告，第三方机构出具审计报告，采购人完成验收后30个工作日内支付合同总金额的30%。</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（四）验收</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按照《财政部关于进一步加强政府采购需求和履约验收管理的指导意见》（财库〔2016〕205号）的要求进行验收。</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（五）其他</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采购报价金额为包干价（ 2021金熊猫大赛、“蓉入美好生活”科技展览、高层次“四派人才”企业成果展需在分项报价明细表里进行</w:t>
      </w:r>
      <w:r w:rsidRPr="00BC625E">
        <w:rPr>
          <w:rFonts w:ascii="仿宋" w:eastAsia="仿宋" w:hAnsi="仿宋" w:cs="Times New Roman"/>
          <w:sz w:val="24"/>
          <w:szCs w:val="24"/>
        </w:rPr>
        <w:t>分项报价</w:t>
      </w:r>
      <w:r w:rsidRPr="00BC625E">
        <w:rPr>
          <w:rFonts w:ascii="仿宋" w:eastAsia="仿宋" w:hAnsi="仿宋" w:cs="Times New Roman" w:hint="eastAsia"/>
          <w:sz w:val="24"/>
          <w:szCs w:val="24"/>
        </w:rPr>
        <w:t>），包含2021金熊猫大赛、“蓉入美好生活”科技展览以及高层次“四派人才”企业成果展的策划、组织和实施。内容包含但不限于组织专家调研确定大赛赛道、建设大赛网站、线上直播平台建设、招募全球企业、筹办海外及国内初赛、全球媒体宣传、邀请行业专家学者、高校、行业协会及投资机构参会、部分参赛企业、嘉宾交通及食宿、线上线下会场搭建、设施设备、翻译、志愿者、摄影摄像、成都总决赛线上执行经费、赛后跟踪服务费等，论坛现场搭建、会务、嘉宾邀请等费用，展馆设计费、材料费、场地管理费、撤展费等以及差旅费、劳务费、加班费、税费、专家咨询费、不可预见费用等所有费用。</w:t>
      </w:r>
    </w:p>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三、技术服务要求</w:t>
      </w:r>
    </w:p>
    <w:bookmarkEnd w:id="0"/>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（一）供应商总体服务要求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●1.2021金熊猫大赛成都总决赛拟于2021年在成都高新区线下举办。由于新冠疫情影响造成的不确定性，供应商应制定大赛成都总决赛以及论坛全线上执行方案备选。</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●2.采购人在与供应商签订合同后,根据2021创交会组委会以及采购人的具体要求，针对合作事项经与供应商协商后有权进行适当调整。</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lastRenderedPageBreak/>
        <w:t>●3.活动执行完毕，采购人将委托第三方机构对2021创交会成都高新区承办活动进行专项审计，结算金额将以采购人委托的第三方机构专项审计结果为准，供应商应积极配合完成审计工作。</w:t>
      </w:r>
    </w:p>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（二）金熊猫全球创新创业大赛</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●1.供应商服务要求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应按照2021创交会组委会要求，以区块链、人工智能、5G、大数据等新一代信息技术在“幸福美好生活十大工程”中的示范应用为切入点，通过论坛、展览、交易、大赛等形式，举办多项主体活动和若干配套活动，持续发出产业权威声音，展示我市在新一代信息技术融合发展、场景开放应用、人才引进、招商引资等领域的优势，实现“以会汇资、以会聚才、以会提能、以会促产、以会展城”办会目标。2021金熊猫大赛以打造国际双创大赛知名品牌为目标，以“高素质人才、高精尖技术、高质量项目”招引为核心，面向全球征集优质人工智能项目方案，采用“以赛代招”的模式引进高层次“四派”人才落户成都高新区。供应商要在活动总体方案中明确并充分体现本次大赛的目的。</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（2）供应商应在活动总体方案中体现下述“活动具体要求”中的内容，体现活动的策划亮点、执行思路和预期成果。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（3）供应商应在要求时间内完成本项目的总体策划方案，完成各赛区具体方案并按照采购人的各项工作要求进行项目策划、执行、协调，突出活动成效，达到采购人要求。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4）供应商应在活动总体方案中体现国内外主导产业行业资源，制定金熊猫全球创新创业大赛参赛要求，设置线上和线下评审机制，无法参加线下初赛的项目，可以通过线上筛选入围总决赛，明确线上、线下入围总决赛项目比例；参赛团队和参赛作品在赛前和赛后均不得存在违反中国人民银行等七部委《关于防范代币发行融资风险的公告》的情况。</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5）供应商应按照大赛方案完成邀请参赛团队及国内外嘉宾来蓉参赛参展等工作，选拔线上、海外及国内初赛前30名的团队（海外参赛团队不低于10个）线上线下参加成都总决赛；不低于10家参加成都总决赛的项目需在成都高新区注册落户（企业落户成都高新区的优惠政策，供应商可自行查阅成都高新区出台的《成都高新区实施“金熊猫”计划促进人才资源向创新动能转化若干政策》, 按照《成都高新技术产业开发区关于科技创新驱动高质量发展的若干政策》、《成都高新技术产业开发区关于优化产业服务促进企业发展的若干政策意见（修订）》以及《成都高新技术产业开发区关于深化产业培育实现高质量发展若干政策意见（修订）》政策内容，对在成都高新区落户且符合条件的参赛企业可给予研发投入、活动补贴、高企认定、知识产权补贴、融资补贴等政策支持）。</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（6）供应商应邀请国内外行业专家学者、创投机构代表与媒体代表等至少20人参加成都总决赛及颁奖仪式。</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（7）供应商应协调完成各项活动期间政府领导、专业观众组织工作，并完成活动期间参赛、参展等相关人员的接待工作。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（8）供应商应组建工作团队在成都负责执行该项目，服务团队中本次活动总负责人应为公司高层管理人员，有牵头举办同类活动经验。</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（9）供应商应按照采购方要求安排专人对金熊猫全球创新创业大赛的宣传进行策划并组织实施，配合2021创交会总体要求做好金熊猫全球创新创业大赛相关的宣传、氛围营造和品牌推广工作。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（10）供应商应完善安保、消防、现场应急预案等方案，配合主办方完成金</w:t>
      </w:r>
      <w:r w:rsidRPr="00BC625E">
        <w:rPr>
          <w:rFonts w:ascii="仿宋" w:eastAsia="仿宋" w:hAnsi="仿宋" w:cs="Times New Roman" w:hint="eastAsia"/>
          <w:sz w:val="24"/>
          <w:szCs w:val="24"/>
        </w:rPr>
        <w:lastRenderedPageBreak/>
        <w:t>熊猫全球创新创业大赛的安保、消防等相关手续报备；对各项活动开展现场管理，包括现场服务团队人员配置、完成各项活动现场消防预案、安保、活动进度以及活动的具体完成时限等。</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（11）供应商在活动执行期间应按照采购人要求，以工作简报（工作动态、专报）等形式将2021金熊猫大赛工作进展及实效呈报采购方，若遇重大情况调整需及时报请采购方审议后实施。</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（12）供应商根据采购人的工作要求，安排1—2名工作人员专职负责金熊猫全球创新创业大赛6-12个月项目跟踪工作，并协助采购人为获奖企业发放大赛奖金，协助参赛企业落户成都高新区。</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（13）供应商应按照合同要求合理使用活动经费，确保各项活动的顺利实施，在整个金熊猫全球创新创业大赛活动结束后配合完成总结及绩效报告等。</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（14）完成采购方临时交办的其它工作。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●2.活动具体要求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（1）确定参赛命题</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时间：合同</w:t>
      </w:r>
      <w:r w:rsidRPr="00BC625E">
        <w:rPr>
          <w:rFonts w:ascii="仿宋" w:eastAsia="仿宋" w:hAnsi="仿宋" w:cs="Times New Roman"/>
          <w:sz w:val="24"/>
          <w:szCs w:val="24"/>
        </w:rPr>
        <w:t>签订</w:t>
      </w:r>
      <w:r w:rsidRPr="00BC625E">
        <w:rPr>
          <w:rFonts w:ascii="仿宋" w:eastAsia="仿宋" w:hAnsi="仿宋" w:cs="Times New Roman" w:hint="eastAsia"/>
          <w:sz w:val="24"/>
          <w:szCs w:val="24"/>
        </w:rPr>
        <w:t>后7日内</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内容：由供应商成立专家调研小组，组织行业专家对成都市及成都高新区应用场景进行调研及评估，最终确定赛道组织竞赛。</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（2）项目征集/报名</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时间：2021年9—10月</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内容：通过线上宣传或线下仪式启动金熊猫全球创新创业大赛，发布参赛通知。更新金熊猫全球创新创业大赛官网，在官网设置大赛报名及数据统计系统，发布成都高新区政策、大赛亮点等。在国内外媒体推广大赛官网，在全球范围内招募参赛企业或创新型团队，在规定时间内、按照参赛通知的要求收取相关报名材料、参赛方案。</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（3）项目初赛及复赛</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时间：2021年9—10月</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方式：设置线上评审机制，由供应商组织主导产业行业专家对参赛企业及参赛方案进行初选，采用线上线下相结合的方式，根据参赛企业提交的方案，筛选出满足条件要求的高质量企业或团队参加成都决赛，参加成都决赛的企业或团队不低于30个，其中海外项目不少于10个。</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①海外项目筛选：拟在海外2—3个国家和地区开展海外项目初赛活动，精准招募海外参赛团队，通过线上一对一面试、网络评审、项目路演等形式，评选出优秀的海外创业团队参加成都总决赛。</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②国内项目筛选：在全国招募优秀的创业团队，通过官网征集、合作伙伴推荐、定向邀请等方式进行招募，拟在国内2—3个地区设置赛区，开展项目初赛活动，通过网络评审、线下项目路演等形式，评选出优秀的创业团队参加成都总决赛。</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（4）成都总决赛及颁奖仪式</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时间：2021年10月中下旬</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地点：成都高新区菁蓉汇</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规模：线下约200人，拟邀请主导产业领域专家学者、高校院所、人工智能企业、行业协会以及创投机构等专业嘉宾线上线下参会。</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活动内容：成都总决赛采取线上线下相结合的方式，通过在线路演、云直播等手段，对国内外筛选出来的优秀方案以路演形式展示，评选出一、二、三等奖，</w:t>
      </w:r>
      <w:r w:rsidRPr="00BC625E">
        <w:rPr>
          <w:rFonts w:ascii="仿宋" w:eastAsia="仿宋" w:hAnsi="仿宋" w:cs="Times New Roman" w:hint="eastAsia"/>
          <w:sz w:val="24"/>
          <w:szCs w:val="24"/>
        </w:rPr>
        <w:lastRenderedPageBreak/>
        <w:t>并进行颁奖仪式。由于新冠疫情影响造成的不确定性，制定成都总决赛线上活动方案作为备选。</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（5）配套活动：产业政策推介</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时间：2021年9—10月</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活动内容：在项目征集、项目初赛期间，在线上开放特定时间集中安排成都高新区推介及政策解读培训会、分享会，还可以根据需要，与团队进行一对一辅导。成都总决赛期间，组织参赛团队参观成都高新区，实地感受成都高新区创新创业环境，宣传成都高新区创新创业政策，解答参赛企业落地问题。</w:t>
      </w:r>
    </w:p>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（三）“蓉入美好生活”科技展馆</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●1.供应商服务要求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应在充分领会2021创交会将新兴技术转化为市民可见、可体验、可消费的应用场景，全方位彰显数字时代下成都生活未来图景创新协调、绿色共享和繁荣开放新格局的总体目标定位以及展览主题的基础上，拟定此次布展设计方案和总体服务方案。此次展览通过线下实景展呈现新技术、新产品、新服务、新消费所构建的幸福美好生活场景。展馆将体现出专业性、创新性、国际性、高端性的特色，有力地促进企业的品牌宣传和合作交流。</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（2）供应商应详细勘察展馆场地并结合场地位置、面积大小等实际情况进行规划设计及搭建。</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供应商应对布展设计和搭建实施团队的工作内容及进度（会展策划、展馆设计、物料制作、氛围营造、现场管理、布撤展、安全保障和生产安全等）做出明确规划，安排足够的专职工作团队在成都负责执行该项目。</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（4）供应商应做好展览期间现场运行保障工作，制定展览现场应急预案，安排专业人员保障现场设备运行、安保消防等，确保开展期间展馆顺利运行。</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（5）如产生由主场服务商收取的场地搭建特装费、搭建加班管理费等其他费用应由供应商自行承担，合理使用活动经费，确保展览顺利实施，展览结束后配合完成总结及绩效报告等。</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（6）由于新冠疫情影响造成的不确定性，若展馆展览方式发生变化，供应商应按照2021创交会组委会统一要求调整方案并执行；若展览取消，采购人经与供应商协商后，有权调减展览相应经费。</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（7）完成采购人临时交办的其它工作。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●2.技术要求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（1）供应商应提供布展设计方案并经采购人确认，设计方案应紧扣2021创交会会主题，采用高科技手段，充分体现出科技感和国际化水平。</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（2）供应商应突破传统展陈方式，探索“全方位、深层次、多角度”的展览方式，展示先进技术，提高互动性，增强观众体验感。</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（3）供应商应至少明确2名及以上工作人员负责收集整理参展企业资料和展品等相关工作，安排足够的人员负责展览期间展位及展品看护保管工作。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（4）供应商应为参展物资、参展产品等入馆及撤展提供搬运劳务。</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（5）供应商施工前须提供完整的展览搭建实施方案，包括材料说明、搭建结构图纸及安全审核证明。</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（6）搭建材料及相关展具用材应尽量采用可回收、轻便、无异味、无尖锐物的材料。</w:t>
      </w:r>
    </w:p>
    <w:p w:rsidR="00BC625E" w:rsidRPr="00BC625E" w:rsidRDefault="00BC625E" w:rsidP="00BC625E">
      <w:pPr>
        <w:keepNext/>
        <w:keepLines/>
        <w:spacing w:line="400" w:lineRule="exact"/>
        <w:outlineLvl w:val="1"/>
        <w:rPr>
          <w:rFonts w:ascii="宋体" w:eastAsia="宋体" w:hAnsi="宋体" w:cs="宋体"/>
          <w:b/>
          <w:bCs/>
          <w:sz w:val="24"/>
          <w:szCs w:val="24"/>
        </w:rPr>
      </w:pPr>
      <w:r w:rsidRPr="00BC625E">
        <w:rPr>
          <w:rFonts w:ascii="宋体" w:eastAsia="宋体" w:hAnsi="宋体" w:cs="宋体" w:hint="eastAsia"/>
          <w:b/>
          <w:bCs/>
          <w:sz w:val="24"/>
          <w:szCs w:val="24"/>
        </w:rPr>
        <w:t>（四）高层次“四派人才”企业成果展</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●1.供应商服务要求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lastRenderedPageBreak/>
        <w:t>（1）大赛决赛期间，拟围绕创客派、海归派、学院派、蓉归派创新创业人才和项目，在三大主导产业（电子信息、生物医药、新经济）中筛选具有代表性的优质企业，在菁蓉汇园区进行展示，采用创意展示和互动体验相结合的形式，着力展现“四派人才”取得的丰硕成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（2）供应商应详细勘察展馆场地并结合场地位置、面积大小等实际情况进行规划设计及搭建。</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供应商应对布展设计和搭建实施团队的工作内容及进度（会展策划、展馆设计、物料制作、氛围营造、现场管理、布撤展、安全保障和生产安全等）做出明确规划，安排足够的专职工作团队在成都负责执行该项目。</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（4）供应商应做好展览期间现场运行保障工作，制定展览现场应急预案，安排专业人员保障现场设备运行、安保消防等，确保开展期间展馆顺利运行。</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（5）如产生由主场服务商收取的场地搭建特装费、搭建加班管理费等其他费用应由供应商自行承担，合理使用活动经费，确保展览顺利实施，展览结束后配合完成总结及绩效报告等。</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（6）由于新冠疫情影响造成的不确定性，若展馆展览方式发生变化，供应商应按照采购方要求调整方案并执行；若展览取消，采购人经与供应商协商后，有权调整或调减展览相应经费。</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（7）完成采购人临时交办的其它工作。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●2.技术要求</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（1）供应商应提供布展设计方案并经采购人确认，设计方案应紧扣展览主题，采用高科技手段，充分体现出科技感和国际化水平。</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（2）供应商应突破传统展陈方式，探索“全方位、深层次、多角度”的展览方式，展示先进技术，提高互动性，增强观众体验感。</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（3）供应商应至少明确2名及以上工作人员负责收集整理参展企业资料和展品等相关工作，安排足够的人员负责展览期间展位及展品看护保管工作。</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（4）供应商应为参展物资、参展产品等入馆及撤展提供搬运劳务。</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（5）供应商施工前须提供完整的展览搭建实施方案，包括材料说明、搭建结构图纸及安全审核证明。</w:t>
      </w:r>
    </w:p>
    <w:p w:rsidR="00BC625E" w:rsidRPr="00BC625E" w:rsidRDefault="00BC625E" w:rsidP="00BC625E">
      <w:pPr>
        <w:ind w:firstLineChars="196" w:firstLine="470"/>
        <w:rPr>
          <w:rFonts w:ascii="仿宋" w:eastAsia="仿宋" w:hAnsi="仿宋" w:cs="Times New Roman"/>
          <w:sz w:val="24"/>
          <w:szCs w:val="24"/>
        </w:rPr>
      </w:pPr>
      <w:r w:rsidRPr="00BC625E">
        <w:rPr>
          <w:rFonts w:ascii="仿宋" w:eastAsia="仿宋" w:hAnsi="仿宋" w:cs="Times New Roman" w:hint="eastAsia"/>
          <w:sz w:val="24"/>
          <w:szCs w:val="24"/>
        </w:rPr>
        <w:t>（6）搭建材料及相关展具用材应尽量采用可回收、轻便、无异味、无尖锐物的材料。</w:t>
      </w:r>
    </w:p>
    <w:p w:rsidR="0013665B" w:rsidRPr="00BC625E" w:rsidRDefault="00E95D40">
      <w:bookmarkStart w:id="1" w:name="_GoBack"/>
      <w:bookmarkEnd w:id="1"/>
    </w:p>
    <w:sectPr w:rsidR="0013665B" w:rsidRPr="00BC62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40" w:rsidRDefault="00E95D40" w:rsidP="00BC625E">
      <w:r>
        <w:separator/>
      </w:r>
    </w:p>
  </w:endnote>
  <w:endnote w:type="continuationSeparator" w:id="0">
    <w:p w:rsidR="00E95D40" w:rsidRDefault="00E95D40" w:rsidP="00BC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40" w:rsidRDefault="00E95D40" w:rsidP="00BC625E">
      <w:r>
        <w:separator/>
      </w:r>
    </w:p>
  </w:footnote>
  <w:footnote w:type="continuationSeparator" w:id="0">
    <w:p w:rsidR="00E95D40" w:rsidRDefault="00E95D40" w:rsidP="00BC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97"/>
    <w:rsid w:val="003B6F6E"/>
    <w:rsid w:val="005F3FA5"/>
    <w:rsid w:val="00BC625E"/>
    <w:rsid w:val="00CA6497"/>
    <w:rsid w:val="00E95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D5743-C21F-4FA6-B0A0-642BC856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25E"/>
    <w:rPr>
      <w:sz w:val="18"/>
      <w:szCs w:val="18"/>
    </w:rPr>
  </w:style>
  <w:style w:type="paragraph" w:styleId="a4">
    <w:name w:val="footer"/>
    <w:basedOn w:val="a"/>
    <w:link w:val="Char0"/>
    <w:uiPriority w:val="99"/>
    <w:unhideWhenUsed/>
    <w:rsid w:val="00BC625E"/>
    <w:pPr>
      <w:tabs>
        <w:tab w:val="center" w:pos="4153"/>
        <w:tab w:val="right" w:pos="8306"/>
      </w:tabs>
      <w:snapToGrid w:val="0"/>
      <w:jc w:val="left"/>
    </w:pPr>
    <w:rPr>
      <w:sz w:val="18"/>
      <w:szCs w:val="18"/>
    </w:rPr>
  </w:style>
  <w:style w:type="character" w:customStyle="1" w:styleId="Char0">
    <w:name w:val="页脚 Char"/>
    <w:basedOn w:val="a0"/>
    <w:link w:val="a4"/>
    <w:uiPriority w:val="99"/>
    <w:rsid w:val="00BC62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5780</Characters>
  <Application>Microsoft Office Word</Application>
  <DocSecurity>0</DocSecurity>
  <Lines>48</Lines>
  <Paragraphs>13</Paragraphs>
  <ScaleCrop>false</ScaleCrop>
  <Company>微软中国</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2021-08-03T07:01:00Z</dcterms:created>
  <dcterms:modified xsi:type="dcterms:W3CDTF">2021-08-03T07:02:00Z</dcterms:modified>
</cp:coreProperties>
</file>