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EE" w:rsidRDefault="000013EE" w:rsidP="000013EE">
      <w:pPr>
        <w:pStyle w:val="1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0013EE" w:rsidRDefault="000013EE" w:rsidP="000013EE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</w:t>
      </w:r>
      <w:r>
        <w:rPr>
          <w:rFonts w:ascii="仿宋" w:eastAsia="仿宋" w:hAnsi="仿宋"/>
          <w:sz w:val="24"/>
        </w:rPr>
        <w:t>*”的条款为本项目的实质性条款，投标人不满足的，将按照无效投标处理。</w:t>
      </w:r>
    </w:p>
    <w:bookmarkEnd w:id="0"/>
    <w:p w:rsidR="000013EE" w:rsidRPr="00802EA2" w:rsidRDefault="000013EE" w:rsidP="000013EE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802EA2">
        <w:rPr>
          <w:rFonts w:ascii="仿宋" w:eastAsia="仿宋" w:hAnsi="仿宋" w:hint="eastAsia"/>
          <w:sz w:val="24"/>
          <w:szCs w:val="24"/>
        </w:rPr>
        <w:t>（一）</w:t>
      </w:r>
      <w:r w:rsidRPr="00802EA2">
        <w:rPr>
          <w:rFonts w:ascii="仿宋" w:eastAsia="仿宋" w:hAnsi="仿宋"/>
          <w:sz w:val="24"/>
          <w:szCs w:val="24"/>
        </w:rPr>
        <w:t xml:space="preserve">. </w:t>
      </w:r>
      <w:r w:rsidRPr="00802EA2">
        <w:rPr>
          <w:rFonts w:ascii="仿宋" w:eastAsia="仿宋" w:hAnsi="仿宋" w:hint="eastAsia"/>
          <w:sz w:val="24"/>
          <w:szCs w:val="24"/>
        </w:rPr>
        <w:t>项目概述</w:t>
      </w:r>
    </w:p>
    <w:p w:rsidR="000013EE" w:rsidRPr="001C69C3" w:rsidRDefault="000013EE" w:rsidP="000013EE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1" w:name="_Toc217446095"/>
      <w:r w:rsidRPr="001C69C3">
        <w:rPr>
          <w:rFonts w:ascii="仿宋" w:eastAsia="仿宋" w:hAnsi="仿宋" w:hint="eastAsia"/>
          <w:bCs/>
          <w:sz w:val="24"/>
        </w:rPr>
        <w:t>项目区位于新青通风廊道，规划范围包括姚渡镇全域，北邻成都国际铁路港，南接欧洲产业城，规划总面积约72平方公里。其中，以港城大道两侧500米作为重点片区研究范围，总面积约9.5平方公里，姚渡镇域内区域为重点片区规划范围，总面积约5.6平方公里，包括内部山体、农田、林盘、村镇等。</w:t>
      </w:r>
    </w:p>
    <w:p w:rsidR="000013EE" w:rsidRPr="001C69C3" w:rsidRDefault="000013EE" w:rsidP="000013EE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1C69C3">
        <w:rPr>
          <w:rFonts w:ascii="仿宋" w:eastAsia="仿宋" w:hAnsi="仿宋" w:hint="eastAsia"/>
          <w:bCs/>
          <w:sz w:val="24"/>
        </w:rPr>
        <w:t>本次《青白江区新青通风廊道融合发展规划》需在充分对接在编市、区国土空间规划与十四五规划的基础上，聚焦乡村振兴和公园城市两大发展主题，梳理区域资源禀赋，提出</w:t>
      </w:r>
      <w:r>
        <w:rPr>
          <w:rFonts w:ascii="仿宋" w:eastAsia="仿宋" w:hAnsi="仿宋" w:hint="eastAsia"/>
          <w:bCs/>
          <w:sz w:val="24"/>
        </w:rPr>
        <w:t>特色显著、</w:t>
      </w:r>
      <w:r w:rsidRPr="001C69C3">
        <w:rPr>
          <w:rFonts w:ascii="仿宋" w:eastAsia="仿宋" w:hAnsi="仿宋" w:hint="eastAsia"/>
          <w:bCs/>
          <w:sz w:val="24"/>
        </w:rPr>
        <w:t>体系完整、布局合理的城乡融合发展单元的规划方案。</w:t>
      </w:r>
    </w:p>
    <w:p w:rsidR="000013EE" w:rsidRPr="001C69C3" w:rsidRDefault="000013EE" w:rsidP="000013EE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1C69C3">
        <w:rPr>
          <w:rFonts w:ascii="仿宋" w:eastAsia="仿宋" w:hAnsi="仿宋" w:hint="eastAsia"/>
          <w:bCs/>
          <w:sz w:val="24"/>
        </w:rPr>
        <w:t>基于项目以上基本情况，特启动《青白江区新青通风廊道融合发展规划》整体规划工作，为高效推进项目，助力青白江区城乡融合发展与乡村振兴项目建设，基于项目类型本项目共包含3个部分的内容，分别为：</w:t>
      </w:r>
    </w:p>
    <w:p w:rsidR="000013EE" w:rsidRPr="001C69C3" w:rsidRDefault="000013EE" w:rsidP="000013EE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1C69C3">
        <w:rPr>
          <w:rFonts w:ascii="仿宋" w:eastAsia="仿宋" w:hAnsi="仿宋" w:hint="eastAsia"/>
          <w:bCs/>
          <w:sz w:val="24"/>
        </w:rPr>
        <w:t>1、新青通风廊道融合发展战略研究：分析梳理城乡融合发展单元在人口、产业、环境等方面的现状问题与发展趋势，挖掘城乡融合发展单元产业与空间潜力点，以人为本，通过资源驱动，探索城乡融合发展的路径，构建新型产业体系与镇村空间结构、产业主导方向，明确镇村职能与分工、建立高效共享的公共服务设施布局模式。</w:t>
      </w:r>
    </w:p>
    <w:p w:rsidR="000013EE" w:rsidRPr="001C69C3" w:rsidRDefault="000013EE" w:rsidP="000013EE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1C69C3">
        <w:rPr>
          <w:rFonts w:ascii="仿宋" w:eastAsia="仿宋" w:hAnsi="仿宋" w:hint="eastAsia"/>
          <w:bCs/>
          <w:sz w:val="24"/>
        </w:rPr>
        <w:t>2、港城大道重点片区提升规划研究：作为连接铁路港与欧洲产业城的重要通道，梳理港城大道在区位、周边环境、建设情况等现状情况，提炼港城大道两侧空间的核心规划定位与界面控制策略。</w:t>
      </w:r>
    </w:p>
    <w:p w:rsidR="000013EE" w:rsidRDefault="000013EE" w:rsidP="000013EE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1C69C3">
        <w:rPr>
          <w:rFonts w:ascii="仿宋" w:eastAsia="仿宋" w:hAnsi="仿宋" w:hint="eastAsia"/>
          <w:bCs/>
          <w:sz w:val="24"/>
        </w:rPr>
        <w:t>3、特色林盘院落设计研究：重点梳理范围内林盘现状，提出分类管控措施，选取1-2处具有代表性的点位进行空间设计，作为港城大道两侧建设管控的示范性项目。</w:t>
      </w:r>
    </w:p>
    <w:p w:rsidR="000013EE" w:rsidRDefault="000013EE" w:rsidP="000013EE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1C69C3">
        <w:rPr>
          <w:rFonts w:ascii="仿宋" w:eastAsia="仿宋" w:hAnsi="仿宋" w:hint="eastAsia"/>
          <w:bCs/>
          <w:sz w:val="24"/>
        </w:rPr>
        <w:lastRenderedPageBreak/>
        <w:t>本项目共1个包，采购青白江区新青通风廊道融合发展规划服务供应商一名。</w:t>
      </w:r>
    </w:p>
    <w:p w:rsidR="000013EE" w:rsidRDefault="000013EE" w:rsidP="000013EE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2.标的名称及</w:t>
      </w:r>
      <w:r>
        <w:rPr>
          <w:rFonts w:ascii="仿宋" w:eastAsia="仿宋" w:hAnsi="仿宋"/>
          <w:bCs/>
          <w:sz w:val="24"/>
        </w:rPr>
        <w:t>所属行业</w:t>
      </w:r>
      <w:r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6"/>
        <w:tblW w:w="8383" w:type="dxa"/>
        <w:jc w:val="center"/>
        <w:tblLook w:val="04A0" w:firstRow="1" w:lastRow="0" w:firstColumn="1" w:lastColumn="0" w:noHBand="0" w:noVBand="1"/>
      </w:tblPr>
      <w:tblGrid>
        <w:gridCol w:w="2074"/>
        <w:gridCol w:w="1064"/>
        <w:gridCol w:w="3084"/>
        <w:gridCol w:w="2161"/>
      </w:tblGrid>
      <w:tr w:rsidR="000013EE" w:rsidTr="00F40A60">
        <w:trPr>
          <w:jc w:val="center"/>
        </w:trPr>
        <w:tc>
          <w:tcPr>
            <w:tcW w:w="2074" w:type="dxa"/>
            <w:vMerge w:val="restart"/>
          </w:tcPr>
          <w:p w:rsidR="000013EE" w:rsidRDefault="000013EE" w:rsidP="00F40A60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013EE" w:rsidRDefault="000013EE" w:rsidP="00F40A60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包号：</w:t>
            </w:r>
            <w:r>
              <w:rPr>
                <w:rFonts w:ascii="仿宋" w:eastAsia="仿宋" w:hAnsi="仿宋"/>
                <w:bCs/>
                <w:sz w:val="24"/>
              </w:rPr>
              <w:t>01</w:t>
            </w:r>
          </w:p>
        </w:tc>
        <w:tc>
          <w:tcPr>
            <w:tcW w:w="1064" w:type="dxa"/>
          </w:tcPr>
          <w:p w:rsidR="000013EE" w:rsidRDefault="000013EE" w:rsidP="00F40A60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品目号</w:t>
            </w:r>
          </w:p>
        </w:tc>
        <w:tc>
          <w:tcPr>
            <w:tcW w:w="3084" w:type="dxa"/>
          </w:tcPr>
          <w:p w:rsidR="000013EE" w:rsidRDefault="000013EE" w:rsidP="00F40A60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</w:t>
            </w:r>
            <w:r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2161" w:type="dxa"/>
          </w:tcPr>
          <w:p w:rsidR="000013EE" w:rsidRDefault="000013EE" w:rsidP="00F40A60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0013EE" w:rsidTr="00F40A60">
        <w:trPr>
          <w:jc w:val="center"/>
        </w:trPr>
        <w:tc>
          <w:tcPr>
            <w:tcW w:w="2074" w:type="dxa"/>
            <w:vMerge/>
          </w:tcPr>
          <w:p w:rsidR="000013EE" w:rsidRDefault="000013EE" w:rsidP="00F40A60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:rsidR="000013EE" w:rsidRDefault="000013EE" w:rsidP="00F40A60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1-1</w:t>
            </w:r>
          </w:p>
        </w:tc>
        <w:tc>
          <w:tcPr>
            <w:tcW w:w="3084" w:type="dxa"/>
          </w:tcPr>
          <w:p w:rsidR="000013EE" w:rsidRDefault="000013EE" w:rsidP="00F40A60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1C69C3">
              <w:rPr>
                <w:rFonts w:ascii="仿宋" w:eastAsia="仿宋" w:hAnsi="仿宋" w:hint="eastAsia"/>
                <w:bCs/>
                <w:sz w:val="24"/>
              </w:rPr>
              <w:t>青白江区新青通风廊道融合发展规划服务</w:t>
            </w:r>
          </w:p>
        </w:tc>
        <w:tc>
          <w:tcPr>
            <w:tcW w:w="2161" w:type="dxa"/>
          </w:tcPr>
          <w:p w:rsidR="000013EE" w:rsidRDefault="000013EE" w:rsidP="00F40A60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1C69C3">
              <w:rPr>
                <w:rFonts w:ascii="仿宋" w:eastAsia="仿宋" w:hAnsi="仿宋" w:hint="eastAsia"/>
                <w:bCs/>
                <w:sz w:val="24"/>
              </w:rPr>
              <w:t>租赁和商务服务业</w:t>
            </w:r>
          </w:p>
        </w:tc>
      </w:tr>
    </w:tbl>
    <w:p w:rsidR="000013EE" w:rsidRPr="00802EA2" w:rsidRDefault="000013EE" w:rsidP="000013EE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</w:t>
      </w:r>
      <w:r w:rsidRPr="00802EA2">
        <w:rPr>
          <w:rFonts w:ascii="仿宋" w:eastAsia="仿宋" w:hAnsi="仿宋" w:hint="eastAsia"/>
          <w:sz w:val="24"/>
          <w:szCs w:val="24"/>
        </w:rPr>
        <w:t>（二）</w:t>
      </w:r>
      <w:r w:rsidRPr="00802EA2">
        <w:rPr>
          <w:rFonts w:ascii="仿宋" w:eastAsia="仿宋" w:hAnsi="仿宋"/>
          <w:sz w:val="24"/>
          <w:szCs w:val="24"/>
        </w:rPr>
        <w:t xml:space="preserve">. </w:t>
      </w:r>
      <w:r w:rsidRPr="00802EA2">
        <w:rPr>
          <w:rFonts w:ascii="仿宋" w:eastAsia="仿宋" w:hAnsi="仿宋" w:hint="eastAsia"/>
          <w:sz w:val="24"/>
          <w:szCs w:val="24"/>
        </w:rPr>
        <w:t>商务要求</w:t>
      </w:r>
    </w:p>
    <w:bookmarkEnd w:id="1"/>
    <w:p w:rsidR="000013EE" w:rsidRDefault="000013EE" w:rsidP="000013EE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 w:rsidRPr="00F43CCF">
        <w:rPr>
          <w:rFonts w:ascii="仿宋" w:eastAsia="仿宋" w:hAnsi="仿宋" w:hint="eastAsia"/>
          <w:bCs/>
          <w:sz w:val="24"/>
        </w:rPr>
        <w:t>1、合同服务期限：合同签订后</w:t>
      </w:r>
      <w:r w:rsidRPr="00F43CCF">
        <w:rPr>
          <w:rFonts w:ascii="仿宋" w:eastAsia="仿宋" w:hAnsi="仿宋"/>
          <w:bCs/>
          <w:sz w:val="24"/>
        </w:rPr>
        <w:t>120</w:t>
      </w:r>
      <w:r w:rsidRPr="00F43CCF">
        <w:rPr>
          <w:rFonts w:ascii="仿宋" w:eastAsia="仿宋" w:hAnsi="仿宋" w:hint="eastAsia"/>
          <w:bCs/>
          <w:sz w:val="24"/>
        </w:rPr>
        <w:t>个日历天</w:t>
      </w:r>
      <w:r>
        <w:rPr>
          <w:rFonts w:ascii="仿宋" w:eastAsia="仿宋" w:hAnsi="仿宋" w:hint="eastAsia"/>
          <w:bCs/>
          <w:sz w:val="24"/>
        </w:rPr>
        <w:t>内</w:t>
      </w:r>
      <w:r w:rsidRPr="00C81049">
        <w:rPr>
          <w:rFonts w:ascii="仿宋" w:eastAsia="仿宋" w:hAnsi="仿宋" w:hint="eastAsia"/>
          <w:bCs/>
          <w:sz w:val="24"/>
        </w:rPr>
        <w:t>完成规划编制工作</w:t>
      </w:r>
      <w:r w:rsidRPr="00F43CCF">
        <w:rPr>
          <w:rFonts w:ascii="仿宋" w:eastAsia="仿宋" w:hAnsi="仿宋" w:hint="eastAsia"/>
          <w:bCs/>
          <w:sz w:val="24"/>
        </w:rPr>
        <w:t>。</w:t>
      </w:r>
    </w:p>
    <w:p w:rsidR="000013EE" w:rsidRPr="00F43CCF" w:rsidRDefault="000013EE" w:rsidP="000013EE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2、服务</w:t>
      </w:r>
      <w:r>
        <w:rPr>
          <w:rFonts w:ascii="仿宋" w:eastAsia="仿宋" w:hAnsi="仿宋"/>
          <w:bCs/>
          <w:sz w:val="24"/>
        </w:rPr>
        <w:t>地点：采购</w:t>
      </w:r>
      <w:r>
        <w:rPr>
          <w:rFonts w:ascii="仿宋" w:eastAsia="仿宋" w:hAnsi="仿宋" w:hint="eastAsia"/>
          <w:bCs/>
          <w:sz w:val="24"/>
        </w:rPr>
        <w:t>人</w:t>
      </w:r>
      <w:r>
        <w:rPr>
          <w:rFonts w:ascii="仿宋" w:eastAsia="仿宋" w:hAnsi="仿宋"/>
          <w:bCs/>
          <w:sz w:val="24"/>
        </w:rPr>
        <w:t>指定地点</w:t>
      </w:r>
    </w:p>
    <w:p w:rsidR="000013EE" w:rsidRPr="00F43CCF" w:rsidRDefault="000013EE" w:rsidP="000013EE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</w:t>
      </w:r>
      <w:r w:rsidRPr="00F43CCF">
        <w:rPr>
          <w:rFonts w:ascii="仿宋" w:eastAsia="仿宋" w:hAnsi="仿宋" w:hint="eastAsia"/>
          <w:bCs/>
          <w:sz w:val="24"/>
        </w:rPr>
        <w:t>、付款方法和条件：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574"/>
        <w:gridCol w:w="3740"/>
      </w:tblGrid>
      <w:tr w:rsidR="000013EE" w:rsidRPr="00E305D6" w:rsidTr="00F40A60">
        <w:trPr>
          <w:trHeight w:val="641"/>
        </w:trPr>
        <w:tc>
          <w:tcPr>
            <w:tcW w:w="1982" w:type="dxa"/>
            <w:vAlign w:val="center"/>
          </w:tcPr>
          <w:p w:rsidR="000013EE" w:rsidRPr="001C69C3" w:rsidRDefault="000013EE" w:rsidP="00F40A60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C69C3">
              <w:rPr>
                <w:rFonts w:ascii="仿宋" w:eastAsia="仿宋" w:hAnsi="仿宋" w:hint="eastAsia"/>
                <w:b/>
                <w:sz w:val="24"/>
              </w:rPr>
              <w:t>付费次序</w:t>
            </w:r>
          </w:p>
        </w:tc>
        <w:tc>
          <w:tcPr>
            <w:tcW w:w="2574" w:type="dxa"/>
            <w:vAlign w:val="center"/>
          </w:tcPr>
          <w:p w:rsidR="000013EE" w:rsidRPr="001C69C3" w:rsidRDefault="000013EE" w:rsidP="00F40A60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C69C3">
              <w:rPr>
                <w:rFonts w:ascii="仿宋" w:eastAsia="仿宋" w:hAnsi="仿宋" w:hint="eastAsia"/>
                <w:b/>
                <w:sz w:val="24"/>
              </w:rPr>
              <w:t>付费说明</w:t>
            </w:r>
          </w:p>
        </w:tc>
        <w:tc>
          <w:tcPr>
            <w:tcW w:w="3740" w:type="dxa"/>
            <w:vAlign w:val="center"/>
          </w:tcPr>
          <w:p w:rsidR="000013EE" w:rsidRPr="001C69C3" w:rsidRDefault="000013EE" w:rsidP="00F40A60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C69C3">
              <w:rPr>
                <w:rFonts w:ascii="仿宋" w:eastAsia="仿宋" w:hAnsi="仿宋" w:hint="eastAsia"/>
                <w:b/>
                <w:sz w:val="24"/>
              </w:rPr>
              <w:t>付费时间</w:t>
            </w:r>
          </w:p>
        </w:tc>
      </w:tr>
      <w:tr w:rsidR="000013EE" w:rsidRPr="00E305D6" w:rsidTr="00F40A60">
        <w:trPr>
          <w:trHeight w:val="737"/>
        </w:trPr>
        <w:tc>
          <w:tcPr>
            <w:tcW w:w="1982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第一次付费</w:t>
            </w:r>
          </w:p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（首付款）</w:t>
            </w:r>
          </w:p>
        </w:tc>
        <w:tc>
          <w:tcPr>
            <w:tcW w:w="2574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占合同总额的30</w:t>
            </w:r>
            <w:r w:rsidRPr="001C69C3"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3740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合同签订之日起</w:t>
            </w:r>
            <w:r w:rsidRPr="001C69C3">
              <w:rPr>
                <w:rFonts w:ascii="仿宋" w:eastAsia="仿宋" w:hAnsi="仿宋"/>
                <w:sz w:val="24"/>
              </w:rPr>
              <w:t>10</w:t>
            </w:r>
            <w:r w:rsidRPr="001C69C3">
              <w:rPr>
                <w:rFonts w:ascii="仿宋" w:eastAsia="仿宋" w:hAnsi="仿宋" w:hint="eastAsia"/>
                <w:sz w:val="24"/>
              </w:rPr>
              <w:t>个工作日内</w:t>
            </w:r>
          </w:p>
        </w:tc>
      </w:tr>
      <w:tr w:rsidR="000013EE" w:rsidRPr="00E305D6" w:rsidTr="00F40A60">
        <w:trPr>
          <w:trHeight w:val="737"/>
        </w:trPr>
        <w:tc>
          <w:tcPr>
            <w:tcW w:w="1982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第二次付费</w:t>
            </w:r>
          </w:p>
        </w:tc>
        <w:tc>
          <w:tcPr>
            <w:tcW w:w="2574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占合同总额的</w:t>
            </w:r>
            <w:r w:rsidRPr="001C69C3">
              <w:rPr>
                <w:rFonts w:ascii="仿宋" w:eastAsia="仿宋" w:hAnsi="仿宋"/>
                <w:sz w:val="24"/>
              </w:rPr>
              <w:t>2</w:t>
            </w:r>
            <w:r w:rsidRPr="001C69C3">
              <w:rPr>
                <w:rFonts w:ascii="仿宋" w:eastAsia="仿宋" w:hAnsi="仿宋" w:hint="eastAsia"/>
                <w:sz w:val="24"/>
              </w:rPr>
              <w:t>0</w:t>
            </w:r>
            <w:r w:rsidRPr="001C69C3"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3740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规划</w:t>
            </w:r>
            <w:r w:rsidRPr="001C69C3">
              <w:rPr>
                <w:rFonts w:ascii="仿宋" w:eastAsia="仿宋" w:hAnsi="仿宋" w:hint="eastAsia"/>
                <w:sz w:val="24"/>
              </w:rPr>
              <w:t>方案通过专家评审会后</w:t>
            </w:r>
            <w:r w:rsidRPr="001C69C3">
              <w:rPr>
                <w:rFonts w:ascii="仿宋" w:eastAsia="仿宋" w:hAnsi="仿宋"/>
                <w:sz w:val="24"/>
              </w:rPr>
              <w:t>10</w:t>
            </w:r>
            <w:r w:rsidRPr="001C69C3">
              <w:rPr>
                <w:rFonts w:ascii="仿宋" w:eastAsia="仿宋" w:hAnsi="仿宋" w:hint="eastAsia"/>
                <w:sz w:val="24"/>
              </w:rPr>
              <w:t>个工作日内</w:t>
            </w:r>
          </w:p>
        </w:tc>
      </w:tr>
      <w:tr w:rsidR="000013EE" w:rsidRPr="00E305D6" w:rsidTr="00F40A60">
        <w:trPr>
          <w:trHeight w:val="737"/>
        </w:trPr>
        <w:tc>
          <w:tcPr>
            <w:tcW w:w="1982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第三次付费</w:t>
            </w:r>
          </w:p>
        </w:tc>
        <w:tc>
          <w:tcPr>
            <w:tcW w:w="2574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占合同总额的30</w:t>
            </w:r>
            <w:r w:rsidRPr="001C69C3"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3740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规划</w:t>
            </w:r>
            <w:r w:rsidRPr="001C69C3">
              <w:rPr>
                <w:rFonts w:ascii="仿宋" w:eastAsia="仿宋" w:hAnsi="仿宋" w:hint="eastAsia"/>
                <w:sz w:val="24"/>
              </w:rPr>
              <w:t>方案通过</w:t>
            </w:r>
            <w:r>
              <w:rPr>
                <w:rFonts w:ascii="仿宋" w:eastAsia="仿宋" w:hAnsi="仿宋" w:hint="eastAsia"/>
                <w:sz w:val="24"/>
              </w:rPr>
              <w:t>区土规会审查</w:t>
            </w:r>
            <w:r w:rsidRPr="001C69C3">
              <w:rPr>
                <w:rFonts w:ascii="仿宋" w:eastAsia="仿宋" w:hAnsi="仿宋" w:hint="eastAsia"/>
                <w:sz w:val="24"/>
              </w:rPr>
              <w:t>后</w:t>
            </w:r>
            <w:r w:rsidRPr="001C69C3">
              <w:rPr>
                <w:rFonts w:ascii="仿宋" w:eastAsia="仿宋" w:hAnsi="仿宋"/>
                <w:sz w:val="24"/>
              </w:rPr>
              <w:t>10</w:t>
            </w:r>
            <w:r w:rsidRPr="001C69C3">
              <w:rPr>
                <w:rFonts w:ascii="仿宋" w:eastAsia="仿宋" w:hAnsi="仿宋" w:hint="eastAsia"/>
                <w:sz w:val="24"/>
              </w:rPr>
              <w:t>个工作日内</w:t>
            </w:r>
          </w:p>
        </w:tc>
      </w:tr>
      <w:tr w:rsidR="000013EE" w:rsidRPr="00E305D6" w:rsidTr="00F40A60">
        <w:trPr>
          <w:trHeight w:val="737"/>
        </w:trPr>
        <w:tc>
          <w:tcPr>
            <w:tcW w:w="1982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第四次付费</w:t>
            </w:r>
          </w:p>
        </w:tc>
        <w:tc>
          <w:tcPr>
            <w:tcW w:w="2574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占合同总额的</w:t>
            </w:r>
            <w:r w:rsidRPr="001C69C3">
              <w:rPr>
                <w:rFonts w:ascii="仿宋" w:eastAsia="仿宋" w:hAnsi="仿宋"/>
                <w:sz w:val="24"/>
              </w:rPr>
              <w:t>2</w:t>
            </w:r>
            <w:r w:rsidRPr="001C69C3">
              <w:rPr>
                <w:rFonts w:ascii="仿宋" w:eastAsia="仿宋" w:hAnsi="仿宋" w:hint="eastAsia"/>
                <w:sz w:val="24"/>
              </w:rPr>
              <w:t>0</w:t>
            </w:r>
            <w:r w:rsidRPr="001C69C3"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3740" w:type="dxa"/>
            <w:vAlign w:val="center"/>
          </w:tcPr>
          <w:p w:rsidR="000013EE" w:rsidRPr="001C69C3" w:rsidRDefault="000013EE" w:rsidP="00F40A60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1C69C3">
              <w:rPr>
                <w:rFonts w:ascii="仿宋" w:eastAsia="仿宋" w:hAnsi="仿宋" w:hint="eastAsia"/>
                <w:sz w:val="24"/>
              </w:rPr>
              <w:t>提交正式成果后</w:t>
            </w:r>
            <w:r w:rsidRPr="001C69C3">
              <w:rPr>
                <w:rFonts w:ascii="仿宋" w:eastAsia="仿宋" w:hAnsi="仿宋"/>
                <w:sz w:val="24"/>
              </w:rPr>
              <w:t>10</w:t>
            </w:r>
            <w:r w:rsidRPr="001C69C3">
              <w:rPr>
                <w:rFonts w:ascii="仿宋" w:eastAsia="仿宋" w:hAnsi="仿宋" w:hint="eastAsia"/>
                <w:sz w:val="24"/>
              </w:rPr>
              <w:t>个工作日内</w:t>
            </w:r>
          </w:p>
        </w:tc>
      </w:tr>
    </w:tbl>
    <w:p w:rsidR="000013EE" w:rsidRPr="00D43137" w:rsidRDefault="000013EE" w:rsidP="000013E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013EE" w:rsidRPr="00802EA2" w:rsidRDefault="000013EE" w:rsidP="000013EE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</w:t>
      </w:r>
      <w:r w:rsidRPr="00802EA2">
        <w:rPr>
          <w:rFonts w:ascii="仿宋" w:eastAsia="仿宋" w:hAnsi="仿宋" w:hint="eastAsia"/>
          <w:sz w:val="24"/>
          <w:szCs w:val="24"/>
        </w:rPr>
        <w:t>）</w:t>
      </w:r>
      <w:r w:rsidRPr="00802EA2"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技术</w:t>
      </w:r>
      <w:r>
        <w:rPr>
          <w:rFonts w:ascii="仿宋" w:eastAsia="仿宋" w:hAnsi="仿宋"/>
          <w:sz w:val="24"/>
          <w:szCs w:val="24"/>
        </w:rPr>
        <w:t>、服务</w:t>
      </w:r>
      <w:r w:rsidRPr="00802EA2">
        <w:rPr>
          <w:rFonts w:ascii="仿宋" w:eastAsia="仿宋" w:hAnsi="仿宋" w:hint="eastAsia"/>
          <w:sz w:val="24"/>
          <w:szCs w:val="24"/>
        </w:rPr>
        <w:t>要求</w:t>
      </w:r>
    </w:p>
    <w:p w:rsidR="000013EE" w:rsidRPr="001C69C3" w:rsidRDefault="000013EE" w:rsidP="000013EE">
      <w:pPr>
        <w:spacing w:line="460" w:lineRule="exact"/>
        <w:rPr>
          <w:rFonts w:ascii="仿宋" w:eastAsia="仿宋" w:hAnsi="仿宋"/>
          <w:sz w:val="24"/>
        </w:rPr>
      </w:pPr>
      <w:r w:rsidRPr="001C69C3">
        <w:rPr>
          <w:rFonts w:ascii="仿宋" w:eastAsia="仿宋" w:hAnsi="仿宋" w:hint="eastAsia"/>
          <w:sz w:val="24"/>
        </w:rPr>
        <w:t>1、青白江区新青通风廊道融合发展规划</w:t>
      </w:r>
    </w:p>
    <w:p w:rsidR="000013EE" w:rsidRPr="001C69C3" w:rsidRDefault="000013EE" w:rsidP="000013EE">
      <w:pPr>
        <w:spacing w:line="460" w:lineRule="exact"/>
        <w:ind w:firstLineChars="200" w:firstLine="480"/>
        <w:rPr>
          <w:rFonts w:ascii="仿宋" w:eastAsia="仿宋" w:hAnsi="仿宋"/>
          <w:sz w:val="24"/>
        </w:rPr>
      </w:pPr>
      <w:r w:rsidRPr="001C69C3">
        <w:rPr>
          <w:rFonts w:ascii="仿宋" w:eastAsia="仿宋" w:hAnsi="仿宋" w:hint="eastAsia"/>
          <w:sz w:val="24"/>
        </w:rPr>
        <w:t>1.1项目规模：规划总面积约为</w:t>
      </w:r>
      <w:r w:rsidRPr="001C69C3">
        <w:rPr>
          <w:rFonts w:ascii="仿宋" w:eastAsia="仿宋" w:hAnsi="仿宋"/>
          <w:sz w:val="24"/>
        </w:rPr>
        <w:t>72</w:t>
      </w:r>
      <w:r w:rsidRPr="001C69C3">
        <w:rPr>
          <w:rFonts w:ascii="仿宋" w:eastAsia="仿宋" w:hAnsi="仿宋" w:hint="eastAsia"/>
          <w:sz w:val="24"/>
        </w:rPr>
        <w:t>平方公里，</w:t>
      </w:r>
      <w:r w:rsidRPr="001C69C3">
        <w:rPr>
          <w:rFonts w:ascii="仿宋" w:eastAsia="仿宋" w:hAnsi="仿宋"/>
          <w:sz w:val="24"/>
        </w:rPr>
        <w:t>重点片区规划范围约</w:t>
      </w:r>
      <w:r w:rsidRPr="001C69C3">
        <w:rPr>
          <w:rFonts w:ascii="仿宋" w:eastAsia="仿宋" w:hAnsi="仿宋" w:hint="eastAsia"/>
          <w:sz w:val="24"/>
        </w:rPr>
        <w:t>5.6平凡公里</w:t>
      </w:r>
      <w:r w:rsidRPr="001C69C3">
        <w:rPr>
          <w:rFonts w:ascii="仿宋" w:eastAsia="仿宋" w:hAnsi="仿宋"/>
          <w:sz w:val="24"/>
        </w:rPr>
        <w:t>。</w:t>
      </w:r>
    </w:p>
    <w:p w:rsidR="000013EE" w:rsidRPr="001C69C3" w:rsidRDefault="000013EE" w:rsidP="000013EE">
      <w:pPr>
        <w:spacing w:line="460" w:lineRule="exact"/>
        <w:ind w:firstLineChars="200" w:firstLine="480"/>
        <w:rPr>
          <w:rFonts w:ascii="仿宋" w:eastAsia="仿宋" w:hAnsi="仿宋"/>
          <w:sz w:val="24"/>
        </w:rPr>
      </w:pPr>
      <w:r w:rsidRPr="001C69C3">
        <w:rPr>
          <w:rFonts w:ascii="仿宋" w:eastAsia="仿宋" w:hAnsi="仿宋" w:hint="eastAsia"/>
          <w:sz w:val="24"/>
        </w:rPr>
        <w:lastRenderedPageBreak/>
        <w:t>1.</w:t>
      </w:r>
      <w:r w:rsidRPr="001C69C3">
        <w:rPr>
          <w:rFonts w:ascii="仿宋" w:eastAsia="仿宋" w:hAnsi="仿宋"/>
          <w:sz w:val="24"/>
        </w:rPr>
        <w:t>2</w:t>
      </w:r>
      <w:r w:rsidRPr="001C69C3">
        <w:rPr>
          <w:rFonts w:ascii="仿宋" w:eastAsia="仿宋" w:hAnsi="仿宋" w:hint="eastAsia"/>
          <w:sz w:val="24"/>
        </w:rPr>
        <w:t>服务内容及要求</w:t>
      </w:r>
      <w:r>
        <w:rPr>
          <w:rFonts w:ascii="仿宋" w:eastAsia="仿宋" w:hAnsi="仿宋" w:hint="eastAsia"/>
          <w:sz w:val="24"/>
        </w:rPr>
        <w:t>:</w:t>
      </w:r>
      <w:bookmarkStart w:id="2" w:name="_GoBack"/>
      <w:bookmarkEnd w:id="2"/>
    </w:p>
    <w:p w:rsidR="000013EE" w:rsidRPr="001C69C3" w:rsidRDefault="000013EE" w:rsidP="000013EE">
      <w:pPr>
        <w:spacing w:line="460" w:lineRule="exact"/>
        <w:ind w:leftChars="200" w:left="4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1.2.1</w:t>
      </w:r>
      <w:r w:rsidRPr="001C69C3">
        <w:rPr>
          <w:rFonts w:ascii="仿宋" w:eastAsia="仿宋" w:hAnsi="仿宋"/>
          <w:sz w:val="24"/>
        </w:rPr>
        <w:t>新青通风廊道融合发展</w:t>
      </w:r>
      <w:r w:rsidRPr="001C69C3">
        <w:rPr>
          <w:rFonts w:ascii="仿宋" w:eastAsia="仿宋" w:hAnsi="仿宋" w:hint="eastAsia"/>
          <w:sz w:val="24"/>
        </w:rPr>
        <w:t>战略</w:t>
      </w:r>
      <w:r w:rsidRPr="001C69C3">
        <w:rPr>
          <w:rFonts w:ascii="仿宋" w:eastAsia="仿宋" w:hAnsi="仿宋"/>
          <w:sz w:val="24"/>
        </w:rPr>
        <w:t>研究</w:t>
      </w:r>
      <w:r w:rsidRPr="001C69C3">
        <w:rPr>
          <w:rFonts w:ascii="仿宋" w:eastAsia="仿宋" w:hAnsi="仿宋" w:hint="eastAsia"/>
          <w:sz w:val="24"/>
        </w:rPr>
        <w:t>：</w:t>
      </w:r>
      <w:r w:rsidRPr="001C69C3">
        <w:rPr>
          <w:rFonts w:ascii="仿宋" w:eastAsia="仿宋" w:hAnsi="仿宋"/>
          <w:sz w:val="24"/>
        </w:rPr>
        <w:t>包括</w:t>
      </w:r>
      <w:r w:rsidRPr="001C69C3">
        <w:rPr>
          <w:rFonts w:ascii="仿宋" w:eastAsia="仿宋" w:hAnsi="仿宋" w:hint="eastAsia"/>
          <w:sz w:val="24"/>
        </w:rPr>
        <w:t>政策背景解读、相关规划解读、现状分析、发展研判、城乡</w:t>
      </w:r>
      <w:r w:rsidRPr="001C69C3">
        <w:rPr>
          <w:rFonts w:ascii="仿宋" w:eastAsia="仿宋" w:hAnsi="仿宋"/>
          <w:sz w:val="24"/>
        </w:rPr>
        <w:t>融合发展路径</w:t>
      </w:r>
      <w:r w:rsidRPr="001C69C3">
        <w:rPr>
          <w:rFonts w:ascii="仿宋" w:eastAsia="仿宋" w:hAnsi="仿宋" w:hint="eastAsia"/>
          <w:sz w:val="24"/>
        </w:rPr>
        <w:t>；</w:t>
      </w:r>
    </w:p>
    <w:p w:rsidR="000013EE" w:rsidRPr="001C69C3" w:rsidRDefault="000013EE" w:rsidP="000013EE">
      <w:pPr>
        <w:spacing w:line="460" w:lineRule="exact"/>
        <w:ind w:leftChars="200" w:left="4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1.2.2</w:t>
      </w:r>
      <w:r w:rsidRPr="001C69C3">
        <w:rPr>
          <w:rFonts w:ascii="仿宋" w:eastAsia="仿宋" w:hAnsi="仿宋"/>
          <w:sz w:val="24"/>
        </w:rPr>
        <w:t>港城大道重点片区提升规划</w:t>
      </w:r>
      <w:r w:rsidRPr="001C69C3">
        <w:rPr>
          <w:rFonts w:ascii="仿宋" w:eastAsia="仿宋" w:hAnsi="仿宋" w:hint="eastAsia"/>
          <w:sz w:val="24"/>
        </w:rPr>
        <w:t>研究：包括场地</w:t>
      </w:r>
      <w:r w:rsidRPr="001C69C3">
        <w:rPr>
          <w:rFonts w:ascii="仿宋" w:eastAsia="仿宋" w:hAnsi="仿宋"/>
          <w:sz w:val="24"/>
        </w:rPr>
        <w:t>认知、</w:t>
      </w:r>
      <w:r w:rsidRPr="001C69C3">
        <w:rPr>
          <w:rFonts w:ascii="仿宋" w:eastAsia="仿宋" w:hAnsi="仿宋" w:hint="eastAsia"/>
          <w:sz w:val="24"/>
        </w:rPr>
        <w:t>定位</w:t>
      </w:r>
      <w:r w:rsidRPr="001C69C3">
        <w:rPr>
          <w:rFonts w:ascii="仿宋" w:eastAsia="仿宋" w:hAnsi="仿宋"/>
          <w:sz w:val="24"/>
        </w:rPr>
        <w:t>目标、业态植入、</w:t>
      </w:r>
      <w:r w:rsidRPr="001C69C3">
        <w:rPr>
          <w:rFonts w:ascii="仿宋" w:eastAsia="仿宋" w:hAnsi="仿宋" w:hint="eastAsia"/>
          <w:sz w:val="24"/>
        </w:rPr>
        <w:t>界面</w:t>
      </w:r>
      <w:r w:rsidRPr="001C69C3">
        <w:rPr>
          <w:rFonts w:ascii="仿宋" w:eastAsia="仿宋" w:hAnsi="仿宋"/>
          <w:sz w:val="24"/>
        </w:rPr>
        <w:t>控制；</w:t>
      </w:r>
    </w:p>
    <w:p w:rsidR="000013EE" w:rsidRPr="001C69C3" w:rsidRDefault="000013EE" w:rsidP="000013EE">
      <w:pPr>
        <w:spacing w:line="460" w:lineRule="exact"/>
        <w:ind w:leftChars="200" w:left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.2.3</w:t>
      </w:r>
      <w:r w:rsidRPr="001C69C3">
        <w:rPr>
          <w:rFonts w:ascii="仿宋" w:eastAsia="仿宋" w:hAnsi="仿宋" w:hint="eastAsia"/>
          <w:sz w:val="24"/>
        </w:rPr>
        <w:t>特色林盘院落设计研究：包括现状</w:t>
      </w:r>
      <w:r w:rsidRPr="001C69C3">
        <w:rPr>
          <w:rFonts w:ascii="仿宋" w:eastAsia="仿宋" w:hAnsi="仿宋"/>
          <w:sz w:val="24"/>
        </w:rPr>
        <w:t>梳理、</w:t>
      </w:r>
      <w:r w:rsidRPr="001C69C3">
        <w:rPr>
          <w:rFonts w:ascii="仿宋" w:eastAsia="仿宋" w:hAnsi="仿宋" w:hint="eastAsia"/>
          <w:sz w:val="24"/>
        </w:rPr>
        <w:t>林盘</w:t>
      </w:r>
      <w:r w:rsidRPr="001C69C3">
        <w:rPr>
          <w:rFonts w:ascii="仿宋" w:eastAsia="仿宋" w:hAnsi="仿宋"/>
          <w:sz w:val="24"/>
        </w:rPr>
        <w:t>分类、</w:t>
      </w:r>
      <w:r w:rsidRPr="001C69C3">
        <w:rPr>
          <w:rFonts w:ascii="仿宋" w:eastAsia="仿宋" w:hAnsi="仿宋" w:hint="eastAsia"/>
          <w:sz w:val="24"/>
        </w:rPr>
        <w:t>林盘</w:t>
      </w:r>
      <w:r w:rsidRPr="001C69C3">
        <w:rPr>
          <w:rFonts w:ascii="仿宋" w:eastAsia="仿宋" w:hAnsi="仿宋"/>
          <w:sz w:val="24"/>
        </w:rPr>
        <w:t>体系规划</w:t>
      </w:r>
      <w:r w:rsidRPr="001C69C3">
        <w:rPr>
          <w:rFonts w:ascii="仿宋" w:eastAsia="仿宋" w:hAnsi="仿宋" w:hint="eastAsia"/>
          <w:sz w:val="24"/>
        </w:rPr>
        <w:t>、重点</w:t>
      </w:r>
      <w:r w:rsidRPr="001C69C3">
        <w:rPr>
          <w:rFonts w:ascii="仿宋" w:eastAsia="仿宋" w:hAnsi="仿宋"/>
          <w:sz w:val="24"/>
        </w:rPr>
        <w:t>林盘设计示范。</w:t>
      </w:r>
    </w:p>
    <w:p w:rsidR="000013EE" w:rsidRPr="001C69C3" w:rsidRDefault="000013EE" w:rsidP="000013EE">
      <w:pPr>
        <w:spacing w:line="460" w:lineRule="exact"/>
        <w:ind w:firstLineChars="200" w:firstLine="480"/>
        <w:rPr>
          <w:rFonts w:ascii="仿宋" w:eastAsia="仿宋" w:hAnsi="仿宋"/>
          <w:sz w:val="24"/>
        </w:rPr>
      </w:pPr>
      <w:r w:rsidRPr="001C69C3">
        <w:rPr>
          <w:rFonts w:ascii="仿宋" w:eastAsia="仿宋" w:hAnsi="仿宋" w:hint="eastAsia"/>
          <w:sz w:val="24"/>
        </w:rPr>
        <w:t>设计内容应当包括但不限于以上内容，具体服务内容及要求在合同签订时进行约定，以合同为准。</w:t>
      </w:r>
    </w:p>
    <w:p w:rsidR="000013EE" w:rsidRPr="001C69C3" w:rsidRDefault="000013EE" w:rsidP="000013EE">
      <w:pPr>
        <w:spacing w:line="460" w:lineRule="exact"/>
        <w:ind w:firstLineChars="200" w:firstLine="480"/>
        <w:rPr>
          <w:rFonts w:ascii="仿宋" w:eastAsia="仿宋" w:hAnsi="仿宋"/>
          <w:sz w:val="24"/>
        </w:rPr>
      </w:pPr>
      <w:r w:rsidRPr="001C69C3">
        <w:rPr>
          <w:rFonts w:ascii="仿宋" w:eastAsia="仿宋" w:hAnsi="仿宋" w:hint="eastAsia"/>
          <w:sz w:val="24"/>
        </w:rPr>
        <w:t>1.</w:t>
      </w:r>
      <w:r w:rsidRPr="001C69C3">
        <w:rPr>
          <w:rFonts w:ascii="仿宋" w:eastAsia="仿宋" w:hAnsi="仿宋"/>
          <w:sz w:val="24"/>
        </w:rPr>
        <w:t>3</w:t>
      </w:r>
      <w:r w:rsidRPr="001C69C3">
        <w:rPr>
          <w:rFonts w:ascii="仿宋" w:eastAsia="仿宋" w:hAnsi="仿宋" w:hint="eastAsia"/>
          <w:sz w:val="24"/>
        </w:rPr>
        <w:t>成果内容及要求</w:t>
      </w:r>
      <w:r>
        <w:rPr>
          <w:rFonts w:ascii="仿宋" w:eastAsia="仿宋" w:hAnsi="仿宋" w:hint="eastAsia"/>
          <w:sz w:val="24"/>
        </w:rPr>
        <w:t>：</w:t>
      </w:r>
    </w:p>
    <w:p w:rsidR="000013EE" w:rsidRPr="001C69C3" w:rsidRDefault="000013EE" w:rsidP="000013EE">
      <w:pPr>
        <w:spacing w:line="4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1.3.1</w:t>
      </w:r>
      <w:r w:rsidRPr="001C69C3">
        <w:rPr>
          <w:rFonts w:ascii="仿宋" w:eastAsia="仿宋" w:hAnsi="仿宋" w:hint="eastAsia"/>
          <w:sz w:val="24"/>
        </w:rPr>
        <w:t>设计成果主要包括项目背景及上位规划研究、现状问题及发展研判、规划定位及城乡融合发展策略、总体空间结构、空间布局规划（包括城乡发展格局、镇村体系、生态格局、产业布局、基础设施布局、公服设施布局等）、重点</w:t>
      </w:r>
      <w:r w:rsidRPr="001C69C3">
        <w:rPr>
          <w:rFonts w:ascii="仿宋" w:eastAsia="仿宋" w:hAnsi="仿宋"/>
          <w:sz w:val="24"/>
        </w:rPr>
        <w:t>片区提升规划</w:t>
      </w:r>
      <w:r w:rsidRPr="001C69C3">
        <w:rPr>
          <w:rFonts w:ascii="仿宋" w:eastAsia="仿宋" w:hAnsi="仿宋" w:hint="eastAsia"/>
          <w:sz w:val="24"/>
        </w:rPr>
        <w:t>研究</w:t>
      </w:r>
      <w:r w:rsidRPr="001C69C3">
        <w:rPr>
          <w:rFonts w:ascii="仿宋" w:eastAsia="仿宋" w:hAnsi="仿宋"/>
          <w:sz w:val="24"/>
        </w:rPr>
        <w:t>方案及</w:t>
      </w:r>
      <w:r w:rsidRPr="001C69C3">
        <w:rPr>
          <w:rFonts w:ascii="仿宋" w:eastAsia="仿宋" w:hAnsi="仿宋" w:hint="eastAsia"/>
          <w:sz w:val="24"/>
        </w:rPr>
        <w:t>特色</w:t>
      </w:r>
      <w:r w:rsidRPr="001C69C3">
        <w:rPr>
          <w:rFonts w:ascii="仿宋" w:eastAsia="仿宋" w:hAnsi="仿宋"/>
          <w:sz w:val="24"/>
        </w:rPr>
        <w:t>林盘</w:t>
      </w:r>
      <w:r w:rsidRPr="001C69C3">
        <w:rPr>
          <w:rFonts w:ascii="仿宋" w:eastAsia="仿宋" w:hAnsi="仿宋" w:hint="eastAsia"/>
          <w:sz w:val="24"/>
        </w:rPr>
        <w:t>院落</w:t>
      </w:r>
      <w:r w:rsidRPr="001C69C3">
        <w:rPr>
          <w:rFonts w:ascii="仿宋" w:eastAsia="仿宋" w:hAnsi="仿宋"/>
          <w:sz w:val="24"/>
        </w:rPr>
        <w:t>设计研究方案</w:t>
      </w:r>
      <w:r w:rsidRPr="001C69C3">
        <w:rPr>
          <w:rFonts w:ascii="仿宋" w:eastAsia="仿宋" w:hAnsi="仿宋" w:hint="eastAsia"/>
          <w:sz w:val="24"/>
        </w:rPr>
        <w:t>。</w:t>
      </w:r>
    </w:p>
    <w:p w:rsidR="006270D6" w:rsidRDefault="000013EE" w:rsidP="000013EE">
      <w:r>
        <w:rPr>
          <w:rFonts w:ascii="仿宋" w:eastAsia="仿宋" w:hAnsi="仿宋"/>
          <w:sz w:val="24"/>
        </w:rPr>
        <w:t>1.3.2</w:t>
      </w:r>
      <w:r w:rsidRPr="001C69C3">
        <w:rPr>
          <w:rFonts w:ascii="仿宋" w:eastAsia="仿宋" w:hAnsi="仿宋" w:hint="eastAsia"/>
          <w:sz w:val="24"/>
        </w:rPr>
        <w:t>提交最终成果包括纸质文件及相应的电子文件。具体内容为：设计成果图册6套（A3规格）；演示PPT文件1套；电子文件2套（刻录光盘包括全部的文档文件、图片文件和CAD、PPT文件四部分组成）。</w:t>
      </w:r>
    </w:p>
    <w:sectPr w:rsidR="00627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CF" w:rsidRDefault="000C33CF" w:rsidP="000013EE">
      <w:pPr>
        <w:spacing w:after="0" w:line="240" w:lineRule="auto"/>
      </w:pPr>
      <w:r>
        <w:separator/>
      </w:r>
    </w:p>
  </w:endnote>
  <w:endnote w:type="continuationSeparator" w:id="0">
    <w:p w:rsidR="000C33CF" w:rsidRDefault="000C33CF" w:rsidP="0000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CF" w:rsidRDefault="000C33CF" w:rsidP="000013EE">
      <w:pPr>
        <w:spacing w:after="0" w:line="240" w:lineRule="auto"/>
      </w:pPr>
      <w:r>
        <w:separator/>
      </w:r>
    </w:p>
  </w:footnote>
  <w:footnote w:type="continuationSeparator" w:id="0">
    <w:p w:rsidR="000C33CF" w:rsidRDefault="000C33CF" w:rsidP="0000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0"/>
    <w:rsid w:val="000013EE"/>
    <w:rsid w:val="000C33CF"/>
    <w:rsid w:val="006270D6"/>
    <w:rsid w:val="00A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F4DE0-1C82-4E79-8959-8C49A84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EE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013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013E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3EE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3E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013E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013EE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0013EE"/>
    <w:pPr>
      <w:ind w:firstLineChars="200" w:firstLine="200"/>
    </w:pPr>
  </w:style>
  <w:style w:type="table" w:styleId="a6">
    <w:name w:val="Table Grid"/>
    <w:basedOn w:val="a1"/>
    <w:qFormat/>
    <w:rsid w:val="000013E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2021-08-05T06:43:00Z</dcterms:created>
  <dcterms:modified xsi:type="dcterms:W3CDTF">2021-08-05T06:43:00Z</dcterms:modified>
</cp:coreProperties>
</file>