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A" w:rsidRDefault="00A4304A" w:rsidP="00A4304A">
      <w:pPr>
        <w:spacing w:line="400" w:lineRule="exact"/>
        <w:ind w:firstLineChars="49" w:firstLine="118"/>
        <w:jc w:val="left"/>
        <w:rPr>
          <w:rFonts w:ascii="仿宋" w:eastAsia="仿宋" w:hAnsi="仿宋"/>
          <w:b/>
          <w:bCs/>
          <w:sz w:val="24"/>
        </w:rPr>
      </w:pPr>
      <w:bookmarkStart w:id="0" w:name="PO_默认文件内容_27"/>
      <w:r>
        <w:rPr>
          <w:rFonts w:ascii="仿宋" w:eastAsia="仿宋" w:hAnsi="仿宋" w:hint="eastAsia"/>
          <w:b/>
          <w:bCs/>
          <w:sz w:val="24"/>
        </w:rPr>
        <w:t>前提：</w:t>
      </w:r>
      <w:r>
        <w:rPr>
          <w:rFonts w:ascii="仿宋" w:eastAsia="仿宋" w:hAnsi="仿宋"/>
          <w:b/>
          <w:bCs/>
          <w:sz w:val="24"/>
        </w:rPr>
        <w:t>本章采购需求中标注“*”号的条款为本次磋商采购项目的实质性要求，供应商应全部满足。</w:t>
      </w:r>
    </w:p>
    <w:bookmarkEnd w:id="0"/>
    <w:p w:rsidR="00A4304A" w:rsidRPr="00F05752" w:rsidRDefault="00A4304A" w:rsidP="00A4304A">
      <w:pPr>
        <w:pStyle w:val="2"/>
        <w:spacing w:line="400" w:lineRule="exact"/>
        <w:ind w:firstLineChars="98" w:firstLine="236"/>
        <w:rPr>
          <w:rFonts w:ascii="仿宋" w:eastAsia="仿宋" w:hAnsi="仿宋"/>
          <w:sz w:val="24"/>
          <w:szCs w:val="24"/>
        </w:rPr>
      </w:pPr>
      <w:r w:rsidRPr="00F05752">
        <w:rPr>
          <w:rFonts w:ascii="仿宋" w:eastAsia="仿宋" w:hAnsi="仿宋" w:hint="eastAsia"/>
          <w:sz w:val="24"/>
          <w:szCs w:val="24"/>
        </w:rPr>
        <w:t>一. 项目概述</w:t>
      </w:r>
    </w:p>
    <w:p w:rsidR="00A4304A" w:rsidRPr="00F05752" w:rsidRDefault="00A4304A" w:rsidP="00A4304A">
      <w:pPr>
        <w:pStyle w:val="a5"/>
        <w:spacing w:line="400" w:lineRule="exact"/>
        <w:ind w:firstLine="480"/>
        <w:rPr>
          <w:rFonts w:ascii="仿宋" w:eastAsia="仿宋" w:hAnsi="仿宋"/>
          <w:bCs/>
          <w:sz w:val="24"/>
        </w:rPr>
      </w:pPr>
      <w:r w:rsidRPr="00F05752">
        <w:rPr>
          <w:rFonts w:ascii="仿宋" w:eastAsia="仿宋" w:hAnsi="仿宋" w:hint="eastAsia"/>
          <w:bCs/>
          <w:sz w:val="24"/>
        </w:rPr>
        <w:t>1、项目简述：</w:t>
      </w:r>
    </w:p>
    <w:p w:rsidR="00A4304A" w:rsidRPr="00F05752" w:rsidRDefault="00A4304A" w:rsidP="00A4304A">
      <w:pPr>
        <w:pStyle w:val="a5"/>
        <w:spacing w:line="400" w:lineRule="exact"/>
        <w:ind w:firstLine="480"/>
        <w:rPr>
          <w:rFonts w:ascii="仿宋" w:eastAsia="仿宋" w:hAnsi="仿宋"/>
          <w:bCs/>
          <w:sz w:val="24"/>
        </w:rPr>
      </w:pPr>
      <w:r w:rsidRPr="00F05752">
        <w:rPr>
          <w:rFonts w:ascii="仿宋" w:eastAsia="仿宋" w:hAnsi="仿宋" w:hint="eastAsia"/>
          <w:bCs/>
          <w:sz w:val="24"/>
        </w:rPr>
        <w:t>根据《四川省老龄工作委员会 四川省民政厅 四川省财政厅 中国保险监督管理委员会四川监管局转发关于开展老年人意外伤害保险工作的指导意见的通知》（川老委办发〔2016〕15）号要求，为提高老年人及其家庭抗风险能力，减少因老年人意外伤害引发的矛盾和纠纷，促进社会和谐稳定，我区决定年满60周岁及以上的空巢（留守）、失能、低保老人、城乡特困人员、重点优抚对象，年满60周岁及以上计划生育家庭特别扶助对象，年满70周岁及以上的农村部分计划生育家庭奖励扶助对象购买意外伤害保险。</w:t>
      </w:r>
    </w:p>
    <w:p w:rsidR="00A4304A" w:rsidRPr="00F05752" w:rsidRDefault="00A4304A" w:rsidP="00A4304A">
      <w:pPr>
        <w:pStyle w:val="a5"/>
        <w:spacing w:line="400" w:lineRule="exact"/>
        <w:ind w:firstLine="480"/>
        <w:rPr>
          <w:rFonts w:ascii="仿宋" w:eastAsia="仿宋" w:hAnsi="仿宋"/>
          <w:bCs/>
          <w:sz w:val="24"/>
        </w:rPr>
      </w:pPr>
      <w:r w:rsidRPr="00F05752">
        <w:rPr>
          <w:rFonts w:ascii="仿宋" w:eastAsia="仿宋" w:hAnsi="仿宋" w:hint="eastAsia"/>
          <w:bCs/>
          <w:sz w:val="24"/>
        </w:rPr>
        <w:t>2、标的名称及所属行业：</w:t>
      </w:r>
    </w:p>
    <w:p w:rsidR="00A4304A" w:rsidRPr="00F05752" w:rsidRDefault="00A4304A" w:rsidP="00A4304A">
      <w:pPr>
        <w:pStyle w:val="a5"/>
        <w:spacing w:line="400" w:lineRule="exact"/>
        <w:ind w:firstLine="480"/>
        <w:rPr>
          <w:rFonts w:ascii="仿宋" w:eastAsia="仿宋" w:hAnsi="仿宋"/>
          <w:bCs/>
          <w:sz w:val="24"/>
        </w:rPr>
      </w:pPr>
      <w:r w:rsidRPr="00F05752">
        <w:rPr>
          <w:rFonts w:ascii="仿宋" w:eastAsia="仿宋" w:hAnsi="仿宋" w:hint="eastAsia"/>
          <w:bCs/>
          <w:sz w:val="24"/>
        </w:rPr>
        <w:t>2</w:t>
      </w:r>
      <w:r w:rsidRPr="00F05752">
        <w:rPr>
          <w:rFonts w:ascii="仿宋" w:eastAsia="仿宋" w:hAnsi="仿宋"/>
          <w:bCs/>
          <w:sz w:val="24"/>
        </w:rPr>
        <w:t>.1</w:t>
      </w:r>
      <w:r w:rsidRPr="00F05752">
        <w:rPr>
          <w:rFonts w:ascii="仿宋" w:eastAsia="仿宋" w:hAnsi="仿宋" w:hint="eastAsia"/>
          <w:bCs/>
          <w:sz w:val="24"/>
        </w:rPr>
        <w:t>标的名称：成都市龙泉驿区卫生健康局2021年老年人意外保险服务</w:t>
      </w:r>
    </w:p>
    <w:p w:rsidR="00A4304A" w:rsidRPr="00F05752" w:rsidRDefault="00A4304A" w:rsidP="00A4304A">
      <w:pPr>
        <w:pStyle w:val="a5"/>
        <w:spacing w:line="400" w:lineRule="exact"/>
        <w:ind w:firstLine="480"/>
        <w:rPr>
          <w:rFonts w:ascii="仿宋" w:eastAsia="仿宋" w:hAnsi="仿宋"/>
          <w:bCs/>
          <w:sz w:val="24"/>
        </w:rPr>
      </w:pPr>
      <w:r w:rsidRPr="00F05752">
        <w:rPr>
          <w:rFonts w:ascii="仿宋" w:eastAsia="仿宋" w:hAnsi="仿宋" w:hint="eastAsia"/>
          <w:bCs/>
          <w:sz w:val="24"/>
        </w:rPr>
        <w:t>2</w:t>
      </w:r>
      <w:r w:rsidRPr="00F05752">
        <w:rPr>
          <w:rFonts w:ascii="仿宋" w:eastAsia="仿宋" w:hAnsi="仿宋"/>
          <w:bCs/>
          <w:sz w:val="24"/>
        </w:rPr>
        <w:t>.2</w:t>
      </w:r>
      <w:r w:rsidRPr="00F05752">
        <w:rPr>
          <w:rFonts w:ascii="仿宋" w:eastAsia="仿宋" w:hAnsi="仿宋" w:hint="eastAsia"/>
          <w:bCs/>
          <w:sz w:val="24"/>
        </w:rPr>
        <w:t>所属行业：其他未列明行业</w:t>
      </w:r>
    </w:p>
    <w:p w:rsidR="00A4304A" w:rsidRPr="00F05752" w:rsidRDefault="00A4304A" w:rsidP="00A4304A">
      <w:pPr>
        <w:pStyle w:val="2"/>
        <w:spacing w:line="400" w:lineRule="exact"/>
        <w:ind w:firstLineChars="98" w:firstLine="236"/>
        <w:rPr>
          <w:rFonts w:ascii="仿宋" w:eastAsia="仿宋" w:hAnsi="仿宋"/>
          <w:sz w:val="24"/>
          <w:szCs w:val="24"/>
        </w:rPr>
      </w:pPr>
      <w:r w:rsidRPr="00F05752">
        <w:rPr>
          <w:rFonts w:ascii="仿宋" w:eastAsia="仿宋" w:hAnsi="仿宋" w:hint="eastAsia"/>
          <w:sz w:val="24"/>
          <w:szCs w:val="24"/>
        </w:rPr>
        <w:t>*二.商务要求</w:t>
      </w:r>
    </w:p>
    <w:p w:rsidR="00A4304A" w:rsidRPr="00F05752" w:rsidRDefault="00A4304A" w:rsidP="00A4304A">
      <w:pPr>
        <w:pStyle w:val="a5"/>
        <w:spacing w:line="360" w:lineRule="auto"/>
        <w:ind w:firstLine="480"/>
        <w:rPr>
          <w:rFonts w:ascii="仿宋" w:eastAsia="仿宋" w:hAnsi="仿宋"/>
          <w:bCs/>
          <w:sz w:val="24"/>
        </w:rPr>
      </w:pPr>
      <w:r w:rsidRPr="00F05752">
        <w:rPr>
          <w:rFonts w:ascii="仿宋" w:eastAsia="仿宋" w:hAnsi="仿宋" w:hint="eastAsia"/>
          <w:bCs/>
          <w:sz w:val="24"/>
        </w:rPr>
        <w:t>1.付款方式：合同签订后，按实际购买保险人数据实结算，采购人自收到中标人足额发票后25日内履行支付程序，将资金按时足额支付到约定账户。</w:t>
      </w:r>
    </w:p>
    <w:p w:rsidR="00A4304A" w:rsidRPr="00F05752" w:rsidRDefault="00A4304A" w:rsidP="00A4304A">
      <w:pPr>
        <w:pStyle w:val="a5"/>
        <w:spacing w:line="360" w:lineRule="auto"/>
        <w:ind w:firstLine="480"/>
        <w:rPr>
          <w:rFonts w:ascii="仿宋" w:eastAsia="仿宋" w:hAnsi="仿宋"/>
          <w:bCs/>
          <w:sz w:val="24"/>
        </w:rPr>
      </w:pPr>
      <w:r w:rsidRPr="00F05752">
        <w:rPr>
          <w:rFonts w:ascii="仿宋" w:eastAsia="仿宋" w:hAnsi="仿宋" w:hint="eastAsia"/>
          <w:bCs/>
          <w:sz w:val="24"/>
        </w:rPr>
        <w:t>2.服务时间：合同签订后，采购人25日内付款合同金额的100%，合同总金额=实际参保人数×成交单价，资金支付完成后3天内完成人员保险购买并出具保单。</w:t>
      </w:r>
    </w:p>
    <w:p w:rsidR="00A4304A" w:rsidRPr="00F05752" w:rsidRDefault="00A4304A" w:rsidP="00A4304A">
      <w:pPr>
        <w:pStyle w:val="a5"/>
        <w:spacing w:line="360" w:lineRule="auto"/>
        <w:ind w:firstLine="480"/>
        <w:rPr>
          <w:rFonts w:ascii="仿宋" w:eastAsia="仿宋" w:hAnsi="仿宋"/>
        </w:rPr>
      </w:pPr>
      <w:r w:rsidRPr="00F05752">
        <w:rPr>
          <w:rFonts w:ascii="仿宋" w:eastAsia="仿宋" w:hAnsi="仿宋" w:hint="eastAsia"/>
          <w:bCs/>
          <w:sz w:val="24"/>
        </w:rPr>
        <w:t>3.保险期限：保险合同生效后1年。</w:t>
      </w:r>
    </w:p>
    <w:p w:rsidR="00A4304A" w:rsidRPr="00F05752" w:rsidRDefault="00A4304A" w:rsidP="00A4304A">
      <w:pPr>
        <w:pStyle w:val="2"/>
        <w:spacing w:line="400" w:lineRule="exact"/>
        <w:ind w:firstLineChars="98" w:firstLine="236"/>
        <w:rPr>
          <w:rFonts w:ascii="仿宋" w:eastAsia="仿宋" w:hAnsi="仿宋"/>
          <w:sz w:val="24"/>
          <w:szCs w:val="24"/>
        </w:rPr>
      </w:pPr>
      <w:r w:rsidRPr="00F05752">
        <w:rPr>
          <w:rFonts w:ascii="仿宋" w:eastAsia="仿宋" w:hAnsi="仿宋" w:hint="eastAsia"/>
          <w:sz w:val="24"/>
          <w:szCs w:val="24"/>
        </w:rPr>
        <w:t>三.技术服务要求</w:t>
      </w:r>
    </w:p>
    <w:p w:rsidR="00A4304A" w:rsidRPr="00F05752" w:rsidRDefault="00A4304A" w:rsidP="00A4304A">
      <w:pPr>
        <w:tabs>
          <w:tab w:val="left" w:pos="7665"/>
        </w:tabs>
        <w:spacing w:after="160" w:line="360" w:lineRule="auto"/>
        <w:ind w:firstLineChars="200" w:firstLine="482"/>
        <w:rPr>
          <w:rFonts w:ascii="仿宋" w:eastAsia="仿宋" w:hAnsi="仿宋"/>
          <w:b/>
          <w:bCs/>
          <w:sz w:val="24"/>
        </w:rPr>
      </w:pPr>
      <w:r w:rsidRPr="00F05752">
        <w:rPr>
          <w:rFonts w:ascii="仿宋" w:eastAsia="仿宋" w:hAnsi="仿宋" w:hint="eastAsia"/>
          <w:b/>
          <w:bCs/>
          <w:sz w:val="24"/>
        </w:rPr>
        <w:t>（一）、服务内容及要求</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1、保险对象（总人数预计为8862人，以后期实际参保人数为准）：</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年满60周岁及以上的空巢（留守）、失能、低保老人、城乡特困人员、重点优抚对象；</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年满60周岁及以上计划生育家庭特别扶助对象；</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lastRenderedPageBreak/>
        <w:t>年满70周岁及以上的农村部分计划生育家庭奖励扶助对象。</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2、保险缴费：</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保险费用由卫健局采购并统一支付，参保人不支付保险费。</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3、被保险人与受益人：</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本保险的被保险人为参保的三类老年人，受益人为法律规定对象，被保险人作为本保险第一求偿对象，当被保险人无法求偿时由受益人进行求偿。</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4、保险责任限额：</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保险金额即老年人投保后能够获得赔偿的最高金额，具体以保险合同为准，初步确定为：</w:t>
      </w:r>
    </w:p>
    <w:tbl>
      <w:tblPr>
        <w:tblStyle w:val="a7"/>
        <w:tblpPr w:leftFromText="180" w:rightFromText="180" w:vertAnchor="text" w:tblpY="1"/>
        <w:tblOverlap w:val="never"/>
        <w:tblW w:w="5457" w:type="pct"/>
        <w:tblLook w:val="04A0" w:firstRow="1" w:lastRow="0" w:firstColumn="1" w:lastColumn="0" w:noHBand="0" w:noVBand="1"/>
      </w:tblPr>
      <w:tblGrid>
        <w:gridCol w:w="1450"/>
        <w:gridCol w:w="1686"/>
        <w:gridCol w:w="5918"/>
      </w:tblGrid>
      <w:tr w:rsidR="00A4304A" w:rsidRPr="00F05752" w:rsidTr="00AF4AF3">
        <w:tc>
          <w:tcPr>
            <w:tcW w:w="801" w:type="pct"/>
            <w:vAlign w:val="center"/>
          </w:tcPr>
          <w:p w:rsidR="00A4304A" w:rsidRPr="00F05752" w:rsidRDefault="00A4304A" w:rsidP="00AF4AF3">
            <w:pPr>
              <w:tabs>
                <w:tab w:val="left" w:pos="7665"/>
              </w:tabs>
              <w:spacing w:after="160" w:line="360" w:lineRule="auto"/>
              <w:jc w:val="center"/>
              <w:rPr>
                <w:rFonts w:ascii="仿宋" w:eastAsia="仿宋" w:hAnsi="仿宋"/>
                <w:sz w:val="24"/>
              </w:rPr>
            </w:pPr>
            <w:r w:rsidRPr="00F05752">
              <w:rPr>
                <w:rFonts w:ascii="仿宋" w:eastAsia="仿宋" w:hAnsi="仿宋" w:hint="eastAsia"/>
                <w:b/>
                <w:sz w:val="24"/>
              </w:rPr>
              <w:t>保险责任</w:t>
            </w:r>
          </w:p>
        </w:tc>
        <w:tc>
          <w:tcPr>
            <w:tcW w:w="931" w:type="pct"/>
            <w:vAlign w:val="center"/>
          </w:tcPr>
          <w:p w:rsidR="00A4304A" w:rsidRPr="00F05752" w:rsidRDefault="00A4304A" w:rsidP="00AF4AF3">
            <w:pPr>
              <w:tabs>
                <w:tab w:val="left" w:pos="7665"/>
              </w:tabs>
              <w:spacing w:after="160" w:line="360" w:lineRule="auto"/>
              <w:jc w:val="center"/>
              <w:rPr>
                <w:rFonts w:ascii="仿宋" w:eastAsia="仿宋" w:hAnsi="仿宋"/>
                <w:sz w:val="24"/>
              </w:rPr>
            </w:pPr>
            <w:r w:rsidRPr="00F05752">
              <w:rPr>
                <w:rFonts w:ascii="仿宋" w:eastAsia="仿宋" w:hAnsi="仿宋" w:hint="eastAsia"/>
                <w:b/>
                <w:sz w:val="24"/>
              </w:rPr>
              <w:t>保障金额</w:t>
            </w:r>
          </w:p>
        </w:tc>
        <w:tc>
          <w:tcPr>
            <w:tcW w:w="3268" w:type="pct"/>
            <w:vAlign w:val="center"/>
          </w:tcPr>
          <w:p w:rsidR="00A4304A" w:rsidRPr="00F05752" w:rsidRDefault="00A4304A" w:rsidP="00AF4AF3">
            <w:pPr>
              <w:tabs>
                <w:tab w:val="left" w:pos="7665"/>
              </w:tabs>
              <w:spacing w:after="160" w:line="360" w:lineRule="auto"/>
              <w:jc w:val="center"/>
              <w:rPr>
                <w:rFonts w:ascii="仿宋" w:eastAsia="仿宋" w:hAnsi="仿宋"/>
                <w:sz w:val="24"/>
              </w:rPr>
            </w:pPr>
            <w:r w:rsidRPr="00F05752">
              <w:rPr>
                <w:rFonts w:ascii="仿宋" w:eastAsia="仿宋" w:hAnsi="仿宋" w:hint="eastAsia"/>
                <w:b/>
                <w:sz w:val="24"/>
              </w:rPr>
              <w:t>说明</w:t>
            </w:r>
          </w:p>
        </w:tc>
      </w:tr>
      <w:tr w:rsidR="00A4304A" w:rsidRPr="00F05752" w:rsidTr="00AF4AF3">
        <w:tc>
          <w:tcPr>
            <w:tcW w:w="80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意外身故</w:t>
            </w:r>
          </w:p>
        </w:tc>
        <w:tc>
          <w:tcPr>
            <w:tcW w:w="93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5万元/次/人</w:t>
            </w:r>
          </w:p>
        </w:tc>
        <w:tc>
          <w:tcPr>
            <w:tcW w:w="3268"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按100%给付</w:t>
            </w:r>
          </w:p>
        </w:tc>
      </w:tr>
      <w:tr w:rsidR="00A4304A" w:rsidRPr="00F05752" w:rsidTr="00AF4AF3">
        <w:tc>
          <w:tcPr>
            <w:tcW w:w="80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意外烧伤、残疾</w:t>
            </w:r>
          </w:p>
        </w:tc>
        <w:tc>
          <w:tcPr>
            <w:tcW w:w="93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5万元/次/人</w:t>
            </w:r>
          </w:p>
        </w:tc>
        <w:tc>
          <w:tcPr>
            <w:tcW w:w="3268"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外烧伤、残疾根据残疾程度按比例给付。</w:t>
            </w:r>
          </w:p>
        </w:tc>
      </w:tr>
      <w:tr w:rsidR="00A4304A" w:rsidRPr="00F05752" w:rsidTr="00AF4AF3">
        <w:tc>
          <w:tcPr>
            <w:tcW w:w="80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意外伤害住院医疗</w:t>
            </w:r>
          </w:p>
        </w:tc>
        <w:tc>
          <w:tcPr>
            <w:tcW w:w="93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2000元/年/人</w:t>
            </w:r>
          </w:p>
        </w:tc>
        <w:tc>
          <w:tcPr>
            <w:tcW w:w="3268"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已从其他途径获得补偿或给付的，成交</w:t>
            </w:r>
            <w:r w:rsidRPr="00F05752">
              <w:rPr>
                <w:rFonts w:ascii="仿宋" w:eastAsia="仿宋" w:hAnsi="仿宋"/>
                <w:sz w:val="24"/>
              </w:rPr>
              <w:t>人</w:t>
            </w:r>
            <w:r w:rsidRPr="00F05752">
              <w:rPr>
                <w:rFonts w:ascii="仿宋" w:eastAsia="仿宋" w:hAnsi="仿宋" w:hint="eastAsia"/>
                <w:sz w:val="24"/>
              </w:rPr>
              <w:t>应按照约定扣除社会基本医疗保险或任何第三方（其他商业保险）已经补偿的金额后，将剩余金额的80%给付给受益人；未从其他途径获得补偿的，成交</w:t>
            </w:r>
            <w:r w:rsidRPr="00F05752">
              <w:rPr>
                <w:rFonts w:ascii="仿宋" w:eastAsia="仿宋" w:hAnsi="仿宋"/>
                <w:sz w:val="24"/>
              </w:rPr>
              <w:t>人</w:t>
            </w:r>
            <w:r w:rsidRPr="00F05752">
              <w:rPr>
                <w:rFonts w:ascii="仿宋" w:eastAsia="仿宋" w:hAnsi="仿宋" w:hint="eastAsia"/>
                <w:sz w:val="24"/>
              </w:rPr>
              <w:t>应扣除免赔额100元后，将剩余金额的90%给付给受益人。每人全年累计获得给付不超过人民币2000元。</w:t>
            </w:r>
          </w:p>
        </w:tc>
      </w:tr>
      <w:tr w:rsidR="00A4304A" w:rsidRPr="00F05752" w:rsidTr="00AF4AF3">
        <w:tc>
          <w:tcPr>
            <w:tcW w:w="80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交通意外身故、残疾（航空、火车、轮船、汽车）</w:t>
            </w:r>
          </w:p>
        </w:tc>
        <w:tc>
          <w:tcPr>
            <w:tcW w:w="93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4万元/次/人</w:t>
            </w:r>
          </w:p>
        </w:tc>
        <w:tc>
          <w:tcPr>
            <w:tcW w:w="3268"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交通意外身故、按100%给付；残疾根据残疾程度按比例给付。</w:t>
            </w:r>
          </w:p>
        </w:tc>
      </w:tr>
      <w:tr w:rsidR="00A4304A" w:rsidRPr="00F05752" w:rsidTr="00AF4AF3">
        <w:tc>
          <w:tcPr>
            <w:tcW w:w="80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救护车费用</w:t>
            </w:r>
          </w:p>
        </w:tc>
        <w:tc>
          <w:tcPr>
            <w:tcW w:w="931"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800元/人/次/年</w:t>
            </w:r>
          </w:p>
        </w:tc>
        <w:tc>
          <w:tcPr>
            <w:tcW w:w="3268" w:type="pct"/>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同一事故，据实报销，含转院费用。每人每次事故累计不超过800元；每人全年累计不超过800元</w:t>
            </w:r>
          </w:p>
        </w:tc>
      </w:tr>
    </w:tbl>
    <w:p w:rsidR="00A4304A" w:rsidRPr="00F05752" w:rsidRDefault="00A4304A" w:rsidP="00A4304A">
      <w:pPr>
        <w:tabs>
          <w:tab w:val="left" w:pos="7665"/>
        </w:tabs>
        <w:spacing w:after="160" w:line="360" w:lineRule="auto"/>
        <w:rPr>
          <w:rFonts w:ascii="仿宋" w:eastAsia="仿宋" w:hAnsi="仿宋"/>
          <w:sz w:val="24"/>
        </w:rPr>
      </w:pPr>
      <w:r w:rsidRPr="00F05752">
        <w:rPr>
          <w:rFonts w:ascii="仿宋" w:eastAsia="仿宋" w:hAnsi="仿宋" w:hint="eastAsia"/>
          <w:sz w:val="24"/>
        </w:rPr>
        <w:lastRenderedPageBreak/>
        <w:t>注：一次意外事故发生后，在救助及治疗过程中，无论转院几次，均视为同一次事故。</w:t>
      </w:r>
    </w:p>
    <w:p w:rsidR="00A4304A" w:rsidRPr="00F05752" w:rsidRDefault="00A4304A" w:rsidP="00A4304A">
      <w:pPr>
        <w:tabs>
          <w:tab w:val="left" w:pos="7665"/>
        </w:tabs>
        <w:spacing w:after="160" w:line="360" w:lineRule="auto"/>
        <w:ind w:firstLineChars="200" w:firstLine="482"/>
        <w:rPr>
          <w:rFonts w:ascii="仿宋" w:eastAsia="仿宋" w:hAnsi="仿宋"/>
          <w:b/>
          <w:bCs/>
          <w:sz w:val="24"/>
        </w:rPr>
      </w:pPr>
      <w:r w:rsidRPr="00F05752">
        <w:rPr>
          <w:rFonts w:ascii="仿宋" w:eastAsia="仿宋" w:hAnsi="仿宋" w:hint="eastAsia"/>
          <w:b/>
          <w:bCs/>
          <w:sz w:val="24"/>
        </w:rPr>
        <w:t>（二）、保险理赔形式及程序：</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1.出险通知：</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采购人在获悉发生损失后，拨打成交人提供的报案电话或供应商指定的项目服务小组日常联系人的电话进行出险通知，成交人需在24小时内及时响应。</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2.接报案：</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成交人应严格执行365天、24小时的全天候接报案制度，各项目小组成员均应保持24小时手机畅通。</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关于接报案事项双方进一步约定：1）供应商仅在采购人或其他被保险人故意或者因重大过失未及时通知的情况下有权免责，而且免责的范围限于因上述人员未及时通知导致保险事故的性质、原因、损失程度等难以确定的部分；2）对于供应商可以通过其他途径已经及时知道或者应当及时知道保险事故发生的（如新闻媒体报道的重大事故等），不得以采购人或其他被保险人未及时通知为由拒绝承担赔偿责任。</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3.索赔单证审核：</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成交人应在接到报案通知后2个工作日内，以书面方式通知采购人或其他被保险人此次索赔所需的材料。</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成交人受理、审核采购人或其他被保险人提交的有关索赔单证和资料。采购人或其他被保险人按本保险有关规定以EMS、邮寄或其他方式向供应商提交必须的、有效的、真实的有关索赔单证和资料。供应商在收到上述材料后应立即进行审查核实，若认为有关证明和材料不完整，应于3个工作日内以书面方式一次性通知采购人或其他被保险人补充提供有关证明或资料；若供应商在接到索赔资料后3个工作日内未提出有关审核意见，则视为供应商认可索赔资料完整。</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4.赔案处理及赔款支付时效：</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在保险责任基本明确，索赔资料齐全的情况下，供应商将严格按照以下的付</w:t>
      </w:r>
      <w:r w:rsidRPr="00F05752">
        <w:rPr>
          <w:rFonts w:ascii="仿宋" w:eastAsia="仿宋" w:hAnsi="仿宋" w:hint="eastAsia"/>
          <w:sz w:val="24"/>
        </w:rPr>
        <w:lastRenderedPageBreak/>
        <w:t xml:space="preserve">款期限进行赔付：   </w:t>
      </w:r>
    </w:p>
    <w:tbl>
      <w:tblPr>
        <w:tblStyle w:val="a7"/>
        <w:tblW w:w="9033" w:type="dxa"/>
        <w:jc w:val="center"/>
        <w:tblLook w:val="04A0" w:firstRow="1" w:lastRow="0" w:firstColumn="1" w:lastColumn="0" w:noHBand="0" w:noVBand="1"/>
      </w:tblPr>
      <w:tblGrid>
        <w:gridCol w:w="1843"/>
        <w:gridCol w:w="7190"/>
      </w:tblGrid>
      <w:tr w:rsidR="00A4304A" w:rsidRPr="00F05752" w:rsidTr="00AF4AF3">
        <w:trPr>
          <w:trHeight w:val="351"/>
          <w:jc w:val="center"/>
        </w:trPr>
        <w:tc>
          <w:tcPr>
            <w:tcW w:w="1843" w:type="dxa"/>
            <w:vAlign w:val="center"/>
          </w:tcPr>
          <w:p w:rsidR="00A4304A" w:rsidRPr="00F05752" w:rsidRDefault="00A4304A" w:rsidP="00AF4AF3">
            <w:pPr>
              <w:tabs>
                <w:tab w:val="left" w:pos="7665"/>
              </w:tabs>
              <w:spacing w:after="160" w:line="360" w:lineRule="auto"/>
              <w:jc w:val="center"/>
              <w:rPr>
                <w:rFonts w:ascii="仿宋" w:eastAsia="仿宋" w:hAnsi="仿宋"/>
                <w:sz w:val="24"/>
              </w:rPr>
            </w:pPr>
            <w:r w:rsidRPr="00F05752">
              <w:rPr>
                <w:rFonts w:ascii="仿宋" w:eastAsia="仿宋" w:hAnsi="仿宋" w:hint="eastAsia"/>
                <w:b/>
                <w:sz w:val="24"/>
              </w:rPr>
              <w:t>项目</w:t>
            </w:r>
          </w:p>
        </w:tc>
        <w:tc>
          <w:tcPr>
            <w:tcW w:w="7190" w:type="dxa"/>
            <w:vAlign w:val="center"/>
          </w:tcPr>
          <w:p w:rsidR="00A4304A" w:rsidRPr="00F05752" w:rsidRDefault="00A4304A" w:rsidP="00AF4AF3">
            <w:pPr>
              <w:spacing w:line="360" w:lineRule="auto"/>
              <w:jc w:val="center"/>
              <w:rPr>
                <w:rFonts w:ascii="仿宋" w:eastAsia="仿宋" w:hAnsi="仿宋"/>
                <w:b/>
                <w:sz w:val="24"/>
              </w:rPr>
            </w:pPr>
            <w:r w:rsidRPr="00F05752">
              <w:rPr>
                <w:rFonts w:ascii="仿宋" w:eastAsia="仿宋" w:hAnsi="仿宋" w:hint="eastAsia"/>
                <w:b/>
                <w:sz w:val="24"/>
              </w:rPr>
              <w:t>申请索赔时间</w:t>
            </w:r>
          </w:p>
        </w:tc>
      </w:tr>
      <w:tr w:rsidR="00A4304A" w:rsidRPr="00F05752" w:rsidTr="00AF4AF3">
        <w:trPr>
          <w:trHeight w:val="700"/>
          <w:jc w:val="center"/>
        </w:trPr>
        <w:tc>
          <w:tcPr>
            <w:tcW w:w="1843"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意外身故</w:t>
            </w:r>
          </w:p>
        </w:tc>
        <w:tc>
          <w:tcPr>
            <w:tcW w:w="7190"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在意外事故性质及责任认定完，办理被保险人户籍注销后</w:t>
            </w:r>
          </w:p>
        </w:tc>
      </w:tr>
      <w:tr w:rsidR="00A4304A" w:rsidRPr="00F05752" w:rsidTr="00AF4AF3">
        <w:trPr>
          <w:trHeight w:val="696"/>
          <w:jc w:val="center"/>
        </w:trPr>
        <w:tc>
          <w:tcPr>
            <w:tcW w:w="1843"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意外残疾</w:t>
            </w:r>
          </w:p>
        </w:tc>
        <w:tc>
          <w:tcPr>
            <w:tcW w:w="7190"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在意外事故性质及责任认定完，司法鉴定机构出具残疾程度证明书后</w:t>
            </w:r>
          </w:p>
        </w:tc>
      </w:tr>
      <w:tr w:rsidR="00A4304A" w:rsidRPr="00F05752" w:rsidTr="00AF4AF3">
        <w:trPr>
          <w:trHeight w:val="1199"/>
          <w:jc w:val="center"/>
        </w:trPr>
        <w:tc>
          <w:tcPr>
            <w:tcW w:w="1843"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意外伤害住院医疗</w:t>
            </w:r>
          </w:p>
        </w:tc>
        <w:tc>
          <w:tcPr>
            <w:tcW w:w="7190"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已开通定点医疗机构就诊的，出入院实时结算；在未开通定点医疗机构就诊的，应在被保险人全部治疗完结，结清全部医疗费用后</w:t>
            </w:r>
          </w:p>
        </w:tc>
      </w:tr>
      <w:tr w:rsidR="00A4304A" w:rsidRPr="00F05752" w:rsidTr="00AF4AF3">
        <w:trPr>
          <w:trHeight w:val="1199"/>
          <w:jc w:val="center"/>
        </w:trPr>
        <w:tc>
          <w:tcPr>
            <w:tcW w:w="1843"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交通意外身故、残疾（航空、火车、轮船、汽车）</w:t>
            </w:r>
          </w:p>
        </w:tc>
        <w:tc>
          <w:tcPr>
            <w:tcW w:w="7190"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在交通意外事故性质及责任认定完，办理被保险人户籍注销后或司法鉴定机构出具残疾程度证明书后</w:t>
            </w:r>
          </w:p>
        </w:tc>
      </w:tr>
      <w:tr w:rsidR="00A4304A" w:rsidRPr="00F05752" w:rsidTr="00AF4AF3">
        <w:trPr>
          <w:jc w:val="center"/>
        </w:trPr>
        <w:tc>
          <w:tcPr>
            <w:tcW w:w="1843"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救护车费用</w:t>
            </w:r>
          </w:p>
        </w:tc>
        <w:tc>
          <w:tcPr>
            <w:tcW w:w="7190" w:type="dxa"/>
            <w:vAlign w:val="center"/>
          </w:tcPr>
          <w:p w:rsidR="00A4304A" w:rsidRPr="00F05752" w:rsidRDefault="00A4304A" w:rsidP="00AF4AF3">
            <w:pPr>
              <w:tabs>
                <w:tab w:val="left" w:pos="7665"/>
              </w:tabs>
              <w:spacing w:after="160" w:line="360" w:lineRule="auto"/>
              <w:rPr>
                <w:rFonts w:ascii="仿宋" w:eastAsia="仿宋" w:hAnsi="仿宋"/>
                <w:sz w:val="24"/>
              </w:rPr>
            </w:pPr>
            <w:r w:rsidRPr="00F05752">
              <w:rPr>
                <w:rFonts w:ascii="仿宋" w:eastAsia="仿宋" w:hAnsi="仿宋" w:hint="eastAsia"/>
                <w:sz w:val="24"/>
              </w:rPr>
              <w:t>全部治疗完结，结清全部医疗费用后</w:t>
            </w:r>
          </w:p>
        </w:tc>
      </w:tr>
    </w:tbl>
    <w:p w:rsidR="00A4304A" w:rsidRPr="00F05752" w:rsidRDefault="00A4304A" w:rsidP="00A4304A">
      <w:pPr>
        <w:tabs>
          <w:tab w:val="left" w:pos="7665"/>
        </w:tabs>
        <w:spacing w:after="160" w:line="360" w:lineRule="auto"/>
        <w:ind w:firstLineChars="200" w:firstLine="480"/>
        <w:rPr>
          <w:rFonts w:ascii="仿宋" w:eastAsia="仿宋" w:hAnsi="仿宋"/>
          <w:sz w:val="24"/>
        </w:rPr>
      </w:pP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限时理赔</w:t>
      </w:r>
    </w:p>
    <w:p w:rsidR="00A4304A" w:rsidRPr="00F05752" w:rsidRDefault="00A4304A" w:rsidP="00A4304A">
      <w:pPr>
        <w:tabs>
          <w:tab w:val="left" w:pos="7665"/>
        </w:tabs>
        <w:spacing w:after="160" w:line="360" w:lineRule="auto"/>
        <w:ind w:firstLineChars="200" w:firstLine="480"/>
        <w:rPr>
          <w:rFonts w:ascii="仿宋" w:eastAsia="仿宋" w:hAnsi="仿宋"/>
          <w:sz w:val="24"/>
        </w:rPr>
      </w:pPr>
      <w:r w:rsidRPr="00F05752">
        <w:rPr>
          <w:rFonts w:ascii="仿宋" w:eastAsia="仿宋" w:hAnsi="仿宋" w:hint="eastAsia"/>
          <w:sz w:val="24"/>
        </w:rPr>
        <w:t>提供限时赔付服务，在出险、提交相关材料、确定具体赔偿金额后，2万元以内（含2万元）的赔案，即时赔付；2万元以上的赔案，在五个工作日内赔付至受益人指定账户。</w:t>
      </w:r>
    </w:p>
    <w:p w:rsidR="00A4304A" w:rsidRPr="00F05752" w:rsidRDefault="00A4304A" w:rsidP="00A4304A">
      <w:pPr>
        <w:tabs>
          <w:tab w:val="left" w:pos="7665"/>
        </w:tabs>
        <w:spacing w:after="160" w:line="360" w:lineRule="auto"/>
        <w:ind w:firstLineChars="200" w:firstLine="482"/>
        <w:rPr>
          <w:rFonts w:ascii="仿宋" w:eastAsia="仿宋" w:hAnsi="仿宋"/>
          <w:b/>
          <w:bCs/>
          <w:sz w:val="24"/>
        </w:rPr>
      </w:pPr>
      <w:r w:rsidRPr="00F05752">
        <w:rPr>
          <w:rFonts w:ascii="仿宋" w:eastAsia="仿宋" w:hAnsi="仿宋" w:hint="eastAsia"/>
          <w:b/>
          <w:bCs/>
          <w:sz w:val="24"/>
        </w:rPr>
        <w:t>（三）、其他要求：</w:t>
      </w:r>
    </w:p>
    <w:p w:rsidR="00A4304A" w:rsidRDefault="00A4304A" w:rsidP="00A4304A">
      <w:pPr>
        <w:pStyle w:val="a6"/>
        <w:rPr>
          <w:rFonts w:ascii="仿宋" w:eastAsia="仿宋" w:hAnsi="仿宋"/>
          <w:sz w:val="24"/>
        </w:rPr>
      </w:pPr>
      <w:r w:rsidRPr="00F05752">
        <w:rPr>
          <w:rFonts w:ascii="仿宋" w:eastAsia="仿宋" w:hAnsi="仿宋" w:hint="eastAsia"/>
          <w:sz w:val="24"/>
        </w:rPr>
        <w:t>1.成交人须在保险合同生效后30天内，为所有被保险人发放保险凭证。</w:t>
      </w:r>
    </w:p>
    <w:p w:rsidR="00A4304A" w:rsidRDefault="00A4304A" w:rsidP="00A4304A">
      <w:pPr>
        <w:widowControl/>
        <w:jc w:val="left"/>
        <w:rPr>
          <w:rFonts w:ascii="仿宋" w:eastAsia="仿宋" w:hAnsi="仿宋" w:cstheme="majorBidi"/>
          <w:b/>
          <w:bCs/>
          <w:sz w:val="24"/>
          <w:szCs w:val="32"/>
        </w:rPr>
      </w:pPr>
      <w:r>
        <w:rPr>
          <w:rFonts w:ascii="仿宋" w:eastAsia="仿宋" w:hAnsi="仿宋"/>
          <w:sz w:val="24"/>
        </w:rPr>
        <w:br w:type="page"/>
      </w:r>
    </w:p>
    <w:p w:rsidR="00236184" w:rsidRPr="00A4304A" w:rsidRDefault="00C7243A">
      <w:bookmarkStart w:id="1" w:name="_GoBack"/>
      <w:bookmarkEnd w:id="1"/>
    </w:p>
    <w:sectPr w:rsidR="00236184" w:rsidRPr="00A43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3A" w:rsidRDefault="00C7243A" w:rsidP="00A4304A">
      <w:r>
        <w:separator/>
      </w:r>
    </w:p>
  </w:endnote>
  <w:endnote w:type="continuationSeparator" w:id="0">
    <w:p w:rsidR="00C7243A" w:rsidRDefault="00C7243A" w:rsidP="00A4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3A" w:rsidRDefault="00C7243A" w:rsidP="00A4304A">
      <w:r>
        <w:separator/>
      </w:r>
    </w:p>
  </w:footnote>
  <w:footnote w:type="continuationSeparator" w:id="0">
    <w:p w:rsidR="00C7243A" w:rsidRDefault="00C7243A" w:rsidP="00A43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9B"/>
    <w:rsid w:val="0025269B"/>
    <w:rsid w:val="00721C9D"/>
    <w:rsid w:val="009B6BA0"/>
    <w:rsid w:val="00A4304A"/>
    <w:rsid w:val="00C7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7450C3-BB66-4626-9FA4-A51AA4F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04A"/>
    <w:pPr>
      <w:widowControl w:val="0"/>
      <w:jc w:val="both"/>
    </w:pPr>
    <w:rPr>
      <w:rFonts w:ascii="Times New Roman" w:eastAsia="宋体" w:hAnsi="Times New Roman" w:cs="Times New Roman"/>
      <w:szCs w:val="24"/>
    </w:rPr>
  </w:style>
  <w:style w:type="paragraph" w:styleId="2">
    <w:name w:val="heading 2"/>
    <w:basedOn w:val="a"/>
    <w:next w:val="a"/>
    <w:link w:val="2Char"/>
    <w:qFormat/>
    <w:rsid w:val="00A4304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0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04A"/>
    <w:rPr>
      <w:sz w:val="18"/>
      <w:szCs w:val="18"/>
    </w:rPr>
  </w:style>
  <w:style w:type="paragraph" w:styleId="a4">
    <w:name w:val="footer"/>
    <w:basedOn w:val="a"/>
    <w:link w:val="Char0"/>
    <w:uiPriority w:val="99"/>
    <w:unhideWhenUsed/>
    <w:rsid w:val="00A430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04A"/>
    <w:rPr>
      <w:sz w:val="18"/>
      <w:szCs w:val="18"/>
    </w:rPr>
  </w:style>
  <w:style w:type="character" w:customStyle="1" w:styleId="2Char">
    <w:name w:val="标题 2 Char"/>
    <w:basedOn w:val="a0"/>
    <w:link w:val="2"/>
    <w:qFormat/>
    <w:rsid w:val="00A4304A"/>
    <w:rPr>
      <w:rFonts w:ascii="Arial" w:eastAsia="黑体" w:hAnsi="Arial" w:cs="Times New Roman"/>
      <w:b/>
      <w:bCs/>
      <w:sz w:val="32"/>
      <w:szCs w:val="32"/>
    </w:rPr>
  </w:style>
  <w:style w:type="paragraph" w:styleId="a5">
    <w:name w:val="Normal Indent"/>
    <w:basedOn w:val="a"/>
    <w:link w:val="Char1"/>
    <w:qFormat/>
    <w:rsid w:val="00A4304A"/>
    <w:pPr>
      <w:ind w:firstLineChars="200" w:firstLine="420"/>
    </w:pPr>
  </w:style>
  <w:style w:type="paragraph" w:styleId="a6">
    <w:name w:val="Title"/>
    <w:basedOn w:val="a"/>
    <w:next w:val="a"/>
    <w:link w:val="Char2"/>
    <w:uiPriority w:val="10"/>
    <w:qFormat/>
    <w:rsid w:val="00A4304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A4304A"/>
    <w:rPr>
      <w:rFonts w:asciiTheme="majorHAnsi" w:eastAsia="宋体" w:hAnsiTheme="majorHAnsi" w:cstheme="majorBidi"/>
      <w:b/>
      <w:bCs/>
      <w:sz w:val="32"/>
      <w:szCs w:val="32"/>
    </w:rPr>
  </w:style>
  <w:style w:type="table" w:styleId="a7">
    <w:name w:val="Table Grid"/>
    <w:basedOn w:val="a1"/>
    <w:qFormat/>
    <w:rsid w:val="00A430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qFormat/>
    <w:rsid w:val="00A4304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1918</Characters>
  <Application>Microsoft Office Word</Application>
  <DocSecurity>0</DocSecurity>
  <Lines>15</Lines>
  <Paragraphs>4</Paragraphs>
  <ScaleCrop>false</ScaleCrop>
  <Company>微软中国</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2021-12-21T07:53:00Z</dcterms:created>
  <dcterms:modified xsi:type="dcterms:W3CDTF">2021-12-21T07:53:00Z</dcterms:modified>
</cp:coreProperties>
</file>