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6E3" w:rsidRDefault="00FC66E3" w:rsidP="00FC66E3">
      <w:pPr>
        <w:pStyle w:val="a6"/>
        <w:rPr>
          <w:rFonts w:ascii="仿宋" w:eastAsia="仿宋" w:hAnsi="仿宋"/>
        </w:rPr>
      </w:pPr>
      <w:r>
        <w:rPr>
          <w:rFonts w:ascii="仿宋" w:eastAsia="仿宋" w:hAnsi="仿宋" w:hint="eastAsia"/>
        </w:rPr>
        <w:t>采购项目技术、服务、政府采购合同内容条款及其他商务要求</w:t>
      </w:r>
    </w:p>
    <w:p w:rsidR="00FC66E3" w:rsidRDefault="00FC66E3" w:rsidP="00FC66E3">
      <w:pPr>
        <w:rPr>
          <w:rFonts w:ascii="仿宋" w:eastAsia="仿宋" w:hAnsi="仿宋"/>
          <w:sz w:val="24"/>
        </w:rPr>
      </w:pPr>
    </w:p>
    <w:p w:rsidR="00FC66E3" w:rsidRDefault="00FC66E3" w:rsidP="00FC66E3">
      <w:pPr>
        <w:spacing w:line="400" w:lineRule="exact"/>
        <w:ind w:firstLineChars="200" w:firstLine="482"/>
        <w:rPr>
          <w:rFonts w:ascii="仿宋" w:eastAsia="仿宋" w:hAnsi="仿宋"/>
          <w:b/>
          <w:sz w:val="24"/>
        </w:rPr>
      </w:pPr>
      <w:r>
        <w:rPr>
          <w:rFonts w:ascii="仿宋" w:eastAsia="仿宋" w:hAnsi="仿宋" w:hint="eastAsia"/>
          <w:b/>
          <w:sz w:val="24"/>
        </w:rPr>
        <w:t>前提：</w:t>
      </w:r>
      <w:r>
        <w:rPr>
          <w:rFonts w:ascii="仿宋" w:eastAsia="仿宋" w:hAnsi="仿宋"/>
          <w:b/>
          <w:sz w:val="24"/>
        </w:rPr>
        <w:t>本章采购需求中标注“*”号的条款为本次磋商采购项目的实质性要求，供应商应全部满足。</w:t>
      </w:r>
    </w:p>
    <w:p w:rsidR="00FC66E3" w:rsidRDefault="00FC66E3" w:rsidP="00FC66E3">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一、项目概述</w:t>
      </w:r>
    </w:p>
    <w:p w:rsidR="00FC66E3" w:rsidRDefault="00FC66E3" w:rsidP="00FC66E3">
      <w:pPr>
        <w:pStyle w:val="a5"/>
        <w:spacing w:line="400" w:lineRule="exact"/>
        <w:ind w:firstLine="480"/>
        <w:rPr>
          <w:rFonts w:ascii="仿宋" w:eastAsia="仿宋" w:hAnsi="仿宋"/>
          <w:bCs/>
          <w:sz w:val="24"/>
        </w:rPr>
      </w:pPr>
      <w:r>
        <w:rPr>
          <w:rFonts w:ascii="仿宋" w:eastAsia="仿宋" w:hAnsi="仿宋" w:hint="eastAsia"/>
          <w:bCs/>
          <w:sz w:val="24"/>
        </w:rPr>
        <w:t>随着新冠肺炎疫情防控进入常态化阶段，为发挥信息化平台在疫情防控和健康服务管理方面的作用，加强在基层医疗卫生机构和社区推广使用，本着有利于疫情防控工作开展的原则，根据《关于进一步做好新型冠状病毒肺炎疫情防控工作的通知》和国家相关政策要求，进一步加强信息化疫情处置能力。现需在武侯区疾病预防控制中心建设疫情处置内部作业平台和等保服务。</w:t>
      </w:r>
    </w:p>
    <w:p w:rsidR="00FC66E3" w:rsidRDefault="00FC66E3" w:rsidP="00FC66E3">
      <w:pPr>
        <w:pStyle w:val="a5"/>
        <w:spacing w:line="400" w:lineRule="exact"/>
        <w:ind w:firstLine="480"/>
        <w:rPr>
          <w:rFonts w:ascii="仿宋" w:eastAsia="仿宋" w:hAnsi="仿宋"/>
          <w:bCs/>
          <w:sz w:val="24"/>
        </w:rPr>
      </w:pPr>
      <w:r>
        <w:rPr>
          <w:rFonts w:ascii="仿宋" w:eastAsia="仿宋" w:hAnsi="仿宋" w:hint="eastAsia"/>
          <w:bCs/>
          <w:sz w:val="24"/>
        </w:rPr>
        <w:t>本项目采购标的为：</w:t>
      </w:r>
      <w:r w:rsidRPr="004F3183">
        <w:rPr>
          <w:rFonts w:ascii="仿宋" w:eastAsia="仿宋" w:hAnsi="仿宋" w:hint="eastAsia"/>
          <w:bCs/>
          <w:sz w:val="24"/>
        </w:rPr>
        <w:t>疫情处置内部作业平台建设服务</w:t>
      </w:r>
      <w:r>
        <w:rPr>
          <w:rFonts w:ascii="仿宋" w:eastAsia="仿宋" w:hAnsi="仿宋" w:hint="eastAsia"/>
          <w:bCs/>
          <w:sz w:val="24"/>
        </w:rPr>
        <w:t>，标的所属行业为：</w:t>
      </w:r>
      <w:r w:rsidRPr="0079382F">
        <w:rPr>
          <w:rFonts w:ascii="仿宋" w:eastAsia="仿宋" w:hAnsi="仿宋" w:hint="eastAsia"/>
          <w:bCs/>
          <w:sz w:val="24"/>
        </w:rPr>
        <w:t>软件和信息技术服务业</w:t>
      </w:r>
      <w:r>
        <w:rPr>
          <w:rFonts w:ascii="仿宋" w:eastAsia="仿宋" w:hAnsi="仿宋" w:hint="eastAsia"/>
          <w:bCs/>
          <w:sz w:val="24"/>
        </w:rPr>
        <w:t>。</w:t>
      </w:r>
    </w:p>
    <w:p w:rsidR="00FC66E3" w:rsidRDefault="00FC66E3" w:rsidP="00FC66E3">
      <w:pPr>
        <w:pStyle w:val="2"/>
        <w:spacing w:line="400" w:lineRule="exact"/>
        <w:ind w:firstLineChars="98" w:firstLine="236"/>
        <w:rPr>
          <w:rFonts w:ascii="仿宋" w:eastAsia="仿宋" w:hAnsi="仿宋"/>
          <w:sz w:val="24"/>
          <w:szCs w:val="24"/>
        </w:rPr>
      </w:pPr>
      <w:r>
        <w:rPr>
          <w:rFonts w:ascii="仿宋" w:eastAsia="仿宋" w:hAnsi="仿宋"/>
          <w:sz w:val="24"/>
        </w:rPr>
        <w:t>*</w:t>
      </w:r>
      <w:r>
        <w:rPr>
          <w:rFonts w:ascii="仿宋" w:eastAsia="仿宋" w:hAnsi="仿宋" w:hint="eastAsia"/>
          <w:sz w:val="24"/>
          <w:szCs w:val="24"/>
        </w:rPr>
        <w:t>二、</w:t>
      </w:r>
      <w:r>
        <w:rPr>
          <w:rFonts w:ascii="仿宋" w:eastAsia="仿宋" w:hAnsi="仿宋"/>
          <w:sz w:val="24"/>
          <w:szCs w:val="24"/>
        </w:rPr>
        <w:t xml:space="preserve"> </w:t>
      </w:r>
      <w:r>
        <w:rPr>
          <w:rFonts w:ascii="仿宋" w:eastAsia="仿宋" w:hAnsi="仿宋" w:hint="eastAsia"/>
          <w:sz w:val="24"/>
          <w:szCs w:val="24"/>
        </w:rPr>
        <w:t>商务要求</w:t>
      </w:r>
    </w:p>
    <w:p w:rsidR="00FC66E3" w:rsidRDefault="00FC66E3" w:rsidP="00FC66E3">
      <w:pPr>
        <w:pStyle w:val="a5"/>
        <w:spacing w:line="400" w:lineRule="exact"/>
        <w:ind w:firstLine="480"/>
        <w:rPr>
          <w:rFonts w:ascii="仿宋" w:eastAsia="仿宋" w:hAnsi="仿宋"/>
          <w:bCs/>
          <w:sz w:val="24"/>
        </w:rPr>
      </w:pPr>
      <w:bookmarkStart w:id="0" w:name="_Hlk99721670"/>
      <w:r>
        <w:rPr>
          <w:rFonts w:ascii="仿宋" w:eastAsia="仿宋" w:hAnsi="仿宋" w:hint="eastAsia"/>
          <w:bCs/>
          <w:sz w:val="24"/>
        </w:rPr>
        <w:t>1、项目建设周期：自合同签订之日起30日内，成交人完成项目主体建设并达到试运行条件，经采购人初验合格后进入试运行期；系统试运行正常、稳定满60日，经采购人终验合格后投入正式运行。</w:t>
      </w:r>
    </w:p>
    <w:p w:rsidR="00FC66E3" w:rsidRDefault="00FC66E3" w:rsidP="00FC66E3">
      <w:pPr>
        <w:pStyle w:val="a5"/>
        <w:spacing w:line="400" w:lineRule="exact"/>
        <w:ind w:firstLine="480"/>
        <w:rPr>
          <w:rFonts w:ascii="仿宋" w:eastAsia="仿宋" w:hAnsi="仿宋"/>
          <w:bCs/>
          <w:sz w:val="24"/>
        </w:rPr>
      </w:pPr>
      <w:r>
        <w:rPr>
          <w:rFonts w:ascii="仿宋" w:eastAsia="仿宋" w:hAnsi="仿宋" w:hint="eastAsia"/>
          <w:bCs/>
          <w:sz w:val="24"/>
        </w:rPr>
        <w:t>2、付款方式：</w:t>
      </w:r>
    </w:p>
    <w:p w:rsidR="00FC66E3" w:rsidRDefault="00FC66E3" w:rsidP="00FC66E3">
      <w:pPr>
        <w:pStyle w:val="a5"/>
        <w:spacing w:line="400" w:lineRule="exact"/>
        <w:ind w:firstLine="480"/>
        <w:rPr>
          <w:rFonts w:ascii="仿宋" w:eastAsia="仿宋" w:hAnsi="仿宋"/>
          <w:bCs/>
          <w:sz w:val="24"/>
        </w:rPr>
      </w:pPr>
      <w:r>
        <w:rPr>
          <w:rFonts w:ascii="仿宋" w:eastAsia="仿宋" w:hAnsi="仿宋" w:hint="eastAsia"/>
          <w:bCs/>
          <w:sz w:val="24"/>
        </w:rPr>
        <w:t>2.1、合同签订生效且成交人提交符合采购人要求的付款申请及等额完税发票后15个工作日内，采购人支付成交人合同总价的40%作为首付款；</w:t>
      </w:r>
    </w:p>
    <w:p w:rsidR="00FC66E3" w:rsidRDefault="00FC66E3" w:rsidP="00FC66E3">
      <w:pPr>
        <w:pStyle w:val="a5"/>
        <w:spacing w:line="400" w:lineRule="exact"/>
        <w:ind w:firstLine="480"/>
        <w:rPr>
          <w:rFonts w:ascii="仿宋" w:eastAsia="仿宋" w:hAnsi="仿宋"/>
          <w:bCs/>
          <w:sz w:val="24"/>
        </w:rPr>
      </w:pPr>
      <w:r>
        <w:rPr>
          <w:rFonts w:ascii="仿宋" w:eastAsia="仿宋" w:hAnsi="仿宋" w:hint="eastAsia"/>
          <w:bCs/>
          <w:sz w:val="24"/>
        </w:rPr>
        <w:t>2.2、成交人完成项目主体建设并达到试运行条件，项目通过初验且成交人提交符合采购人要求的付款申请及等额完税发票后10个工作日内，采购人支付成交人合同总价的50%作为进度款。</w:t>
      </w:r>
    </w:p>
    <w:p w:rsidR="00FC66E3" w:rsidRDefault="00FC66E3" w:rsidP="00FC66E3">
      <w:pPr>
        <w:pStyle w:val="a5"/>
        <w:spacing w:line="400" w:lineRule="exact"/>
        <w:ind w:firstLine="480"/>
        <w:rPr>
          <w:rFonts w:ascii="仿宋" w:eastAsia="仿宋" w:hAnsi="仿宋"/>
          <w:bCs/>
          <w:sz w:val="24"/>
        </w:rPr>
      </w:pPr>
      <w:r>
        <w:rPr>
          <w:rFonts w:ascii="仿宋" w:eastAsia="仿宋" w:hAnsi="仿宋" w:hint="eastAsia"/>
          <w:bCs/>
          <w:sz w:val="24"/>
        </w:rPr>
        <w:t>2.3、系统试运行正常、稳定满60日后且通过终验，成交人提交符合采购人要求的付款申请及等额完税发票后10个工作日内，采购人支付成交人合同总价的10%作为尾款。</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3、服务地点：成都市武侯区疾病预防控制中心。</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4、服务要求：</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4.1、成交人提供不少于2名研发工程师组成的研发团队在合同签订生效后半年内常驻采购单位，能够实时按照采购人合理需求变更要求完成对应功能建设，</w:t>
      </w:r>
      <w:r>
        <w:rPr>
          <w:rFonts w:ascii="仿宋" w:eastAsia="仿宋" w:hAnsi="仿宋" w:hint="eastAsia"/>
          <w:sz w:val="24"/>
          <w:szCs w:val="32"/>
        </w:rPr>
        <w:lastRenderedPageBreak/>
        <w:t>同时研发团队负责系统的日常维护和指导信息技术工作；（需单独提供承诺函）</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4.2、成交人提供的研发团队工作时间应为5*8小时制，且周末应安排不少于1名研发人员值班。</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5、售后服务</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5.1、成交人向采购人提供自终验合格之日起1年内的系统运行维护，涉及的维护费用包含在本次报价中。</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5.2、质保期内，成交人提供7x24小时技术支持服务，半年常驻期内由研发团队负责现场系统运维，常驻期结束后成交人在工作时段应提供1名专职对接人员，负责系统技术培训、用户答疑、系统日常维护，确保系统正常运行。</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sz w:val="24"/>
          <w:szCs w:val="32"/>
        </w:rPr>
        <w:t>6</w:t>
      </w:r>
      <w:r>
        <w:rPr>
          <w:rFonts w:ascii="仿宋" w:eastAsia="仿宋" w:hAnsi="仿宋" w:hint="eastAsia"/>
          <w:sz w:val="24"/>
          <w:szCs w:val="32"/>
        </w:rPr>
        <w:t>、供应商需为本系统提供2级等保服务（含评审、评估等内容），具体服务内容如下：</w:t>
      </w:r>
    </w:p>
    <w:p w:rsidR="00FC66E3" w:rsidRPr="00397B29"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①</w:t>
      </w:r>
      <w:r w:rsidRPr="00397B29">
        <w:rPr>
          <w:rFonts w:ascii="仿宋" w:eastAsia="仿宋" w:hAnsi="仿宋" w:hint="eastAsia"/>
          <w:sz w:val="24"/>
          <w:szCs w:val="32"/>
        </w:rPr>
        <w:t>发现重要的安全漏洞和安全事件，在遭受攻击损害后，具备在一段时间内恢复部分功能。</w:t>
      </w:r>
    </w:p>
    <w:p w:rsidR="00FC66E3" w:rsidRPr="00397B29"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②</w:t>
      </w:r>
      <w:r w:rsidRPr="00397B29">
        <w:rPr>
          <w:rFonts w:ascii="仿宋" w:eastAsia="仿宋" w:hAnsi="仿宋" w:hint="eastAsia"/>
          <w:sz w:val="24"/>
          <w:szCs w:val="32"/>
        </w:rPr>
        <w:t>根据会话状态信息为数据流提供明确的允许/拒绝访问能力。</w:t>
      </w:r>
    </w:p>
    <w:p w:rsidR="00FC66E3" w:rsidRPr="00397B29"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③</w:t>
      </w:r>
      <w:r w:rsidRPr="00397B29">
        <w:rPr>
          <w:rFonts w:ascii="仿宋" w:eastAsia="仿宋" w:hAnsi="仿宋" w:hint="eastAsia"/>
          <w:sz w:val="24"/>
          <w:szCs w:val="32"/>
        </w:rPr>
        <w:t>保证关键网络设备的业务处理能力具备冗余空间，满足业务高峰期需要。</w:t>
      </w:r>
    </w:p>
    <w:p w:rsidR="00FC66E3" w:rsidRPr="00397B29"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④</w:t>
      </w:r>
      <w:r w:rsidRPr="00397B29">
        <w:rPr>
          <w:rFonts w:ascii="仿宋" w:eastAsia="仿宋" w:hAnsi="仿宋" w:hint="eastAsia"/>
          <w:sz w:val="24"/>
          <w:szCs w:val="32"/>
        </w:rPr>
        <w:t>对内部用户私自联到外部网络的行为进行检查。</w:t>
      </w:r>
    </w:p>
    <w:p w:rsidR="00FC66E3" w:rsidRPr="00397B29"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⑤</w:t>
      </w:r>
      <w:r w:rsidRPr="00397B29">
        <w:rPr>
          <w:rFonts w:ascii="仿宋" w:eastAsia="仿宋" w:hAnsi="仿宋" w:hint="eastAsia"/>
          <w:sz w:val="24"/>
          <w:szCs w:val="32"/>
        </w:rPr>
        <w:t>对所有终端部署行为管理软件，可对用户的非法外联行为进行检查。</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⑥</w:t>
      </w:r>
      <w:r w:rsidRPr="00397B29">
        <w:rPr>
          <w:rFonts w:ascii="仿宋" w:eastAsia="仿宋" w:hAnsi="仿宋" w:hint="eastAsia"/>
          <w:sz w:val="24"/>
          <w:szCs w:val="32"/>
        </w:rPr>
        <w:t>对重要信息进行备份和恢复。</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sz w:val="24"/>
          <w:szCs w:val="32"/>
        </w:rPr>
        <w:t>7</w:t>
      </w:r>
      <w:r>
        <w:rPr>
          <w:rFonts w:ascii="仿宋" w:eastAsia="仿宋" w:hAnsi="仿宋" w:hint="eastAsia"/>
          <w:sz w:val="24"/>
          <w:szCs w:val="32"/>
        </w:rPr>
        <w:t>、验收要求：本项目采购人将依据合同条款、磋商文件要求、成交人响应文件响应及承诺内容，严格按照政府采购相关法律法规以及《财政部关于进一步加强政府采购需求和履约验收管理的指导意见》（财库〔2016〕205 号）执行的要求进行验收。</w:t>
      </w:r>
    </w:p>
    <w:bookmarkEnd w:id="0"/>
    <w:p w:rsidR="00FC66E3" w:rsidRDefault="00FC66E3" w:rsidP="00FC66E3">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三、服务要求</w:t>
      </w:r>
    </w:p>
    <w:p w:rsidR="00FC66E3" w:rsidRDefault="00FC66E3" w:rsidP="00FC66E3">
      <w:pPr>
        <w:spacing w:line="360" w:lineRule="auto"/>
        <w:rPr>
          <w:rFonts w:ascii="仿宋" w:eastAsia="仿宋" w:hAnsi="仿宋"/>
          <w:b/>
          <w:bCs/>
          <w:sz w:val="24"/>
          <w:szCs w:val="32"/>
        </w:rPr>
      </w:pPr>
      <w:r>
        <w:rPr>
          <w:rFonts w:ascii="仿宋" w:eastAsia="仿宋" w:hAnsi="仿宋" w:hint="eastAsia"/>
          <w:b/>
          <w:bCs/>
          <w:sz w:val="24"/>
          <w:szCs w:val="32"/>
        </w:rPr>
        <w:t>【一】平台基本功能建设</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1.用户管理模板</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1）用户注册：通过完善用户的基本信息（用户名、联系电话、密码、用户类型、所属机构等）完成账号注册。</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2）用户信息编辑：用户注册完成后能够修改用户基本信息。</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3）账号注销：账户注销时删除对应用户的基本信息。</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lastRenderedPageBreak/>
        <w:t>4） 设置角色：将用户按照角色进行分类，一个账号支持多个角色。</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5）设置职位：能够用户设置职位，职位名称能够新增、删除，支持多选。</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6）设置用户组：将当前用户设置某个用户组,支持多选。</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7）密码找回：用户密码忘记后能够通过后台管理员找回。</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8）重置密码：支持密码重置，重置某个用户密码</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2.角色管理模板</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1）添加角色：添加角色基本信息。</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2）编辑角色：编辑角色基本信息。</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3）邀请用户：给当前角色下设置用户，支持多选。</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4）授权菜单权限：给当前角色授权功能菜单，根据不同角色分配权限。</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5）授权数据权限：给当前角色授权数据权限，用户只能查看已授权可查看信息，未授权数据不可查看。</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6）角色排序：通过上下移动对角色数据进行排序。</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3.职位管理模板</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1）添加职位：用于添加职位基本信息。</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2）编辑职位：用于编辑职位基本信息。</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3）删除职位：删除职位信息。</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4）邀请用户：用于当前职位下设置用户，支持多选。</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5）设置角色：用于当前职位下设置角色，支持多选。</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4.用户组管理模板</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1）添加用户组：用于添加用户组基本信息。</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2）编辑用户组：用于编辑用户组基本信息。</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3）删除用户组：删除用户组信息。</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4）邀请用户：用于当前用户组下设置用户，支持多选。</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5）设置角色：用户当前用户组设置角色，支持多选。</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5.组织部门管理模板</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1）添加组织部门：用于添加组织机构基本信息。</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2）编辑组织部门：用于编辑组织机构基本信息。</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3）删除组织部门：删除组织机构信息。</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lastRenderedPageBreak/>
        <w:t>6.菜单管理模板</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1）添加菜单：用于添加菜单基本信息。</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2）编辑菜单：用于编辑菜单基本信息。</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3）删除菜单：删除菜单基本信息。</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4）功能管理：用于添加菜单下具体功能点。</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5）上移、下移：用于角色数据排序。</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7.操作记录模板</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1）列表：记录用户在整个系统的所有操作记录，并支持多个纬度进行查询。详情：支持点击查看操作记录详情。</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8.公共模块模板</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1）登录：用于用户登录。</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2）个人中心：查看当前用户基本信息。</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3）修改密码：支持当前用户修改密码。</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4）退出：用户安全退出系统。</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5）授权：支持多组织做结构授权方式，权限支持层层下放的方式进行授权。</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【二】流调业务功能</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1.基础配置模板</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1）系统配置项目的管理，包括新增修改删除查询列表。</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2.标签管理模板</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1）自定义标签信息的管理，包括新增修改删除查询列表。</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3.状态变更审核模板</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★1）人员状态修改变更审核提醒，查看变更人员信息以及下级别人员信息，查看变更备注信息，审核、修改确认人员状态情况，确认后状态变更生效。</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4.人员结案模板</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1）人员最终状态的修改，是否解除人员状态，结束整个人员的整个状态变更操作。</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5.流调任务接收代办模板</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★1）接受密集组推送的流调人员批次信息的列表。</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2）签收确认功能，签收确认后可分配对应人员任务。</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lastRenderedPageBreak/>
        <w:t>6.流调任务分配列表模板</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1）管理、分配流调人员任务数据列表。</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2）选择人员任务信息以及指定流调任务处理人员，安排流调处理时间。</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3）数据以及功能通过功能及数据权限控制显示。</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7.我的流调任务模板</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1）展示我的流调任务信息，通过上级组长安排工作的方式接受任务列表。</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2）签收任务，签收任务后可以处理任务。</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3）处理完善人员的基本信息。</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4）增加、修改人员的活动轨迹，包括交通工具轨迹以及停留地点轨迹信息。</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5）每一个轨迹可以设置轨迹是否是就诊过程方便后续业务生成流调报告。</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6）对于轨迹中接触人员不清楚的可以选择公安协查汇总到协查列表中。</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7）对于每一个行程轨迹增加、修改接触人员列表。</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8）记录流调人员数据处理记录。</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9）上传附件包括原始图片记录。</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10）重点场所的确认。</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11）转运确认功能。</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8.公安协查模板</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★1）展示流调过程中公安协查记录列表，可以导出协查数据。</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9.报告模板管理模板</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★1）设计管理流调报告模板信息，包括新增、修改、删除、设计功能。</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10．流调报告模板</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1）流调以及单个、批量生成人员的流调报告。</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11.采样周期模板</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1）为人员在后台自动生成采样周期记录，同步核酸采样记录结果。</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12.统计汇总功能：</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1）可以根据人员/事件的各种属性（包括但不限于时间、人员性质、人员标签特征、所在隔离酒店、核酸采样及结果等）进行统计汇总，并有下载统计数据功能；可以根据不同时间统计功能要求进行统计功能模块升级，以达成用户统计功能要求；</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lastRenderedPageBreak/>
        <w:t>【三】重点/密接人员管理功能</w:t>
      </w:r>
      <w:r>
        <w:rPr>
          <w:rFonts w:ascii="仿宋" w:eastAsia="仿宋" w:hAnsi="仿宋" w:hint="eastAsia"/>
          <w:sz w:val="24"/>
          <w:szCs w:val="32"/>
        </w:rPr>
        <w:tab/>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1.我的密接任务模板</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1）将密接人员档案中状态为暂存的数据进行推送给相应的负责人，需要再次确认的数据有效性。</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2）拒签后将人员档案中的状态更改为暂存。</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3）查看当前推送得详细信息，以及这批次的人员列表。</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2.我的密接记录模板</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1）当前给谁推送了那些密接任务的记录。</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2）查看当前推送记录的详细信息，以及这批次的人员列表。</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3.密接人员管理模板</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1）导入密接人员信息。</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★2）推送密接人员信息到流调组。</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4.密接人员档案管理模板</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1）新增/导入密接人员档案基本信息。</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2）密接人员身份证信息重复验证，修改删除人员信息以及查询列表功能。</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3）修改人员密接等级变更，需要审核确认，同时对于下级人员状态需要审核确认修改具体每个人员的不同状态。</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4）添加密接人员可选择不同的一个或多个标签关联。</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【四】消杀记录</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1.场所消杀模板</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★1）根据病例信息确认消杀场所信息，选择需要消杀的重点场所消杀，添加并上传消杀记录以及消杀现场照片。</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2.消杀记录模板</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★1）消杀后生成对不同重点场所不同的消杀记录可查看查询。</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【五】实验室业务功能</w:t>
      </w:r>
      <w:r>
        <w:rPr>
          <w:rFonts w:ascii="仿宋" w:eastAsia="仿宋" w:hAnsi="仿宋" w:hint="eastAsia"/>
          <w:sz w:val="24"/>
          <w:szCs w:val="32"/>
        </w:rPr>
        <w:tab/>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1.采样模板</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★1）</w:t>
      </w:r>
      <w:r w:rsidRPr="00187183">
        <w:rPr>
          <w:rFonts w:ascii="仿宋" w:eastAsia="仿宋" w:hAnsi="仿宋" w:hint="eastAsia"/>
          <w:sz w:val="24"/>
          <w:szCs w:val="32"/>
        </w:rPr>
        <w:t>采样账号：包括对重点场所的人员以及环境采样，填写样本条码及对应基信息：样本来源、样本类型、样品名称、姓名、身份证号码等，同一个条码下可以添加多个不同的样本名称；可以在采样后维护修改、删除样本信息；可以</w:t>
      </w:r>
      <w:r w:rsidRPr="00187183">
        <w:rPr>
          <w:rFonts w:ascii="仿宋" w:eastAsia="仿宋" w:hAnsi="仿宋" w:hint="eastAsia"/>
          <w:sz w:val="24"/>
          <w:szCs w:val="32"/>
        </w:rPr>
        <w:lastRenderedPageBreak/>
        <w:t>分时段、分采样账号汇总统计已采样品数量；</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2.送样列表模板</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★1）</w:t>
      </w:r>
      <w:r w:rsidRPr="00187183">
        <w:rPr>
          <w:rFonts w:ascii="仿宋" w:eastAsia="仿宋" w:hAnsi="仿宋" w:hint="eastAsia"/>
          <w:sz w:val="24"/>
          <w:szCs w:val="32"/>
        </w:rPr>
        <w:t>采样账号选择样本信息进行送样，可单个选择送样，也可批量选择送样；并添加检测单位以及送样人信息，记录送样详细记录列表信息；</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3.收样列表模板</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★1）</w:t>
      </w:r>
      <w:r w:rsidRPr="00187183">
        <w:rPr>
          <w:rFonts w:ascii="仿宋" w:eastAsia="仿宋" w:hAnsi="仿宋" w:hint="eastAsia"/>
          <w:sz w:val="24"/>
          <w:szCs w:val="32"/>
        </w:rPr>
        <w:t>实验室账号接受到收样信息，记录收样人、收样数量、收样时间后方可进入实验流程；</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4.结果录入模板</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★1</w:t>
      </w:r>
      <w:r>
        <w:rPr>
          <w:rFonts w:ascii="仿宋" w:eastAsia="仿宋" w:hAnsi="仿宋"/>
          <w:sz w:val="24"/>
          <w:szCs w:val="32"/>
        </w:rPr>
        <w:t>)</w:t>
      </w:r>
      <w:r w:rsidRPr="00B507F9">
        <w:rPr>
          <w:rFonts w:hint="eastAsia"/>
        </w:rPr>
        <w:t xml:space="preserve"> </w:t>
      </w:r>
      <w:r w:rsidRPr="00B507F9">
        <w:rPr>
          <w:rFonts w:ascii="仿宋" w:eastAsia="仿宋" w:hAnsi="仿宋" w:hint="eastAsia"/>
          <w:sz w:val="24"/>
          <w:szCs w:val="32"/>
        </w:rPr>
        <w:t>实验室账号：可单个或批量录入样品结果，标记已录入或未录入分区列表；已录入结果的样品信息可以打印检测报告，可根据需求设置报告模板样式，可打印带电子签章的纸质或导出PDF电子报告。</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5.上传省平台模板</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★1</w:t>
      </w:r>
      <w:r>
        <w:rPr>
          <w:rFonts w:ascii="仿宋" w:eastAsia="仿宋" w:hAnsi="仿宋"/>
          <w:sz w:val="24"/>
          <w:szCs w:val="32"/>
        </w:rPr>
        <w:t>)</w:t>
      </w:r>
      <w:r>
        <w:rPr>
          <w:rFonts w:ascii="仿宋" w:eastAsia="仿宋" w:hAnsi="仿宋" w:hint="eastAsia"/>
          <w:sz w:val="24"/>
          <w:szCs w:val="32"/>
        </w:rPr>
        <w:t>检测结果上传四川省核酸检测平台；</w:t>
      </w:r>
    </w:p>
    <w:p w:rsidR="00FC66E3" w:rsidRPr="00187183" w:rsidRDefault="00FC66E3" w:rsidP="00FC66E3">
      <w:pPr>
        <w:spacing w:line="360" w:lineRule="auto"/>
        <w:ind w:firstLineChars="200" w:firstLine="480"/>
        <w:rPr>
          <w:rFonts w:ascii="仿宋" w:eastAsia="仿宋" w:hAnsi="仿宋"/>
          <w:sz w:val="24"/>
          <w:szCs w:val="32"/>
        </w:rPr>
      </w:pPr>
      <w:r>
        <w:rPr>
          <w:rFonts w:ascii="仿宋" w:eastAsia="仿宋" w:hAnsi="仿宋"/>
          <w:sz w:val="24"/>
          <w:szCs w:val="32"/>
        </w:rPr>
        <w:t>6</w:t>
      </w:r>
      <w:r w:rsidRPr="00D9208F">
        <w:rPr>
          <w:rFonts w:ascii="仿宋" w:eastAsia="仿宋" w:hAnsi="仿宋"/>
          <w:sz w:val="24"/>
          <w:szCs w:val="32"/>
        </w:rPr>
        <w:t>.</w:t>
      </w:r>
      <w:r w:rsidRPr="00D9208F">
        <w:rPr>
          <w:rFonts w:ascii="仿宋" w:eastAsia="仿宋" w:hAnsi="仿宋" w:hint="eastAsia"/>
          <w:sz w:val="24"/>
          <w:szCs w:val="32"/>
        </w:rPr>
        <w:t>具有汇总统计功能：可根据采样日期</w:t>
      </w:r>
      <w:r>
        <w:rPr>
          <w:rFonts w:ascii="仿宋" w:eastAsia="仿宋" w:hAnsi="仿宋" w:hint="eastAsia"/>
          <w:sz w:val="24"/>
          <w:szCs w:val="32"/>
        </w:rPr>
        <w:t>、</w:t>
      </w:r>
      <w:r w:rsidRPr="00D9208F">
        <w:rPr>
          <w:rFonts w:ascii="仿宋" w:eastAsia="仿宋" w:hAnsi="仿宋" w:hint="eastAsia"/>
          <w:sz w:val="24"/>
          <w:szCs w:val="32"/>
        </w:rPr>
        <w:t>采样地点</w:t>
      </w:r>
      <w:r>
        <w:rPr>
          <w:rFonts w:ascii="仿宋" w:eastAsia="仿宋" w:hAnsi="仿宋" w:hint="eastAsia"/>
          <w:sz w:val="24"/>
          <w:szCs w:val="32"/>
        </w:rPr>
        <w:t>、</w:t>
      </w:r>
      <w:r w:rsidRPr="00D9208F">
        <w:rPr>
          <w:rFonts w:ascii="仿宋" w:eastAsia="仿宋" w:hAnsi="仿宋" w:hint="eastAsia"/>
          <w:sz w:val="24"/>
          <w:szCs w:val="32"/>
        </w:rPr>
        <w:t>采样账号</w:t>
      </w:r>
      <w:r>
        <w:rPr>
          <w:rFonts w:ascii="仿宋" w:eastAsia="仿宋" w:hAnsi="仿宋" w:hint="eastAsia"/>
          <w:sz w:val="24"/>
          <w:szCs w:val="32"/>
        </w:rPr>
        <w:t>、</w:t>
      </w:r>
      <w:r w:rsidRPr="00D9208F">
        <w:rPr>
          <w:rFonts w:ascii="仿宋" w:eastAsia="仿宋" w:hAnsi="仿宋" w:hint="eastAsia"/>
          <w:sz w:val="24"/>
          <w:szCs w:val="32"/>
        </w:rPr>
        <w:t>或者受检者姓名及身份证号码查询及导出统计表。</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【六】政策文件指引模块</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★1</w:t>
      </w:r>
      <w:r>
        <w:rPr>
          <w:rFonts w:ascii="仿宋" w:eastAsia="仿宋" w:hAnsi="仿宋"/>
          <w:sz w:val="24"/>
          <w:szCs w:val="32"/>
        </w:rPr>
        <w:t>)</w:t>
      </w:r>
      <w:r>
        <w:rPr>
          <w:rFonts w:ascii="仿宋" w:eastAsia="仿宋" w:hAnsi="仿宋" w:hint="eastAsia"/>
          <w:sz w:val="24"/>
          <w:szCs w:val="32"/>
        </w:rPr>
        <w:t>可上传政策相关文件，格式包括.doc格式,.pdf格式,.ofd格式,.xls格式，图片格式等。</w:t>
      </w:r>
    </w:p>
    <w:p w:rsidR="00FC66E3" w:rsidRDefault="00FC66E3" w:rsidP="00FC66E3">
      <w:pPr>
        <w:spacing w:line="360" w:lineRule="auto"/>
        <w:ind w:firstLineChars="200" w:firstLine="480"/>
        <w:rPr>
          <w:rFonts w:ascii="仿宋" w:eastAsia="仿宋" w:hAnsi="仿宋"/>
          <w:sz w:val="24"/>
          <w:szCs w:val="32"/>
        </w:rPr>
      </w:pPr>
      <w:r>
        <w:rPr>
          <w:rFonts w:ascii="仿宋" w:eastAsia="仿宋" w:hAnsi="仿宋" w:hint="eastAsia"/>
          <w:sz w:val="24"/>
          <w:szCs w:val="32"/>
        </w:rPr>
        <w:t>★2</w:t>
      </w:r>
      <w:r>
        <w:rPr>
          <w:rFonts w:ascii="仿宋" w:eastAsia="仿宋" w:hAnsi="仿宋"/>
          <w:sz w:val="24"/>
          <w:szCs w:val="32"/>
        </w:rPr>
        <w:t>)</w:t>
      </w:r>
      <w:r>
        <w:rPr>
          <w:rFonts w:ascii="仿宋" w:eastAsia="仿宋" w:hAnsi="仿宋" w:hint="eastAsia"/>
          <w:sz w:val="24"/>
          <w:szCs w:val="32"/>
        </w:rPr>
        <w:t>所有人员均可预览及下载相关文件。</w:t>
      </w:r>
    </w:p>
    <w:p w:rsidR="008F170A" w:rsidRPr="00FC66E3" w:rsidRDefault="008F170A">
      <w:bookmarkStart w:id="1" w:name="_GoBack"/>
      <w:bookmarkEnd w:id="1"/>
    </w:p>
    <w:sectPr w:rsidR="008F170A" w:rsidRPr="00FC66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FD4" w:rsidRDefault="00977FD4" w:rsidP="00FC66E3">
      <w:r>
        <w:separator/>
      </w:r>
    </w:p>
  </w:endnote>
  <w:endnote w:type="continuationSeparator" w:id="0">
    <w:p w:rsidR="00977FD4" w:rsidRDefault="00977FD4" w:rsidP="00FC6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FD4" w:rsidRDefault="00977FD4" w:rsidP="00FC66E3">
      <w:r>
        <w:separator/>
      </w:r>
    </w:p>
  </w:footnote>
  <w:footnote w:type="continuationSeparator" w:id="0">
    <w:p w:rsidR="00977FD4" w:rsidRDefault="00977FD4" w:rsidP="00FC66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42B"/>
    <w:rsid w:val="0086642B"/>
    <w:rsid w:val="008F170A"/>
    <w:rsid w:val="00977FD4"/>
    <w:rsid w:val="00FC6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9322ED-1259-4FD4-9C86-11E05845C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Char"/>
    <w:qFormat/>
    <w:rsid w:val="00FC66E3"/>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66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66E3"/>
    <w:rPr>
      <w:sz w:val="18"/>
      <w:szCs w:val="18"/>
    </w:rPr>
  </w:style>
  <w:style w:type="paragraph" w:styleId="a4">
    <w:name w:val="footer"/>
    <w:basedOn w:val="a"/>
    <w:link w:val="Char0"/>
    <w:uiPriority w:val="99"/>
    <w:unhideWhenUsed/>
    <w:rsid w:val="00FC66E3"/>
    <w:pPr>
      <w:tabs>
        <w:tab w:val="center" w:pos="4153"/>
        <w:tab w:val="right" w:pos="8306"/>
      </w:tabs>
      <w:snapToGrid w:val="0"/>
      <w:jc w:val="left"/>
    </w:pPr>
    <w:rPr>
      <w:sz w:val="18"/>
      <w:szCs w:val="18"/>
    </w:rPr>
  </w:style>
  <w:style w:type="character" w:customStyle="1" w:styleId="Char0">
    <w:name w:val="页脚 Char"/>
    <w:basedOn w:val="a0"/>
    <w:link w:val="a4"/>
    <w:uiPriority w:val="99"/>
    <w:rsid w:val="00FC66E3"/>
    <w:rPr>
      <w:sz w:val="18"/>
      <w:szCs w:val="18"/>
    </w:rPr>
  </w:style>
  <w:style w:type="character" w:customStyle="1" w:styleId="2Char">
    <w:name w:val="标题 2 Char"/>
    <w:basedOn w:val="a0"/>
    <w:link w:val="2"/>
    <w:qFormat/>
    <w:rsid w:val="00FC66E3"/>
    <w:rPr>
      <w:rFonts w:ascii="Arial" w:eastAsia="黑体" w:hAnsi="Arial" w:cs="Times New Roman"/>
      <w:b/>
      <w:bCs/>
      <w:sz w:val="32"/>
      <w:szCs w:val="32"/>
    </w:rPr>
  </w:style>
  <w:style w:type="paragraph" w:styleId="a5">
    <w:name w:val="Normal Indent"/>
    <w:basedOn w:val="a"/>
    <w:link w:val="Char1"/>
    <w:qFormat/>
    <w:rsid w:val="00FC66E3"/>
    <w:pPr>
      <w:ind w:firstLineChars="200" w:firstLine="420"/>
    </w:pPr>
    <w:rPr>
      <w:rFonts w:ascii="Times New Roman" w:eastAsia="宋体" w:hAnsi="Times New Roman" w:cs="Times New Roman"/>
      <w:szCs w:val="24"/>
    </w:rPr>
  </w:style>
  <w:style w:type="paragraph" w:styleId="a6">
    <w:name w:val="Title"/>
    <w:basedOn w:val="a"/>
    <w:next w:val="a"/>
    <w:link w:val="Char2"/>
    <w:uiPriority w:val="10"/>
    <w:qFormat/>
    <w:rsid w:val="00FC66E3"/>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6"/>
    <w:uiPriority w:val="10"/>
    <w:rsid w:val="00FC66E3"/>
    <w:rPr>
      <w:rFonts w:asciiTheme="majorHAnsi" w:eastAsia="宋体" w:hAnsiTheme="majorHAnsi" w:cstheme="majorBidi"/>
      <w:b/>
      <w:bCs/>
      <w:sz w:val="32"/>
      <w:szCs w:val="32"/>
    </w:rPr>
  </w:style>
  <w:style w:type="character" w:customStyle="1" w:styleId="Char1">
    <w:name w:val="正文缩进 Char"/>
    <w:link w:val="a5"/>
    <w:qFormat/>
    <w:rsid w:val="00FC66E3"/>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630</Words>
  <Characters>3595</Characters>
  <Application>Microsoft Office Word</Application>
  <DocSecurity>0</DocSecurity>
  <Lines>29</Lines>
  <Paragraphs>8</Paragraphs>
  <ScaleCrop>false</ScaleCrop>
  <Company>Microsoft</Company>
  <LinksUpToDate>false</LinksUpToDate>
  <CharactersWithSpaces>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代雯</dc:creator>
  <cp:keywords/>
  <dc:description/>
  <cp:lastModifiedBy>代雯</cp:lastModifiedBy>
  <cp:revision>2</cp:revision>
  <dcterms:created xsi:type="dcterms:W3CDTF">2022-04-08T08:07:00Z</dcterms:created>
  <dcterms:modified xsi:type="dcterms:W3CDTF">2022-04-08T08:07:00Z</dcterms:modified>
</cp:coreProperties>
</file>