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93" w:rsidRDefault="008C0A93" w:rsidP="008C0A93">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8C0A93" w:rsidRDefault="008C0A93" w:rsidP="008C0A93">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p w:rsidR="008C0A93" w:rsidRDefault="008C0A93" w:rsidP="008C0A93">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bookmarkEnd w:id="0"/>
    </w:p>
    <w:p w:rsidR="008C0A93" w:rsidRDefault="008C0A93" w:rsidP="008C0A93">
      <w:pPr>
        <w:pStyle w:val="a3"/>
        <w:spacing w:line="400" w:lineRule="exact"/>
        <w:ind w:firstLine="480"/>
        <w:rPr>
          <w:rFonts w:ascii="仿宋" w:eastAsia="仿宋" w:hAnsi="仿宋"/>
          <w:bCs/>
          <w:sz w:val="24"/>
        </w:rPr>
      </w:pPr>
      <w:bookmarkStart w:id="1"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w:t>
      </w:r>
      <w:r w:rsidRPr="001117C0">
        <w:rPr>
          <w:rFonts w:ascii="仿宋" w:eastAsia="仿宋" w:hAnsi="仿宋" w:hint="eastAsia"/>
          <w:bCs/>
          <w:sz w:val="24"/>
        </w:rPr>
        <w:t>根据原国土资源</w:t>
      </w:r>
      <w:proofErr w:type="gramStart"/>
      <w:r w:rsidRPr="001117C0">
        <w:rPr>
          <w:rFonts w:ascii="仿宋" w:eastAsia="仿宋" w:hAnsi="仿宋" w:hint="eastAsia"/>
          <w:bCs/>
          <w:sz w:val="24"/>
        </w:rPr>
        <w:t>部文件</w:t>
      </w:r>
      <w:proofErr w:type="gramEnd"/>
      <w:r w:rsidRPr="001117C0">
        <w:rPr>
          <w:rFonts w:ascii="仿宋" w:eastAsia="仿宋" w:hAnsi="仿宋" w:hint="eastAsia"/>
          <w:bCs/>
          <w:sz w:val="24"/>
        </w:rPr>
        <w:t>《关于进一步加强城市地价动态监测工作的通知》（</w:t>
      </w:r>
      <w:proofErr w:type="gramStart"/>
      <w:r w:rsidRPr="001117C0">
        <w:rPr>
          <w:rFonts w:ascii="仿宋" w:eastAsia="仿宋" w:hAnsi="仿宋" w:hint="eastAsia"/>
          <w:bCs/>
          <w:sz w:val="24"/>
        </w:rPr>
        <w:t>国土资发〔</w:t>
      </w:r>
      <w:r w:rsidRPr="001117C0">
        <w:rPr>
          <w:rFonts w:ascii="仿宋" w:eastAsia="仿宋" w:hAnsi="仿宋"/>
          <w:bCs/>
          <w:sz w:val="24"/>
        </w:rPr>
        <w:t>2008〕</w:t>
      </w:r>
      <w:proofErr w:type="gramEnd"/>
      <w:r w:rsidRPr="001117C0">
        <w:rPr>
          <w:rFonts w:ascii="仿宋" w:eastAsia="仿宋" w:hAnsi="仿宋"/>
          <w:bCs/>
          <w:sz w:val="24"/>
        </w:rPr>
        <w:t>51号）、《自然资源部办公厅关于做好2021年度自然资源评价评估有关工作的通知》（自然资办发〔2021〕39号）、《四川省自然资源厅办公室关于做好2021年度自然资源评价评估有关工作的通知》（</w:t>
      </w:r>
      <w:proofErr w:type="gramStart"/>
      <w:r w:rsidRPr="001117C0">
        <w:rPr>
          <w:rFonts w:ascii="仿宋" w:eastAsia="仿宋" w:hAnsi="仿宋"/>
          <w:bCs/>
          <w:sz w:val="24"/>
        </w:rPr>
        <w:t>川自然资</w:t>
      </w:r>
      <w:proofErr w:type="gramEnd"/>
      <w:r w:rsidRPr="001117C0">
        <w:rPr>
          <w:rFonts w:ascii="仿宋" w:eastAsia="仿宋" w:hAnsi="仿宋"/>
          <w:bCs/>
          <w:sz w:val="24"/>
        </w:rPr>
        <w:t>办函〔2021〕115号）等相关文件，要求成都市等105个主要城市持续开展国家级城市地价动态监测工作。为保证成都市城市地价动态监测成果的持续性与连贯性，继续开展成都市2022—2024年度城市地价动态监测维护工作。</w:t>
      </w:r>
    </w:p>
    <w:p w:rsidR="008C0A93" w:rsidRDefault="008C0A93" w:rsidP="008C0A93">
      <w:pPr>
        <w:pStyle w:val="a3"/>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467"/>
        <w:gridCol w:w="2746"/>
        <w:gridCol w:w="1556"/>
        <w:gridCol w:w="1555"/>
      </w:tblGrid>
      <w:tr w:rsidR="008C0A93" w:rsidTr="006C7628">
        <w:trPr>
          <w:jc w:val="center"/>
        </w:trPr>
        <w:tc>
          <w:tcPr>
            <w:tcW w:w="586" w:type="pct"/>
            <w:shd w:val="clear" w:color="auto" w:fill="auto"/>
            <w:vAlign w:val="center"/>
          </w:tcPr>
          <w:p w:rsidR="008C0A93" w:rsidRPr="006435A0" w:rsidRDefault="008C0A93" w:rsidP="006C7628">
            <w:pPr>
              <w:pStyle w:val="a3"/>
              <w:spacing w:line="400" w:lineRule="exact"/>
              <w:ind w:firstLineChars="0" w:firstLine="0"/>
              <w:jc w:val="center"/>
              <w:rPr>
                <w:rFonts w:ascii="仿宋" w:eastAsia="仿宋" w:hAnsi="仿宋"/>
                <w:bCs/>
                <w:sz w:val="24"/>
              </w:rPr>
            </w:pPr>
            <w:proofErr w:type="gramStart"/>
            <w:r w:rsidRPr="006435A0">
              <w:rPr>
                <w:rFonts w:ascii="仿宋" w:eastAsia="仿宋" w:hAnsi="仿宋" w:hint="eastAsia"/>
                <w:bCs/>
                <w:sz w:val="24"/>
              </w:rPr>
              <w:t>包号</w:t>
            </w:r>
            <w:proofErr w:type="gramEnd"/>
          </w:p>
        </w:tc>
        <w:tc>
          <w:tcPr>
            <w:tcW w:w="884" w:type="pct"/>
            <w:shd w:val="clear" w:color="auto" w:fill="auto"/>
            <w:vAlign w:val="center"/>
          </w:tcPr>
          <w:p w:rsidR="008C0A93" w:rsidRPr="006435A0" w:rsidRDefault="008C0A93" w:rsidP="006C7628">
            <w:pPr>
              <w:pStyle w:val="a3"/>
              <w:spacing w:line="400" w:lineRule="exact"/>
              <w:ind w:firstLineChars="0" w:firstLine="0"/>
              <w:rPr>
                <w:rFonts w:ascii="仿宋" w:eastAsia="仿宋" w:hAnsi="仿宋"/>
                <w:bCs/>
                <w:sz w:val="24"/>
              </w:rPr>
            </w:pPr>
            <w:r w:rsidRPr="006435A0">
              <w:rPr>
                <w:rFonts w:ascii="仿宋" w:eastAsia="仿宋" w:hAnsi="仿宋" w:hint="eastAsia"/>
                <w:bCs/>
                <w:sz w:val="24"/>
              </w:rPr>
              <w:t>品目号</w:t>
            </w:r>
          </w:p>
        </w:tc>
        <w:tc>
          <w:tcPr>
            <w:tcW w:w="1655" w:type="pct"/>
            <w:shd w:val="clear" w:color="auto" w:fill="auto"/>
            <w:vAlign w:val="center"/>
          </w:tcPr>
          <w:p w:rsidR="008C0A93" w:rsidRPr="006435A0" w:rsidRDefault="008C0A93" w:rsidP="006C7628">
            <w:pPr>
              <w:pStyle w:val="a3"/>
              <w:spacing w:line="400" w:lineRule="exact"/>
              <w:ind w:firstLineChars="0" w:firstLine="0"/>
              <w:rPr>
                <w:rFonts w:ascii="仿宋" w:eastAsia="仿宋" w:hAnsi="仿宋"/>
                <w:bCs/>
                <w:sz w:val="24"/>
              </w:rPr>
            </w:pPr>
            <w:r w:rsidRPr="006435A0">
              <w:rPr>
                <w:rFonts w:ascii="仿宋" w:eastAsia="仿宋" w:hAnsi="仿宋" w:hint="eastAsia"/>
                <w:bCs/>
                <w:sz w:val="24"/>
              </w:rPr>
              <w:t>标的</w:t>
            </w:r>
            <w:r w:rsidRPr="006435A0">
              <w:rPr>
                <w:rFonts w:ascii="仿宋" w:eastAsia="仿宋" w:hAnsi="仿宋"/>
                <w:bCs/>
                <w:sz w:val="24"/>
              </w:rPr>
              <w:t>名称</w:t>
            </w:r>
          </w:p>
        </w:tc>
        <w:tc>
          <w:tcPr>
            <w:tcW w:w="938" w:type="pct"/>
            <w:shd w:val="clear" w:color="auto" w:fill="auto"/>
            <w:vAlign w:val="center"/>
          </w:tcPr>
          <w:p w:rsidR="008C0A93" w:rsidRPr="006435A0" w:rsidRDefault="008C0A93" w:rsidP="006C7628">
            <w:pPr>
              <w:pStyle w:val="a3"/>
              <w:spacing w:line="400" w:lineRule="exact"/>
              <w:ind w:firstLineChars="0" w:firstLine="0"/>
              <w:rPr>
                <w:rFonts w:ascii="仿宋" w:eastAsia="仿宋" w:hAnsi="仿宋"/>
                <w:bCs/>
                <w:sz w:val="24"/>
              </w:rPr>
            </w:pPr>
            <w:r w:rsidRPr="006435A0">
              <w:rPr>
                <w:rFonts w:ascii="仿宋" w:eastAsia="仿宋" w:hAnsi="仿宋" w:hint="eastAsia"/>
                <w:bCs/>
                <w:sz w:val="24"/>
              </w:rPr>
              <w:t>所属行业</w:t>
            </w:r>
          </w:p>
        </w:tc>
        <w:tc>
          <w:tcPr>
            <w:tcW w:w="937" w:type="pct"/>
            <w:shd w:val="clear" w:color="auto" w:fill="auto"/>
          </w:tcPr>
          <w:p w:rsidR="008C0A93" w:rsidRPr="006435A0" w:rsidRDefault="008C0A93" w:rsidP="006C7628">
            <w:pPr>
              <w:pStyle w:val="a3"/>
              <w:spacing w:line="400" w:lineRule="exact"/>
              <w:ind w:firstLineChars="0" w:firstLine="0"/>
              <w:rPr>
                <w:rFonts w:ascii="仿宋" w:eastAsia="仿宋" w:hAnsi="仿宋"/>
                <w:bCs/>
                <w:sz w:val="24"/>
              </w:rPr>
            </w:pPr>
            <w:r w:rsidRPr="006435A0">
              <w:rPr>
                <w:rFonts w:ascii="仿宋" w:eastAsia="仿宋" w:hAnsi="仿宋" w:hint="eastAsia"/>
                <w:bCs/>
                <w:sz w:val="24"/>
              </w:rPr>
              <w:t>数量</w:t>
            </w:r>
          </w:p>
        </w:tc>
      </w:tr>
      <w:tr w:rsidR="008C0A93" w:rsidTr="006C7628">
        <w:trPr>
          <w:jc w:val="center"/>
        </w:trPr>
        <w:tc>
          <w:tcPr>
            <w:tcW w:w="586" w:type="pct"/>
            <w:shd w:val="clear" w:color="auto" w:fill="auto"/>
            <w:vAlign w:val="center"/>
          </w:tcPr>
          <w:p w:rsidR="008C0A93" w:rsidRPr="006435A0" w:rsidRDefault="008C0A93" w:rsidP="006C7628">
            <w:pPr>
              <w:pStyle w:val="a3"/>
              <w:spacing w:line="400" w:lineRule="exact"/>
              <w:ind w:firstLineChars="0" w:firstLine="0"/>
              <w:jc w:val="center"/>
              <w:rPr>
                <w:rFonts w:ascii="仿宋" w:eastAsia="仿宋" w:hAnsi="仿宋"/>
                <w:bCs/>
                <w:sz w:val="24"/>
              </w:rPr>
            </w:pPr>
            <w:r w:rsidRPr="006435A0">
              <w:rPr>
                <w:rFonts w:ascii="仿宋" w:eastAsia="仿宋" w:hAnsi="仿宋"/>
                <w:bCs/>
                <w:sz w:val="24"/>
              </w:rPr>
              <w:t>01</w:t>
            </w:r>
          </w:p>
        </w:tc>
        <w:tc>
          <w:tcPr>
            <w:tcW w:w="884" w:type="pct"/>
            <w:shd w:val="clear" w:color="auto" w:fill="auto"/>
            <w:vAlign w:val="center"/>
          </w:tcPr>
          <w:p w:rsidR="008C0A93" w:rsidRPr="006435A0" w:rsidRDefault="008C0A93" w:rsidP="006C7628">
            <w:pPr>
              <w:pStyle w:val="a3"/>
              <w:spacing w:line="400" w:lineRule="exact"/>
              <w:ind w:firstLineChars="0" w:firstLine="0"/>
              <w:rPr>
                <w:rFonts w:ascii="仿宋" w:eastAsia="仿宋" w:hAnsi="仿宋"/>
                <w:bCs/>
                <w:sz w:val="24"/>
              </w:rPr>
            </w:pPr>
            <w:r w:rsidRPr="006435A0">
              <w:rPr>
                <w:rFonts w:ascii="仿宋" w:eastAsia="仿宋" w:hAnsi="仿宋" w:hint="eastAsia"/>
                <w:bCs/>
                <w:sz w:val="24"/>
              </w:rPr>
              <w:t>1-1</w:t>
            </w:r>
          </w:p>
        </w:tc>
        <w:tc>
          <w:tcPr>
            <w:tcW w:w="1655" w:type="pct"/>
            <w:shd w:val="clear" w:color="auto" w:fill="auto"/>
            <w:vAlign w:val="center"/>
          </w:tcPr>
          <w:p w:rsidR="008C0A93" w:rsidRPr="006435A0" w:rsidRDefault="008C0A93" w:rsidP="006C7628">
            <w:pPr>
              <w:pStyle w:val="a3"/>
              <w:spacing w:line="400" w:lineRule="exact"/>
              <w:ind w:firstLineChars="0" w:firstLine="0"/>
              <w:rPr>
                <w:rFonts w:ascii="仿宋" w:eastAsia="仿宋" w:hAnsi="仿宋"/>
                <w:bCs/>
                <w:sz w:val="24"/>
              </w:rPr>
            </w:pPr>
            <w:r w:rsidRPr="006435A0">
              <w:rPr>
                <w:rFonts w:ascii="仿宋" w:eastAsia="仿宋" w:hAnsi="仿宋"/>
                <w:bCs/>
                <w:sz w:val="24"/>
              </w:rPr>
              <w:t>成都市2022—2024年度城市地价动态监测维护</w:t>
            </w:r>
            <w:r w:rsidRPr="006435A0">
              <w:rPr>
                <w:rFonts w:ascii="仿宋" w:eastAsia="仿宋" w:hAnsi="仿宋" w:hint="eastAsia"/>
                <w:bCs/>
                <w:sz w:val="24"/>
              </w:rPr>
              <w:t>服务</w:t>
            </w:r>
          </w:p>
        </w:tc>
        <w:tc>
          <w:tcPr>
            <w:tcW w:w="938" w:type="pct"/>
            <w:shd w:val="clear" w:color="auto" w:fill="auto"/>
            <w:vAlign w:val="center"/>
          </w:tcPr>
          <w:p w:rsidR="008C0A93" w:rsidRPr="006435A0" w:rsidRDefault="008C0A93" w:rsidP="006C7628">
            <w:pPr>
              <w:pStyle w:val="a3"/>
              <w:spacing w:line="400" w:lineRule="exact"/>
              <w:ind w:firstLineChars="0" w:firstLine="0"/>
              <w:rPr>
                <w:rFonts w:ascii="仿宋" w:eastAsia="仿宋" w:hAnsi="仿宋"/>
                <w:bCs/>
                <w:sz w:val="24"/>
              </w:rPr>
            </w:pPr>
            <w:r w:rsidRPr="006435A0">
              <w:rPr>
                <w:rFonts w:ascii="仿宋" w:eastAsia="仿宋" w:hAnsi="仿宋" w:hint="eastAsia"/>
                <w:bCs/>
                <w:sz w:val="24"/>
              </w:rPr>
              <w:t>其他未列明行业</w:t>
            </w:r>
          </w:p>
        </w:tc>
        <w:tc>
          <w:tcPr>
            <w:tcW w:w="937" w:type="pct"/>
            <w:shd w:val="clear" w:color="auto" w:fill="auto"/>
          </w:tcPr>
          <w:p w:rsidR="008C0A93" w:rsidRPr="006435A0" w:rsidRDefault="008C0A93" w:rsidP="006C7628">
            <w:pPr>
              <w:pStyle w:val="a3"/>
              <w:spacing w:line="400" w:lineRule="exact"/>
              <w:ind w:firstLineChars="0" w:firstLine="0"/>
              <w:rPr>
                <w:rFonts w:ascii="仿宋" w:eastAsia="仿宋" w:hAnsi="仿宋"/>
                <w:bCs/>
                <w:sz w:val="24"/>
              </w:rPr>
            </w:pPr>
            <w:r w:rsidRPr="006435A0">
              <w:rPr>
                <w:rFonts w:ascii="仿宋" w:eastAsia="仿宋" w:hAnsi="仿宋" w:hint="eastAsia"/>
                <w:bCs/>
                <w:sz w:val="24"/>
              </w:rPr>
              <w:t>三年</w:t>
            </w:r>
          </w:p>
        </w:tc>
      </w:tr>
    </w:tbl>
    <w:p w:rsidR="008C0A93" w:rsidRDefault="008C0A93" w:rsidP="008C0A93">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sidRPr="001117C0">
        <w:rPr>
          <w:rFonts w:ascii="仿宋" w:eastAsia="仿宋" w:hAnsi="仿宋" w:hint="eastAsia"/>
          <w:sz w:val="24"/>
          <w:szCs w:val="24"/>
        </w:rPr>
        <w:t>服务内容及要求</w:t>
      </w:r>
    </w:p>
    <w:p w:rsidR="008C0A93" w:rsidRPr="007D0F9C" w:rsidRDefault="008C0A93" w:rsidP="008C0A93">
      <w:pPr>
        <w:pStyle w:val="a3"/>
        <w:spacing w:line="360" w:lineRule="auto"/>
        <w:ind w:firstLine="482"/>
        <w:rPr>
          <w:rFonts w:ascii="仿宋" w:eastAsia="仿宋" w:hAnsi="仿宋"/>
          <w:b/>
          <w:bCs/>
          <w:sz w:val="24"/>
        </w:rPr>
      </w:pPr>
      <w:r w:rsidRPr="007D0F9C">
        <w:rPr>
          <w:rFonts w:ascii="仿宋" w:eastAsia="仿宋" w:hAnsi="仿宋" w:hint="eastAsia"/>
          <w:b/>
          <w:bCs/>
          <w:sz w:val="24"/>
        </w:rPr>
        <w:t>1、服务的工作范围</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本次成都市地价动态监测维护涉及的工作范围为：成都市城市建成区范围(即现有地价动态监测平台体系覆盖范围，并根据城市发展适当调整)。</w:t>
      </w:r>
    </w:p>
    <w:p w:rsidR="008C0A93" w:rsidRPr="007D0F9C" w:rsidRDefault="008C0A93" w:rsidP="008C0A93">
      <w:pPr>
        <w:pStyle w:val="a3"/>
        <w:spacing w:line="360" w:lineRule="auto"/>
        <w:ind w:firstLine="482"/>
        <w:rPr>
          <w:rFonts w:ascii="仿宋" w:eastAsia="仿宋" w:hAnsi="仿宋"/>
          <w:b/>
          <w:bCs/>
          <w:sz w:val="24"/>
        </w:rPr>
      </w:pPr>
      <w:r w:rsidRPr="007D0F9C">
        <w:rPr>
          <w:rFonts w:ascii="仿宋" w:eastAsia="仿宋" w:hAnsi="仿宋" w:hint="eastAsia"/>
          <w:b/>
          <w:bCs/>
          <w:sz w:val="24"/>
        </w:rPr>
        <w:t>2、服务的各项具体职责及要求</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根据上级主管部门以及相关文件要求，需提供以下成果：</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（1）年度备案资料</w:t>
      </w:r>
    </w:p>
    <w:p w:rsidR="008C0A93" w:rsidRPr="007D0F9C" w:rsidRDefault="008C0A93" w:rsidP="008C0A93">
      <w:pPr>
        <w:pStyle w:val="a3"/>
        <w:spacing w:line="360" w:lineRule="auto"/>
        <w:ind w:firstLine="480"/>
        <w:rPr>
          <w:rFonts w:ascii="仿宋" w:eastAsia="仿宋" w:hAnsi="仿宋"/>
          <w:sz w:val="24"/>
        </w:rPr>
      </w:pPr>
      <w:r>
        <w:rPr>
          <w:rFonts w:ascii="仿宋" w:eastAsia="仿宋" w:hAnsi="仿宋" w:hint="eastAsia"/>
          <w:sz w:val="24"/>
        </w:rPr>
        <w:lastRenderedPageBreak/>
        <w:t>①</w:t>
      </w:r>
      <w:r w:rsidRPr="007D0F9C">
        <w:rPr>
          <w:rFonts w:ascii="仿宋" w:eastAsia="仿宋" w:hAnsi="仿宋" w:hint="eastAsia"/>
          <w:sz w:val="24"/>
        </w:rPr>
        <w:t>平台未发生调整、变更情况下</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无论是否变更都应统一上交城市地价动态监测范围与标准宗地情况确认函和基准地价更新情况确认函。</w:t>
      </w:r>
    </w:p>
    <w:p w:rsidR="008C0A93" w:rsidRPr="007D0F9C" w:rsidRDefault="008C0A93" w:rsidP="008C0A93">
      <w:pPr>
        <w:pStyle w:val="a3"/>
        <w:spacing w:line="360" w:lineRule="auto"/>
        <w:ind w:firstLine="480"/>
        <w:rPr>
          <w:rFonts w:ascii="仿宋" w:eastAsia="仿宋" w:hAnsi="仿宋"/>
          <w:sz w:val="24"/>
        </w:rPr>
      </w:pPr>
      <w:r>
        <w:rPr>
          <w:rFonts w:ascii="仿宋" w:eastAsia="仿宋" w:hAnsi="仿宋" w:hint="eastAsia"/>
          <w:sz w:val="24"/>
        </w:rPr>
        <w:t>②</w:t>
      </w:r>
      <w:r w:rsidRPr="007D0F9C">
        <w:rPr>
          <w:rFonts w:ascii="仿宋" w:eastAsia="仿宋" w:hAnsi="仿宋" w:hint="eastAsia"/>
          <w:sz w:val="24"/>
        </w:rPr>
        <w:t>平台发生调整、变更情况下</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平台发生调整、变更后，除上交城市地价动态监测范围与标准宗地情况确认函外，还应上交以下文档：</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有关参与工作单位及人员备案资料变更的，需提交相应调整后的城市地价动态监测联络员及技术负责人信息登记表（初始/变更）、城市地价动态监测技术承担单位信息表（初始/变更）、标准宗地信息采集人员登记表（初始/变更）。技术承担单位变更需由当地国土资源行政主管部门提交正式的变更申请，技术承担单位名称变更中为公司更名需提交工商管理部门核准变更登记通知书复印件，事业单位更名需提交当地编办文件复印件。</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有关城市地价动态监测范围、标准宗地备案资料变更的，需提交相应调整后的城市地价动态监测范围及标准宗地布设方案、城市地价动态监测范围及标准宗地布设图、标准宗地信息采集人员登记表（初始/变更）、标准宗地登记表（初始/变更）、标准宗地的宗地图和现状影像照片（新增和被删除的标准宗地均需提交现状影像照片）、地价区段登记表（初始/变更）、标准宗地（年度）变更统计表。</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年度备案资料一经变更，均需在上报变更资料的基础上，加报详尽的调整文字说明与相应证明文件。</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（2）季（年）</w:t>
      </w:r>
      <w:proofErr w:type="gramStart"/>
      <w:r w:rsidRPr="007D0F9C">
        <w:rPr>
          <w:rFonts w:ascii="仿宋" w:eastAsia="仿宋" w:hAnsi="仿宋" w:hint="eastAsia"/>
          <w:sz w:val="24"/>
        </w:rPr>
        <w:t>度城市</w:t>
      </w:r>
      <w:proofErr w:type="gramEnd"/>
      <w:r w:rsidRPr="007D0F9C">
        <w:rPr>
          <w:rFonts w:ascii="仿宋" w:eastAsia="仿宋" w:hAnsi="仿宋" w:hint="eastAsia"/>
          <w:sz w:val="24"/>
        </w:rPr>
        <w:t>地价动态监测数据采集与维护项目成果</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季度成果</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①估价师标准宗地调查表（季度）</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②技术承担单位标准宗地汇总表（季度）</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③标准宗地地价评估技术要点表</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④地价动态监测指标（季度）调查表（季度）</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lastRenderedPageBreak/>
        <w:t>⑤标准宗地地价评估报告</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⑥地价动态监测指标测算过程表（季度）</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⑦土地交易样本（季度）调查表</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⑧异常点汇总表</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季度内未发生土地交易或评估异常点，仍需上报空白的⑦、⑧。上报的②中，如确实仅能采用一种评估方法进行标准宗地评估的，需提交当地自然资源行政主管部门出具的正式证明文件（一年一次），并明确能够采用两种评估方法的预计时段；如采用的不同评估方法所确定的评估值之间存在 30%以上差异时，需在备注栏中填写各评估方法权重确定理由的说明。</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年度成果</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表格类成果：</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①土地（年度）供需情况调查表</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注：如城市基准地价更新，还应填写城市基准地价更新情况调查表、</w:t>
      </w:r>
      <w:proofErr w:type="gramStart"/>
      <w:r w:rsidRPr="007D0F9C">
        <w:rPr>
          <w:rFonts w:ascii="仿宋" w:eastAsia="仿宋" w:hAnsi="仿宋" w:hint="eastAsia"/>
          <w:sz w:val="24"/>
        </w:rPr>
        <w:t>路线价</w:t>
      </w:r>
      <w:proofErr w:type="gramEnd"/>
      <w:r w:rsidRPr="007D0F9C">
        <w:rPr>
          <w:rFonts w:ascii="仿宋" w:eastAsia="仿宋" w:hAnsi="仿宋" w:hint="eastAsia"/>
          <w:sz w:val="24"/>
        </w:rPr>
        <w:t>更新情况调查表）、区片地价更新情况调查表（无级别价、路线价、区片价中任意一种或几种的，应上报相应空表）连同基准地价成果图、表一并上报；如年内城市基准地价未更新，仍需上报与上一年度相同的表格。如基准地价成果已通过电子备案，取得电子备案号，则无需在此重复上报。</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报告类成果：</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②年度地价状况分析报告</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注：上报的年度地价状况分析报告中应有市场形势变化、地价变动趋势分析等。</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图件成果：</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③用途土地交易样本分布图（一种用途一张，每张图上包含该用途全年交易样点）</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④基准地价更新图件（如基准地价未更新则不需上报，若基准地价成果已通</w:t>
      </w:r>
      <w:r w:rsidRPr="007D0F9C">
        <w:rPr>
          <w:rFonts w:ascii="仿宋" w:eastAsia="仿宋" w:hAnsi="仿宋" w:hint="eastAsia"/>
          <w:sz w:val="24"/>
        </w:rPr>
        <w:lastRenderedPageBreak/>
        <w:t>过电子备案，取得电子备案号，则无需在此重复上报）</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（3）商品房成本构成调查与监测成果</w:t>
      </w:r>
    </w:p>
    <w:p w:rsidR="008C0A93" w:rsidRPr="007D0F9C" w:rsidRDefault="008C0A93" w:rsidP="008C0A93">
      <w:pPr>
        <w:pStyle w:val="a3"/>
        <w:spacing w:line="360" w:lineRule="auto"/>
        <w:ind w:firstLine="480"/>
        <w:rPr>
          <w:rFonts w:ascii="仿宋" w:eastAsia="仿宋" w:hAnsi="仿宋"/>
          <w:sz w:val="24"/>
        </w:rPr>
      </w:pPr>
      <w:r w:rsidRPr="007D0F9C">
        <w:rPr>
          <w:rFonts w:ascii="仿宋" w:eastAsia="仿宋" w:hAnsi="仿宋" w:hint="eastAsia"/>
          <w:sz w:val="24"/>
        </w:rPr>
        <w:t>本市当年度商品房成本构成调查表</w:t>
      </w:r>
    </w:p>
    <w:p w:rsidR="008C0A93" w:rsidRPr="007D0F9C" w:rsidRDefault="008C0A93" w:rsidP="008C0A93">
      <w:pPr>
        <w:pStyle w:val="a3"/>
        <w:spacing w:line="360" w:lineRule="auto"/>
        <w:ind w:firstLine="482"/>
        <w:rPr>
          <w:rFonts w:ascii="仿宋" w:eastAsia="仿宋" w:hAnsi="仿宋"/>
          <w:b/>
          <w:bCs/>
          <w:sz w:val="24"/>
        </w:rPr>
      </w:pPr>
      <w:r w:rsidRPr="007D0F9C">
        <w:rPr>
          <w:rFonts w:ascii="仿宋" w:eastAsia="仿宋" w:hAnsi="仿宋" w:hint="eastAsia"/>
          <w:b/>
          <w:bCs/>
          <w:sz w:val="24"/>
        </w:rPr>
        <w:t>3、其他要求</w:t>
      </w:r>
    </w:p>
    <w:p w:rsidR="008C0A93" w:rsidRDefault="008C0A93" w:rsidP="008C0A93">
      <w:pPr>
        <w:pStyle w:val="a3"/>
        <w:spacing w:line="400" w:lineRule="exact"/>
        <w:ind w:firstLine="480"/>
        <w:rPr>
          <w:rFonts w:ascii="仿宋" w:eastAsia="仿宋" w:hAnsi="仿宋"/>
          <w:sz w:val="24"/>
        </w:rPr>
      </w:pPr>
      <w:r w:rsidRPr="007D0F9C">
        <w:rPr>
          <w:rFonts w:ascii="仿宋" w:eastAsia="仿宋" w:hAnsi="仿宋" w:hint="eastAsia"/>
          <w:sz w:val="24"/>
        </w:rPr>
        <w:t>本项目须按《城市地价动态监测技术规范》（TD/T1009-2007）、《城镇土地分等定级规程》(GB/T18507-2014)、《城镇土地估价规程》(GB/T18508-2014)和国家有关地价评估和管理的法律、法规及政策要求，按时提交相应成果，并通过中国土地勘测规划院的技术检查</w:t>
      </w:r>
      <w:proofErr w:type="gramStart"/>
      <w:r w:rsidRPr="007D0F9C">
        <w:rPr>
          <w:rFonts w:ascii="仿宋" w:eastAsia="仿宋" w:hAnsi="仿宋" w:hint="eastAsia"/>
          <w:sz w:val="24"/>
        </w:rPr>
        <w:t>并成果</w:t>
      </w:r>
      <w:proofErr w:type="gramEnd"/>
      <w:r w:rsidRPr="007D0F9C">
        <w:rPr>
          <w:rFonts w:ascii="仿宋" w:eastAsia="仿宋" w:hAnsi="仿宋" w:hint="eastAsia"/>
          <w:sz w:val="24"/>
        </w:rPr>
        <w:t>备案。</w:t>
      </w:r>
    </w:p>
    <w:p w:rsidR="008C0A93" w:rsidRDefault="008C0A93" w:rsidP="008C0A93">
      <w:pPr>
        <w:pStyle w:val="a3"/>
        <w:spacing w:line="400" w:lineRule="exact"/>
        <w:ind w:firstLine="480"/>
        <w:rPr>
          <w:rFonts w:ascii="仿宋" w:eastAsia="仿宋" w:hAnsi="仿宋"/>
          <w:bCs/>
          <w:sz w:val="24"/>
        </w:rPr>
      </w:pPr>
      <w:r>
        <w:rPr>
          <w:rFonts w:ascii="仿宋" w:eastAsia="仿宋" w:hAnsi="仿宋" w:hint="eastAsia"/>
          <w:sz w:val="24"/>
        </w:rPr>
        <w:t>所有成果知识产权归采购人所有。</w:t>
      </w:r>
    </w:p>
    <w:p w:rsidR="008C0A93" w:rsidRDefault="008C0A93" w:rsidP="008C0A93">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*三、商务</w:t>
      </w:r>
      <w:r>
        <w:rPr>
          <w:rFonts w:ascii="仿宋" w:eastAsia="仿宋" w:hAnsi="仿宋"/>
          <w:sz w:val="24"/>
          <w:szCs w:val="24"/>
        </w:rPr>
        <w:t>要求</w:t>
      </w:r>
      <w:bookmarkEnd w:id="1"/>
    </w:p>
    <w:p w:rsidR="008C0A93" w:rsidRPr="007D0F9C" w:rsidRDefault="008C0A93" w:rsidP="008C0A93">
      <w:pPr>
        <w:pStyle w:val="a3"/>
        <w:spacing w:line="400" w:lineRule="exact"/>
        <w:ind w:firstLine="482"/>
        <w:rPr>
          <w:rFonts w:ascii="仿宋" w:eastAsia="仿宋" w:hAnsi="仿宋"/>
          <w:b/>
          <w:bCs/>
          <w:sz w:val="24"/>
        </w:rPr>
      </w:pPr>
      <w:r w:rsidRPr="007D0F9C">
        <w:rPr>
          <w:rFonts w:ascii="仿宋" w:eastAsia="仿宋" w:hAnsi="仿宋" w:hint="eastAsia"/>
          <w:b/>
          <w:bCs/>
          <w:sz w:val="24"/>
        </w:rPr>
        <w:t>1、服务时间</w:t>
      </w:r>
    </w:p>
    <w:p w:rsidR="008C0A93" w:rsidRPr="007D0F9C" w:rsidRDefault="008C0A93" w:rsidP="008C0A93">
      <w:pPr>
        <w:pStyle w:val="a3"/>
        <w:spacing w:line="400" w:lineRule="exact"/>
        <w:ind w:firstLine="480"/>
        <w:rPr>
          <w:rFonts w:ascii="仿宋" w:eastAsia="仿宋" w:hAnsi="仿宋"/>
          <w:sz w:val="24"/>
        </w:rPr>
      </w:pPr>
      <w:r w:rsidRPr="007D0F9C">
        <w:rPr>
          <w:rFonts w:ascii="仿宋" w:eastAsia="仿宋" w:hAnsi="仿宋" w:hint="eastAsia"/>
          <w:sz w:val="24"/>
        </w:rPr>
        <w:t>服务期限为 2022—2024年。每季度应于3月10日、6月10日、9月10日、12月10日之前提交季度成果，每年应于12月31日之前提交年度成果；同时每年应于7月15日之前完成成都市基于具体楼盘的商品房成本构成调查表。</w:t>
      </w:r>
    </w:p>
    <w:p w:rsidR="008C0A93" w:rsidRPr="007D0F9C" w:rsidRDefault="008C0A93" w:rsidP="008C0A93">
      <w:pPr>
        <w:pStyle w:val="a3"/>
        <w:spacing w:line="400" w:lineRule="exact"/>
        <w:ind w:firstLine="482"/>
        <w:rPr>
          <w:rFonts w:ascii="仿宋" w:eastAsia="仿宋" w:hAnsi="仿宋"/>
          <w:b/>
          <w:bCs/>
          <w:sz w:val="24"/>
        </w:rPr>
      </w:pPr>
      <w:r w:rsidRPr="007D0F9C">
        <w:rPr>
          <w:rFonts w:ascii="仿宋" w:eastAsia="仿宋" w:hAnsi="仿宋" w:hint="eastAsia"/>
          <w:b/>
          <w:bCs/>
          <w:sz w:val="24"/>
        </w:rPr>
        <w:t>2、服务费收取、支付相关约定</w:t>
      </w:r>
    </w:p>
    <w:p w:rsidR="008C0A93" w:rsidRPr="007D0F9C" w:rsidRDefault="008C0A93" w:rsidP="008C0A93">
      <w:pPr>
        <w:pStyle w:val="a3"/>
        <w:spacing w:line="400" w:lineRule="exact"/>
        <w:ind w:firstLine="480"/>
        <w:rPr>
          <w:rFonts w:ascii="仿宋" w:eastAsia="仿宋" w:hAnsi="仿宋"/>
          <w:sz w:val="24"/>
        </w:rPr>
      </w:pPr>
      <w:r w:rsidRPr="007D0F9C">
        <w:rPr>
          <w:rFonts w:ascii="仿宋" w:eastAsia="仿宋" w:hAnsi="仿宋" w:hint="eastAsia"/>
          <w:sz w:val="24"/>
        </w:rPr>
        <w:t>在合同服务期内，采购人每年分两次向</w:t>
      </w:r>
      <w:r>
        <w:rPr>
          <w:rFonts w:ascii="仿宋" w:eastAsia="仿宋" w:hAnsi="仿宋" w:hint="eastAsia"/>
          <w:sz w:val="24"/>
        </w:rPr>
        <w:t>中标</w:t>
      </w:r>
      <w:r w:rsidRPr="007D0F9C">
        <w:rPr>
          <w:rFonts w:ascii="仿宋" w:eastAsia="仿宋" w:hAnsi="仿宋" w:hint="eastAsia"/>
          <w:sz w:val="24"/>
        </w:rPr>
        <w:t>人支付当年项目工作经费，每年6月30日之前支付该年度项目工作经费的50%，提交年度成果并经上级主管部门验收合格后10个工作日内，支付当年年度项目经费剩余的50%。在采购人付款前，</w:t>
      </w:r>
      <w:r>
        <w:rPr>
          <w:rFonts w:ascii="仿宋" w:eastAsia="仿宋" w:hAnsi="仿宋" w:hint="eastAsia"/>
          <w:sz w:val="24"/>
        </w:rPr>
        <w:t>中标</w:t>
      </w:r>
      <w:r w:rsidRPr="007D0F9C">
        <w:rPr>
          <w:rFonts w:ascii="仿宋" w:eastAsia="仿宋" w:hAnsi="仿宋" w:hint="eastAsia"/>
          <w:sz w:val="24"/>
        </w:rPr>
        <w:t>人需向采购人开具等额符合财政要求的付款凭证。</w:t>
      </w:r>
    </w:p>
    <w:p w:rsidR="008C0A93" w:rsidRPr="007D0F9C" w:rsidRDefault="008C0A93" w:rsidP="008C0A93">
      <w:pPr>
        <w:pStyle w:val="a3"/>
        <w:spacing w:line="400" w:lineRule="exact"/>
        <w:ind w:firstLine="482"/>
        <w:rPr>
          <w:rFonts w:ascii="仿宋" w:eastAsia="仿宋" w:hAnsi="仿宋"/>
          <w:b/>
          <w:bCs/>
          <w:sz w:val="24"/>
        </w:rPr>
      </w:pPr>
      <w:r w:rsidRPr="007D0F9C">
        <w:rPr>
          <w:rFonts w:ascii="仿宋" w:eastAsia="仿宋" w:hAnsi="仿宋" w:hint="eastAsia"/>
          <w:b/>
          <w:bCs/>
          <w:sz w:val="24"/>
        </w:rPr>
        <w:t>3、履约考核</w:t>
      </w:r>
    </w:p>
    <w:p w:rsidR="00FC3466" w:rsidRDefault="008C0A93" w:rsidP="008C0A93">
      <w:r w:rsidRPr="007D0F9C">
        <w:rPr>
          <w:rFonts w:ascii="仿宋" w:eastAsia="仿宋" w:hAnsi="仿宋" w:hint="eastAsia"/>
          <w:sz w:val="24"/>
        </w:rPr>
        <w:t>通过中国国土勘测规划院验收。</w:t>
      </w:r>
      <w:bookmarkStart w:id="2" w:name="_GoBack"/>
      <w:bookmarkEnd w:id="2"/>
    </w:p>
    <w:sectPr w:rsidR="00FC34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93"/>
    <w:rsid w:val="008C0A93"/>
    <w:rsid w:val="00FC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1F1C8-1FD6-45C1-88B9-50B95559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93"/>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8C0A9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C0A9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8C0A93"/>
    <w:rPr>
      <w:rFonts w:ascii="Calibri" w:eastAsia="宋体" w:hAnsi="Calibri" w:cs="Times New Roman"/>
      <w:b/>
      <w:bCs/>
      <w:kern w:val="44"/>
      <w:sz w:val="44"/>
      <w:szCs w:val="44"/>
    </w:rPr>
  </w:style>
  <w:style w:type="character" w:customStyle="1" w:styleId="2Char">
    <w:name w:val="标题 2 Char"/>
    <w:basedOn w:val="a0"/>
    <w:link w:val="2"/>
    <w:rsid w:val="008C0A93"/>
    <w:rPr>
      <w:rFonts w:ascii="Arial" w:eastAsia="黑体" w:hAnsi="Arial" w:cs="Times New Roman"/>
      <w:b/>
      <w:bCs/>
      <w:sz w:val="32"/>
      <w:szCs w:val="32"/>
    </w:rPr>
  </w:style>
  <w:style w:type="paragraph" w:styleId="a3">
    <w:name w:val="Normal Indent"/>
    <w:basedOn w:val="a"/>
    <w:link w:val="a4"/>
    <w:qFormat/>
    <w:rsid w:val="008C0A93"/>
    <w:pPr>
      <w:ind w:firstLineChars="200" w:firstLine="200"/>
    </w:pPr>
  </w:style>
  <w:style w:type="character" w:customStyle="1" w:styleId="10">
    <w:name w:val="标题 1 字符"/>
    <w:link w:val="1"/>
    <w:qFormat/>
    <w:rsid w:val="008C0A93"/>
    <w:rPr>
      <w:rFonts w:ascii="Calibri" w:eastAsia="宋体" w:hAnsi="Calibri" w:cs="Times New Roman"/>
      <w:b/>
      <w:bCs/>
      <w:kern w:val="44"/>
      <w:sz w:val="44"/>
      <w:szCs w:val="44"/>
    </w:rPr>
  </w:style>
  <w:style w:type="character" w:customStyle="1" w:styleId="a4">
    <w:name w:val="正文缩进 字符"/>
    <w:link w:val="a3"/>
    <w:qFormat/>
    <w:rsid w:val="008C0A93"/>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1921</Characters>
  <Application>Microsoft Office Word</Application>
  <DocSecurity>0</DocSecurity>
  <Lines>16</Lines>
  <Paragraphs>4</Paragraphs>
  <ScaleCrop>false</ScaleCrop>
  <Company>微软中国</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2022-05-16T08:50:00Z</dcterms:created>
  <dcterms:modified xsi:type="dcterms:W3CDTF">2022-05-16T08:51:00Z</dcterms:modified>
</cp:coreProperties>
</file>