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768" w:rsidRPr="001C0768" w:rsidRDefault="001C0768" w:rsidP="001C0768">
      <w:pPr>
        <w:spacing w:line="400" w:lineRule="exact"/>
        <w:ind w:firstLineChars="49" w:firstLine="118"/>
        <w:jc w:val="left"/>
        <w:rPr>
          <w:rFonts w:ascii="仿宋" w:eastAsia="仿宋" w:hAnsi="仿宋"/>
          <w:sz w:val="24"/>
        </w:rPr>
      </w:pPr>
      <w:bookmarkStart w:id="0" w:name="PO_默认文件内容_27"/>
      <w:r w:rsidRPr="001C0768">
        <w:rPr>
          <w:rFonts w:ascii="仿宋" w:eastAsia="仿宋" w:hAnsi="仿宋" w:hint="eastAsia"/>
          <w:sz w:val="24"/>
        </w:rPr>
        <w:t>前提：</w:t>
      </w:r>
      <w:r w:rsidRPr="001C0768">
        <w:rPr>
          <w:rFonts w:ascii="仿宋" w:eastAsia="仿宋" w:hAnsi="仿宋"/>
          <w:sz w:val="24"/>
        </w:rPr>
        <w:t>本章采购需求中标注“*”号的条款为本次磋商采购项目的实质性要求，供应商应全部满足。</w:t>
      </w:r>
    </w:p>
    <w:p w:rsidR="001C0768" w:rsidRPr="001C0768" w:rsidRDefault="001C0768" w:rsidP="001C0768">
      <w:pPr>
        <w:keepNext/>
        <w:keepLines/>
        <w:spacing w:before="260" w:after="260" w:line="400" w:lineRule="exact"/>
        <w:ind w:firstLineChars="98" w:firstLine="236"/>
        <w:outlineLvl w:val="1"/>
        <w:rPr>
          <w:rFonts w:ascii="仿宋" w:eastAsia="仿宋" w:hAnsi="仿宋"/>
          <w:b/>
          <w:bCs/>
          <w:sz w:val="24"/>
        </w:rPr>
      </w:pPr>
      <w:r w:rsidRPr="001C0768">
        <w:rPr>
          <w:rFonts w:ascii="仿宋" w:eastAsia="仿宋" w:hAnsi="仿宋" w:hint="eastAsia"/>
          <w:b/>
          <w:bCs/>
          <w:sz w:val="24"/>
        </w:rPr>
        <w:t>一、项目概述</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bCs/>
          <w:sz w:val="24"/>
        </w:rPr>
        <w:t>本项目共</w:t>
      </w:r>
      <w:r w:rsidRPr="001C0768">
        <w:rPr>
          <w:rFonts w:ascii="仿宋" w:eastAsia="仿宋" w:hAnsi="仿宋" w:hint="eastAsia"/>
          <w:bCs/>
          <w:sz w:val="24"/>
        </w:rPr>
        <w:t>1</w:t>
      </w:r>
      <w:r w:rsidRPr="001C0768">
        <w:rPr>
          <w:rFonts w:ascii="仿宋" w:eastAsia="仿宋" w:hAnsi="仿宋"/>
          <w:bCs/>
          <w:sz w:val="24"/>
        </w:rPr>
        <w:t>个包，</w:t>
      </w:r>
      <w:r w:rsidRPr="001C0768">
        <w:rPr>
          <w:rFonts w:ascii="仿宋" w:eastAsia="仿宋" w:hAnsi="仿宋" w:hint="eastAsia"/>
          <w:bCs/>
          <w:sz w:val="24"/>
        </w:rPr>
        <w:t>采购第31届世界大学生夏季运动会执行委员会反兴奋剂教育拓展服务供应商1</w:t>
      </w:r>
      <w:r w:rsidRPr="001C0768">
        <w:rPr>
          <w:rFonts w:ascii="仿宋" w:eastAsia="仿宋" w:hAnsi="仿宋"/>
          <w:bCs/>
          <w:sz w:val="24"/>
        </w:rPr>
        <w:t>名</w:t>
      </w:r>
      <w:r w:rsidRPr="001C0768">
        <w:rPr>
          <w:rFonts w:ascii="仿宋" w:eastAsia="仿宋" w:hAnsi="仿宋" w:hint="eastAsia"/>
          <w:bCs/>
          <w:sz w:val="24"/>
        </w:rPr>
        <w:t>。</w:t>
      </w:r>
    </w:p>
    <w:p w:rsidR="001C0768" w:rsidRPr="001C0768" w:rsidRDefault="001C0768" w:rsidP="001C0768">
      <w:pPr>
        <w:keepNext/>
        <w:keepLines/>
        <w:spacing w:before="260" w:after="260" w:line="400" w:lineRule="exact"/>
        <w:ind w:firstLineChars="98" w:firstLine="236"/>
        <w:outlineLvl w:val="1"/>
        <w:rPr>
          <w:rFonts w:ascii="仿宋" w:eastAsia="仿宋" w:hAnsi="仿宋"/>
          <w:b/>
          <w:bCs/>
          <w:sz w:val="24"/>
        </w:rPr>
      </w:pPr>
      <w:r w:rsidRPr="001C0768">
        <w:rPr>
          <w:rFonts w:ascii="仿宋" w:eastAsia="仿宋" w:hAnsi="仿宋" w:hint="eastAsia"/>
          <w:b/>
          <w:bCs/>
          <w:sz w:val="24"/>
        </w:rPr>
        <w:t>二、项目清单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100"/>
        <w:gridCol w:w="1132"/>
        <w:gridCol w:w="2729"/>
        <w:gridCol w:w="1133"/>
        <w:gridCol w:w="1356"/>
      </w:tblGrid>
      <w:tr w:rsidR="001C0768" w:rsidRPr="001C0768" w:rsidTr="004B2865">
        <w:trPr>
          <w:trHeight w:val="390"/>
        </w:trPr>
        <w:tc>
          <w:tcPr>
            <w:tcW w:w="510"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序号</w:t>
            </w:r>
          </w:p>
        </w:tc>
        <w:tc>
          <w:tcPr>
            <w:tcW w:w="663"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包号</w:t>
            </w:r>
          </w:p>
        </w:tc>
        <w:tc>
          <w:tcPr>
            <w:tcW w:w="682"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品目号</w:t>
            </w:r>
          </w:p>
        </w:tc>
        <w:tc>
          <w:tcPr>
            <w:tcW w:w="1645"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标的名称</w:t>
            </w:r>
          </w:p>
        </w:tc>
        <w:tc>
          <w:tcPr>
            <w:tcW w:w="683"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所属行业</w:t>
            </w:r>
          </w:p>
        </w:tc>
        <w:tc>
          <w:tcPr>
            <w:tcW w:w="817"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数量</w:t>
            </w:r>
          </w:p>
        </w:tc>
      </w:tr>
      <w:tr w:rsidR="001C0768" w:rsidRPr="001C0768" w:rsidTr="004B2865">
        <w:trPr>
          <w:trHeight w:val="374"/>
        </w:trPr>
        <w:tc>
          <w:tcPr>
            <w:tcW w:w="510"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1</w:t>
            </w:r>
          </w:p>
        </w:tc>
        <w:tc>
          <w:tcPr>
            <w:tcW w:w="663"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0</w:t>
            </w:r>
            <w:r w:rsidRPr="001C0768">
              <w:rPr>
                <w:rFonts w:ascii="仿宋" w:eastAsia="仿宋" w:hAnsi="仿宋"/>
                <w:sz w:val="24"/>
              </w:rPr>
              <w:t>1</w:t>
            </w:r>
          </w:p>
        </w:tc>
        <w:tc>
          <w:tcPr>
            <w:tcW w:w="682"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0</w:t>
            </w:r>
            <w:r w:rsidRPr="001C0768">
              <w:rPr>
                <w:rFonts w:ascii="仿宋" w:eastAsia="仿宋" w:hAnsi="仿宋"/>
                <w:sz w:val="24"/>
              </w:rPr>
              <w:t>1</w:t>
            </w:r>
            <w:r w:rsidRPr="001C0768">
              <w:rPr>
                <w:rFonts w:ascii="仿宋" w:eastAsia="仿宋" w:hAnsi="仿宋" w:hint="eastAsia"/>
                <w:sz w:val="24"/>
              </w:rPr>
              <w:t>-</w:t>
            </w:r>
            <w:r w:rsidRPr="001C0768">
              <w:rPr>
                <w:rFonts w:ascii="仿宋" w:eastAsia="仿宋" w:hAnsi="仿宋"/>
                <w:sz w:val="24"/>
              </w:rPr>
              <w:t>01</w:t>
            </w:r>
          </w:p>
        </w:tc>
        <w:tc>
          <w:tcPr>
            <w:tcW w:w="1645"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bCs/>
                <w:sz w:val="24"/>
              </w:rPr>
              <w:t>第31届世界大学生夏季运动会执行委员会反兴奋剂教育拓展服务</w:t>
            </w:r>
          </w:p>
        </w:tc>
        <w:tc>
          <w:tcPr>
            <w:tcW w:w="683"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其他未列明行业</w:t>
            </w:r>
          </w:p>
        </w:tc>
        <w:tc>
          <w:tcPr>
            <w:tcW w:w="817" w:type="pct"/>
            <w:vAlign w:val="center"/>
          </w:tcPr>
          <w:p w:rsidR="001C0768" w:rsidRPr="001C0768" w:rsidRDefault="001C0768" w:rsidP="004B2865">
            <w:pPr>
              <w:widowControl/>
              <w:spacing w:line="360" w:lineRule="atLeast"/>
              <w:jc w:val="center"/>
              <w:outlineLvl w:val="1"/>
              <w:rPr>
                <w:rFonts w:ascii="仿宋" w:eastAsia="仿宋" w:hAnsi="仿宋"/>
                <w:sz w:val="24"/>
              </w:rPr>
            </w:pPr>
            <w:r w:rsidRPr="001C0768">
              <w:rPr>
                <w:rFonts w:ascii="仿宋" w:eastAsia="仿宋" w:hAnsi="仿宋" w:hint="eastAsia"/>
                <w:sz w:val="24"/>
              </w:rPr>
              <w:t>拟采购1名服务供应商</w:t>
            </w:r>
          </w:p>
        </w:tc>
      </w:tr>
    </w:tbl>
    <w:p w:rsidR="001C0768" w:rsidRPr="001C0768" w:rsidRDefault="001C0768" w:rsidP="001C0768">
      <w:pPr>
        <w:rPr>
          <w:rFonts w:ascii="仿宋" w:eastAsia="仿宋" w:hAnsi="仿宋"/>
        </w:rPr>
      </w:pPr>
    </w:p>
    <w:p w:rsidR="001C0768" w:rsidRPr="001C0768" w:rsidRDefault="001C0768" w:rsidP="001C0768">
      <w:pPr>
        <w:keepNext/>
        <w:keepLines/>
        <w:spacing w:before="260" w:after="260" w:line="400" w:lineRule="exact"/>
        <w:ind w:firstLineChars="98" w:firstLine="236"/>
        <w:outlineLvl w:val="1"/>
        <w:rPr>
          <w:rFonts w:ascii="仿宋" w:eastAsia="仿宋" w:hAnsi="仿宋"/>
          <w:b/>
          <w:bCs/>
          <w:sz w:val="24"/>
        </w:rPr>
      </w:pPr>
      <w:r w:rsidRPr="001C0768">
        <w:rPr>
          <w:rFonts w:ascii="仿宋" w:eastAsia="仿宋" w:hAnsi="仿宋" w:hint="eastAsia"/>
          <w:b/>
          <w:bCs/>
          <w:sz w:val="24"/>
        </w:rPr>
        <w:t>*三、商务要求</w:t>
      </w:r>
    </w:p>
    <w:bookmarkEnd w:id="0"/>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1</w:t>
      </w:r>
      <w:r w:rsidRPr="001C0768">
        <w:rPr>
          <w:rFonts w:ascii="仿宋" w:eastAsia="仿宋" w:hAnsi="仿宋"/>
          <w:bCs/>
          <w:sz w:val="24"/>
        </w:rPr>
        <w:t>.</w:t>
      </w:r>
      <w:r w:rsidRPr="001C0768">
        <w:rPr>
          <w:rFonts w:ascii="仿宋" w:eastAsia="仿宋" w:hAnsi="仿宋" w:hint="eastAsia"/>
          <w:bCs/>
          <w:sz w:val="24"/>
        </w:rPr>
        <w:t>服务时间：自签订合同之日起至成都大运会结束（预计2022年7月11日，最终以实际情况为准）。</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2</w:t>
      </w:r>
      <w:r w:rsidRPr="001C0768">
        <w:rPr>
          <w:rFonts w:ascii="仿宋" w:eastAsia="仿宋" w:hAnsi="仿宋"/>
          <w:bCs/>
          <w:sz w:val="24"/>
        </w:rPr>
        <w:t>.</w:t>
      </w:r>
      <w:r w:rsidRPr="001C0768">
        <w:rPr>
          <w:rFonts w:ascii="仿宋" w:eastAsia="仿宋" w:hAnsi="仿宋" w:hint="eastAsia"/>
          <w:bCs/>
          <w:sz w:val="24"/>
        </w:rPr>
        <w:t>服务地点：</w:t>
      </w:r>
      <w:r w:rsidRPr="001C0768">
        <w:rPr>
          <w:rFonts w:ascii="仿宋" w:eastAsia="仿宋" w:hAnsi="仿宋"/>
          <w:bCs/>
          <w:sz w:val="24"/>
        </w:rPr>
        <w:t>成都大学东盟艺术学院国际部公共教学楼一楼</w:t>
      </w:r>
      <w:r w:rsidRPr="001C0768">
        <w:rPr>
          <w:rFonts w:ascii="仿宋" w:eastAsia="仿宋" w:hAnsi="仿宋" w:hint="eastAsia"/>
          <w:bCs/>
          <w:sz w:val="24"/>
        </w:rPr>
        <w:t>左侧小厅及1001、1002</w:t>
      </w:r>
      <w:r w:rsidRPr="001C0768">
        <w:rPr>
          <w:rFonts w:ascii="仿宋" w:eastAsia="仿宋" w:hAnsi="仿宋"/>
          <w:bCs/>
          <w:sz w:val="24"/>
        </w:rPr>
        <w:t>房间</w:t>
      </w:r>
      <w:r w:rsidRPr="001C0768">
        <w:rPr>
          <w:rFonts w:ascii="仿宋" w:eastAsia="仿宋" w:hAnsi="仿宋" w:hint="eastAsia"/>
          <w:bCs/>
          <w:sz w:val="24"/>
        </w:rPr>
        <w:t>。（由采购人提供活动用场地）</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3</w:t>
      </w:r>
      <w:r w:rsidRPr="001C0768">
        <w:rPr>
          <w:rFonts w:ascii="仿宋" w:eastAsia="仿宋" w:hAnsi="仿宋"/>
          <w:bCs/>
          <w:sz w:val="24"/>
        </w:rPr>
        <w:t>.</w:t>
      </w:r>
      <w:r w:rsidRPr="001C0768">
        <w:rPr>
          <w:rFonts w:ascii="仿宋" w:eastAsia="仿宋" w:hAnsi="仿宋" w:hint="eastAsia"/>
          <w:bCs/>
          <w:sz w:val="24"/>
        </w:rPr>
        <w:t>付款方式：合同签订后</w:t>
      </w:r>
      <w:r w:rsidRPr="001C0768">
        <w:rPr>
          <w:rFonts w:ascii="仿宋" w:eastAsia="仿宋" w:hAnsi="仿宋"/>
          <w:bCs/>
          <w:sz w:val="24"/>
        </w:rPr>
        <w:t>5个工作日内，支付合同总价的</w:t>
      </w:r>
      <w:r w:rsidRPr="001C0768">
        <w:rPr>
          <w:rFonts w:ascii="仿宋" w:eastAsia="仿宋" w:hAnsi="仿宋" w:hint="eastAsia"/>
          <w:bCs/>
          <w:sz w:val="24"/>
        </w:rPr>
        <w:t>40</w:t>
      </w:r>
      <w:r w:rsidRPr="001C0768">
        <w:rPr>
          <w:rFonts w:ascii="仿宋" w:eastAsia="仿宋" w:hAnsi="仿宋"/>
          <w:bCs/>
          <w:sz w:val="24"/>
        </w:rPr>
        <w:t>%。反兴奋剂教育宣传拓展站正式活动顺利结束后10个工作日内，支付合同总价</w:t>
      </w:r>
      <w:r w:rsidRPr="001C0768">
        <w:rPr>
          <w:rFonts w:ascii="仿宋" w:eastAsia="仿宋" w:hAnsi="仿宋" w:hint="eastAsia"/>
          <w:bCs/>
          <w:sz w:val="24"/>
        </w:rPr>
        <w:t>30</w:t>
      </w:r>
      <w:r w:rsidRPr="001C0768">
        <w:rPr>
          <w:rFonts w:ascii="仿宋" w:eastAsia="仿宋" w:hAnsi="仿宋"/>
          <w:bCs/>
          <w:sz w:val="24"/>
        </w:rPr>
        <w:t xml:space="preserve">%。 </w:t>
      </w:r>
      <w:r w:rsidRPr="001C0768">
        <w:rPr>
          <w:rFonts w:ascii="仿宋" w:eastAsia="仿宋" w:hAnsi="仿宋" w:hint="eastAsia"/>
          <w:bCs/>
          <w:sz w:val="24"/>
        </w:rPr>
        <w:t>合同约定服务期限届满并验收合格后</w:t>
      </w:r>
      <w:r w:rsidRPr="001C0768">
        <w:rPr>
          <w:rFonts w:ascii="仿宋" w:eastAsia="仿宋" w:hAnsi="仿宋"/>
          <w:bCs/>
          <w:sz w:val="24"/>
        </w:rPr>
        <w:t>10个工作日内支付合同总价的30%。</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bCs/>
          <w:sz w:val="24"/>
        </w:rPr>
        <w:t>3.2</w:t>
      </w:r>
      <w:r w:rsidRPr="001C0768">
        <w:rPr>
          <w:rFonts w:ascii="仿宋" w:eastAsia="仿宋" w:hAnsi="仿宋" w:hint="eastAsia"/>
          <w:bCs/>
          <w:sz w:val="24"/>
        </w:rPr>
        <w:t>付款条件：采购人以转账方式结算，首次付款前成交人须按照合同约定总价款向采购人提供全额、合法的增值税发票，采购人按照合同约定付款方式进行支付结算。成交人未提供或逾期提供的，采购人有权利顺延付款且不承担因此导致的逾期付款违约责任。</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bCs/>
          <w:sz w:val="24"/>
        </w:rPr>
        <w:t>3.3</w:t>
      </w:r>
      <w:r w:rsidRPr="001C0768">
        <w:rPr>
          <w:rFonts w:ascii="仿宋" w:eastAsia="仿宋" w:hAnsi="仿宋" w:hint="eastAsia"/>
          <w:bCs/>
          <w:sz w:val="24"/>
        </w:rPr>
        <w:t>逾期支付责任：采购人不得以机构变动、人员更替、政策调整等为由延迟付款，不得将采购文件和合同中未规定的义务作为向投标人付款的条件。采购人逾期付款的，依据相关规定承担相关责任。（此条款为采购人的逾期支付责任说明，投标人可不对此条款做响应。）</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w:t>
      </w:r>
      <w:r w:rsidRPr="001C0768">
        <w:rPr>
          <w:rFonts w:ascii="仿宋" w:eastAsia="仿宋" w:hAnsi="仿宋"/>
          <w:bCs/>
          <w:sz w:val="24"/>
        </w:rPr>
        <w:t>.</w:t>
      </w:r>
      <w:r w:rsidRPr="001C0768">
        <w:rPr>
          <w:rFonts w:ascii="宋体" w:hAnsi="宋体" w:hint="eastAsia"/>
          <w:sz w:val="24"/>
        </w:rPr>
        <w:t xml:space="preserve"> </w:t>
      </w:r>
      <w:r w:rsidRPr="001C0768">
        <w:rPr>
          <w:rFonts w:ascii="仿宋" w:eastAsia="仿宋" w:hAnsi="仿宋" w:hint="eastAsia"/>
          <w:bCs/>
          <w:sz w:val="24"/>
        </w:rPr>
        <w:t>履约验收要求</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bCs/>
          <w:sz w:val="24"/>
        </w:rPr>
        <w:t>4.1</w:t>
      </w:r>
      <w:r w:rsidRPr="001C0768">
        <w:rPr>
          <w:rFonts w:ascii="仿宋" w:eastAsia="仿宋" w:hAnsi="仿宋" w:hint="eastAsia"/>
          <w:bCs/>
          <w:sz w:val="24"/>
        </w:rPr>
        <w:t>成交人与采购人应严格按照相关要求进行验收，采购方有权邀请第三方机构共同验收。</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bCs/>
          <w:sz w:val="24"/>
        </w:rPr>
        <w:lastRenderedPageBreak/>
        <w:t>4.2</w:t>
      </w:r>
      <w:r w:rsidRPr="001C0768">
        <w:rPr>
          <w:rFonts w:ascii="仿宋" w:eastAsia="仿宋" w:hAnsi="仿宋" w:hint="eastAsia"/>
          <w:bCs/>
          <w:sz w:val="24"/>
        </w:rPr>
        <w:t xml:space="preserve"> 验收方法：验收时双方皆应派员参加，验收合格并安装完毕后需双方签署验收单；</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bCs/>
          <w:sz w:val="24"/>
        </w:rPr>
        <w:t>4.3</w:t>
      </w:r>
      <w:r w:rsidRPr="001C0768">
        <w:rPr>
          <w:rFonts w:ascii="仿宋" w:eastAsia="仿宋" w:hAnsi="仿宋" w:hint="eastAsia"/>
          <w:bCs/>
          <w:sz w:val="24"/>
        </w:rPr>
        <w:t xml:space="preserve"> 验收标准：符合国家相关规定，并按照相关技术要求进行开展，并完全满足采购提出的工作需要；</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bCs/>
          <w:sz w:val="24"/>
        </w:rPr>
        <w:t>4.4</w:t>
      </w:r>
      <w:r w:rsidRPr="001C0768">
        <w:rPr>
          <w:rFonts w:ascii="仿宋" w:eastAsia="仿宋" w:hAnsi="仿宋" w:hint="eastAsia"/>
          <w:bCs/>
          <w:sz w:val="24"/>
        </w:rPr>
        <w:t xml:space="preserve"> 验收时间要求：成交人按照合同要求完成全部工作后，采购人在收到书面的验收申请材料后30日内组织履约验收工作。</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bCs/>
          <w:sz w:val="24"/>
        </w:rPr>
        <w:t>4.5</w:t>
      </w:r>
      <w:r w:rsidRPr="001C0768">
        <w:rPr>
          <w:rFonts w:ascii="仿宋" w:eastAsia="仿宋" w:hAnsi="仿宋" w:hint="eastAsia"/>
          <w:bCs/>
          <w:sz w:val="24"/>
        </w:rPr>
        <w:t xml:space="preserve"> 其他要求：验收不合格时，采购人和成交人应协商一致，成交人应根据相关验收证明材料及时补足或整改，费用由成交人自行承担。</w:t>
      </w:r>
    </w:p>
    <w:p w:rsidR="001C0768" w:rsidRPr="001C0768" w:rsidRDefault="001C0768" w:rsidP="001C0768">
      <w:pPr>
        <w:keepNext/>
        <w:keepLines/>
        <w:spacing w:before="260" w:after="260" w:line="400" w:lineRule="exact"/>
        <w:ind w:firstLineChars="98" w:firstLine="236"/>
        <w:outlineLvl w:val="1"/>
        <w:rPr>
          <w:rFonts w:ascii="仿宋" w:eastAsia="仿宋" w:hAnsi="仿宋"/>
          <w:b/>
          <w:bCs/>
          <w:sz w:val="24"/>
        </w:rPr>
      </w:pPr>
      <w:r w:rsidRPr="001C0768">
        <w:rPr>
          <w:rFonts w:ascii="仿宋" w:eastAsia="仿宋" w:hAnsi="仿宋" w:hint="eastAsia"/>
          <w:b/>
          <w:bCs/>
          <w:sz w:val="24"/>
        </w:rPr>
        <w:t>*四、技术、服务要求</w:t>
      </w:r>
    </w:p>
    <w:p w:rsidR="001C0768" w:rsidRPr="001C0768" w:rsidRDefault="001C0768" w:rsidP="001C0768">
      <w:pPr>
        <w:spacing w:line="400" w:lineRule="exact"/>
        <w:ind w:firstLineChars="200" w:firstLine="482"/>
        <w:rPr>
          <w:rFonts w:ascii="仿宋" w:eastAsia="仿宋" w:hAnsi="仿宋"/>
          <w:b/>
          <w:sz w:val="24"/>
        </w:rPr>
      </w:pPr>
      <w:r w:rsidRPr="001C0768">
        <w:rPr>
          <w:rFonts w:ascii="仿宋" w:eastAsia="仿宋" w:hAnsi="仿宋" w:hint="eastAsia"/>
          <w:b/>
          <w:sz w:val="24"/>
        </w:rPr>
        <w:t>1.总体要求</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本项目用于策划制定和实施反兴奋剂教育拓展活动的内容和方式，主要包括：反兴奋剂教育拓展模式的开发、宣传片制作、反兴奋剂教育拓展游戏开发、活动场地设施（活动场地环境方面、活动场地物资方面（采购人仅提供活动场所、导引标识标牌、统一帐篷、隔离带）、配置设施方面等）和</w:t>
      </w:r>
      <w:r w:rsidRPr="001C0768">
        <w:rPr>
          <w:rFonts w:ascii="仿宋" w:eastAsia="仿宋" w:hAnsi="仿宋" w:hint="eastAsia"/>
          <w:bCs/>
          <w:sz w:val="24"/>
          <w:lang w:val="zh-CN" w:bidi="zh-CN"/>
        </w:rPr>
        <w:t>活动及人工服务</w:t>
      </w:r>
      <w:r w:rsidRPr="001C0768">
        <w:rPr>
          <w:rFonts w:ascii="仿宋" w:eastAsia="仿宋" w:hAnsi="仿宋" w:hint="eastAsia"/>
          <w:bCs/>
          <w:sz w:val="24"/>
        </w:rPr>
        <w:t>（活动项目设置方面、人员组织管理方面、服务保障方面、教育拓展活动运行方面、其他服务方面）。所提供的全部服务必须确保承办教育拓展活动顺利进行；要确保活动服务要求得到保障。</w:t>
      </w:r>
    </w:p>
    <w:p w:rsidR="001C0768" w:rsidRPr="001C0768" w:rsidRDefault="001C0768" w:rsidP="001C0768">
      <w:pPr>
        <w:spacing w:line="400" w:lineRule="exact"/>
        <w:ind w:firstLineChars="200" w:firstLine="482"/>
        <w:rPr>
          <w:rFonts w:ascii="仿宋" w:eastAsia="仿宋" w:hAnsi="仿宋"/>
          <w:b/>
          <w:sz w:val="24"/>
        </w:rPr>
      </w:pPr>
      <w:r w:rsidRPr="001C0768">
        <w:rPr>
          <w:rFonts w:ascii="仿宋" w:eastAsia="仿宋" w:hAnsi="仿宋" w:hint="eastAsia"/>
          <w:b/>
          <w:sz w:val="24"/>
        </w:rPr>
        <w:t>2.反兴奋剂教育模式开发</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针对成都大运会运动员及辅助人员进行金牌反兴奋剂教育拓展模式，充分调动运动员及辅助人员的积极性，主动学习反兴奋剂知识。</w:t>
      </w:r>
    </w:p>
    <w:p w:rsidR="001C0768" w:rsidRPr="001C0768" w:rsidRDefault="001C0768" w:rsidP="001C0768">
      <w:pPr>
        <w:spacing w:line="400" w:lineRule="exact"/>
        <w:ind w:firstLineChars="200" w:firstLine="482"/>
        <w:rPr>
          <w:rFonts w:ascii="仿宋" w:eastAsia="仿宋" w:hAnsi="仿宋"/>
          <w:b/>
          <w:sz w:val="24"/>
        </w:rPr>
      </w:pPr>
      <w:r w:rsidRPr="001C0768">
        <w:rPr>
          <w:rFonts w:ascii="仿宋" w:eastAsia="仿宋" w:hAnsi="仿宋" w:hint="eastAsia"/>
          <w:b/>
          <w:sz w:val="24"/>
        </w:rPr>
        <w:t>3.宣传片制作</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3.1宣传片制作：</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以“纯洁体育，拿干净金牌”为主题，制作1分钟的宣传视频用于反兴奋剂宣传，并在1分钟的版本的基础上剪辑出30秒及15秒版本，用于兴奋剂教育拓展站、自媒体的播放需求。</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3.2成都大运会反兴奋剂教育拓展活动视频制作</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要求了解反兴奋剂教育活动工作流程，拍摄画面清晰度1</w:t>
      </w:r>
      <w:r w:rsidRPr="001C0768">
        <w:rPr>
          <w:rFonts w:ascii="仿宋" w:eastAsia="仿宋" w:hAnsi="仿宋"/>
          <w:bCs/>
          <w:sz w:val="24"/>
        </w:rPr>
        <w:t>080p</w:t>
      </w:r>
      <w:r w:rsidRPr="001C0768">
        <w:rPr>
          <w:rFonts w:ascii="仿宋" w:eastAsia="仿宋" w:hAnsi="仿宋" w:hint="eastAsia"/>
          <w:bCs/>
          <w:sz w:val="24"/>
        </w:rPr>
        <w:t>及以上，帧率2</w:t>
      </w:r>
      <w:r w:rsidRPr="001C0768">
        <w:rPr>
          <w:rFonts w:ascii="仿宋" w:eastAsia="仿宋" w:hAnsi="仿宋"/>
          <w:bCs/>
          <w:sz w:val="24"/>
        </w:rPr>
        <w:t>5fps</w:t>
      </w:r>
      <w:r w:rsidRPr="001C0768">
        <w:rPr>
          <w:rFonts w:ascii="仿宋" w:eastAsia="仿宋" w:hAnsi="仿宋" w:hint="eastAsia"/>
          <w:bCs/>
          <w:sz w:val="24"/>
        </w:rPr>
        <w:t>及以上，采用立体声双声道进行收音，且音量大小需要统一；后期制作配乐体现公平竞赛的氛围，字幕须与采用双音轨配音的相吻合，特效包装符合反兴奋剂教育主题；成品包装体现大运会的独立元素，并形成统一风格。</w:t>
      </w:r>
    </w:p>
    <w:p w:rsidR="001C0768" w:rsidRPr="001C0768" w:rsidRDefault="001C0768" w:rsidP="001C0768">
      <w:pPr>
        <w:spacing w:line="400" w:lineRule="exact"/>
        <w:ind w:firstLineChars="200" w:firstLine="482"/>
        <w:rPr>
          <w:rFonts w:ascii="仿宋" w:eastAsia="仿宋" w:hAnsi="仿宋"/>
          <w:b/>
          <w:sz w:val="24"/>
        </w:rPr>
      </w:pPr>
      <w:r w:rsidRPr="001C0768">
        <w:rPr>
          <w:rFonts w:ascii="仿宋" w:eastAsia="仿宋" w:hAnsi="仿宋" w:hint="eastAsia"/>
          <w:b/>
          <w:sz w:val="24"/>
        </w:rPr>
        <w:t>4</w:t>
      </w:r>
      <w:r w:rsidRPr="001C0768">
        <w:rPr>
          <w:rFonts w:ascii="仿宋" w:eastAsia="仿宋" w:hAnsi="仿宋"/>
          <w:b/>
          <w:sz w:val="24"/>
        </w:rPr>
        <w:t>.</w:t>
      </w:r>
      <w:r w:rsidRPr="001C0768">
        <w:rPr>
          <w:rFonts w:ascii="仿宋" w:eastAsia="仿宋" w:hAnsi="仿宋" w:hint="eastAsia"/>
          <w:b/>
          <w:sz w:val="24"/>
        </w:rPr>
        <w:t>活动场地设施</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符合《反兴奋剂教育工作实施细则》（体反兴奋剂字〔2020〕17号）和《反兴奋剂教育拓展活动金牌模式实施方案》规定以及执委会及国家体育总局反兴奋</w:t>
      </w:r>
      <w:r w:rsidRPr="001C0768">
        <w:rPr>
          <w:rFonts w:ascii="仿宋" w:eastAsia="仿宋" w:hAnsi="仿宋" w:hint="eastAsia"/>
          <w:bCs/>
          <w:sz w:val="24"/>
        </w:rPr>
        <w:lastRenderedPageBreak/>
        <w:t>剂中心的对反兴奋剂拓展模式的要求。</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4.1活动场地环境方面</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4.1.1供应商须于2022年5月13日前拟制场地搭建设计方案及效果图，按照方案进行实施，并接受成都大运会执委会执委会竞赛部及国家体育总局反兴奋剂中心的检查验收，验收合格后才可进行活动。如不合格需要根据成都大运会执委会及中国反兴奋剂中心提出的意见和时限进行整改，最晚提交时限：2022年5月30日。</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bCs/>
          <w:sz w:val="24"/>
        </w:rPr>
        <w:t>4.1.2</w:t>
      </w:r>
      <w:r w:rsidRPr="001C0768">
        <w:rPr>
          <w:rFonts w:ascii="仿宋" w:eastAsia="仿宋" w:hAnsi="仿宋" w:hint="eastAsia"/>
          <w:bCs/>
          <w:sz w:val="24"/>
        </w:rPr>
        <w:t>场地活动开放和关闭。场地开放和关闭时间管理需满足执委会提出的竞赛组织需求，确保运动员及辅助人员在赛余时间参与反兴奋剂拓展活动。</w:t>
      </w:r>
    </w:p>
    <w:p w:rsidR="001C0768" w:rsidRPr="001C0768" w:rsidRDefault="001C0768" w:rsidP="001C0768">
      <w:pPr>
        <w:pStyle w:val="a0"/>
        <w:spacing w:before="143" w:line="321" w:lineRule="auto"/>
        <w:ind w:right="415" w:firstLineChars="200" w:firstLine="480"/>
        <w:rPr>
          <w:rFonts w:ascii="仿宋" w:eastAsia="仿宋" w:hAnsi="仿宋"/>
          <w:bCs/>
          <w:sz w:val="24"/>
        </w:rPr>
      </w:pPr>
      <w:r w:rsidRPr="001C0768">
        <w:rPr>
          <w:rFonts w:ascii="仿宋" w:eastAsia="仿宋" w:hAnsi="仿宋" w:hint="eastAsia"/>
          <w:bCs/>
          <w:sz w:val="24"/>
        </w:rPr>
        <w:t>4.1.3场地内部布展面积:200平米，户外布展面积100平米，含签到区、答题区、室内视频展示区、反兴奋剂文化展区、桌面游戏区、投屏游戏区、互动游戏区、签名合影区。</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4.1.4布展工期：要求在合同签订生效后14天内搭建完成（如有特殊原因可动态调整（不得晚于</w:t>
      </w:r>
      <w:r w:rsidRPr="001C0768">
        <w:rPr>
          <w:rFonts w:ascii="仿宋" w:eastAsia="仿宋" w:hAnsi="仿宋"/>
          <w:bCs/>
          <w:sz w:val="24"/>
        </w:rPr>
        <w:t>2022</w:t>
      </w:r>
      <w:r w:rsidRPr="001C0768">
        <w:rPr>
          <w:rFonts w:ascii="仿宋" w:eastAsia="仿宋" w:hAnsi="仿宋" w:hint="eastAsia"/>
          <w:bCs/>
          <w:sz w:val="24"/>
        </w:rPr>
        <w:t>年6月</w:t>
      </w:r>
      <w:r w:rsidRPr="001C0768">
        <w:rPr>
          <w:rFonts w:ascii="仿宋" w:eastAsia="仿宋" w:hAnsi="仿宋"/>
          <w:bCs/>
          <w:sz w:val="24"/>
        </w:rPr>
        <w:t>6</w:t>
      </w:r>
      <w:r w:rsidRPr="001C0768">
        <w:rPr>
          <w:rFonts w:ascii="仿宋" w:eastAsia="仿宋" w:hAnsi="仿宋" w:hint="eastAsia"/>
          <w:bCs/>
          <w:sz w:val="24"/>
        </w:rPr>
        <w:t>日完成搭建））。</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4.2展览制作要求</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4.2.1设计、场景要求：须经过采购人及国家体育总局反兴奋剂中心认可。</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4.2.</w:t>
      </w:r>
      <w:r w:rsidRPr="001C0768">
        <w:rPr>
          <w:rFonts w:ascii="仿宋" w:eastAsia="仿宋" w:hAnsi="仿宋"/>
          <w:bCs/>
          <w:sz w:val="24"/>
        </w:rPr>
        <w:t>2</w:t>
      </w:r>
      <w:r w:rsidRPr="001C0768">
        <w:rPr>
          <w:rFonts w:ascii="仿宋" w:eastAsia="仿宋" w:hAnsi="仿宋" w:hint="eastAsia"/>
          <w:bCs/>
          <w:sz w:val="24"/>
        </w:rPr>
        <w:t>布展要求。结合场地实际，由供应商负责拟定设计方案，并按照方案要求开展布展工作；根据活动期限按时完成布展撤展。</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4.2.4素材安排。文字素材占40%左右，图片素材占50%左右，音像素材占10%左右。</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4.2.5制作要求。画面喷绘材料绿色环保，尺寸符合设计标准（满足像素3</w:t>
      </w:r>
      <w:r w:rsidRPr="001C0768">
        <w:rPr>
          <w:rFonts w:ascii="仿宋" w:eastAsia="仿宋" w:hAnsi="仿宋"/>
          <w:bCs/>
          <w:sz w:val="24"/>
        </w:rPr>
        <w:t>00</w:t>
      </w:r>
      <w:r w:rsidRPr="001C0768">
        <w:rPr>
          <w:rFonts w:ascii="仿宋" w:eastAsia="仿宋" w:hAnsi="仿宋" w:hint="eastAsia"/>
          <w:bCs/>
          <w:sz w:val="24"/>
        </w:rPr>
        <w:t>点），品质符合行业标准；展品购置符合展览需求。场景搭建美观，符合主流审美要求。</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4.2.6质量要求。展览画面在展期内不出现画面褪色、脱胶、开裂、粘连物脱落等问题；模型不出现因自身质量损坏问题；场景搭建不出现质量和安全问题，所有出现的问题须在2022年</w:t>
      </w:r>
      <w:r w:rsidRPr="001C0768">
        <w:rPr>
          <w:rFonts w:ascii="仿宋" w:eastAsia="仿宋" w:hAnsi="仿宋"/>
          <w:bCs/>
          <w:sz w:val="24"/>
        </w:rPr>
        <w:t>6</w:t>
      </w:r>
      <w:r w:rsidRPr="001C0768">
        <w:rPr>
          <w:rFonts w:ascii="仿宋" w:eastAsia="仿宋" w:hAnsi="仿宋" w:hint="eastAsia"/>
          <w:bCs/>
          <w:sz w:val="24"/>
        </w:rPr>
        <w:t>月1</w:t>
      </w:r>
      <w:r w:rsidRPr="001C0768">
        <w:rPr>
          <w:rFonts w:ascii="仿宋" w:eastAsia="仿宋" w:hAnsi="仿宋"/>
          <w:bCs/>
          <w:sz w:val="24"/>
        </w:rPr>
        <w:t>3</w:t>
      </w:r>
      <w:r w:rsidRPr="001C0768">
        <w:rPr>
          <w:rFonts w:ascii="仿宋" w:eastAsia="仿宋" w:hAnsi="仿宋" w:hint="eastAsia"/>
          <w:bCs/>
          <w:sz w:val="24"/>
        </w:rPr>
        <w:t>日前完成整改。</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4.3活动物资设置</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4.3.1展架、桌布、条幅、主题背景板、主题元素布置、玻璃门贴纸、户外造型结构等。</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4.3.2活动及现场游戏物料</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4.3.3根据拓展站功能分区提供活动场地平面图。根据执委会要求，确定场馆功能划分、人员流线、附属功能区域。</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4.4配套设施方面</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4.4.1设置和维护活动场地内外形象景观。设置内容必须满足成都大运会执</w:t>
      </w:r>
      <w:r w:rsidRPr="001C0768">
        <w:rPr>
          <w:rFonts w:ascii="仿宋" w:eastAsia="仿宋" w:hAnsi="仿宋" w:hint="eastAsia"/>
          <w:bCs/>
          <w:sz w:val="24"/>
        </w:rPr>
        <w:lastRenderedPageBreak/>
        <w:t>委会及中国反兴奋剂中心要求，满足“纯洁体育，拿干净金牌”主题，同时体现大运会的理念，并按照成都大运会执委会和中国反兴奋剂中心提出的要求和时限进行设置（预计在2022年5月，实际时间可能提前）。</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w:t>
      </w:r>
      <w:r w:rsidRPr="001C0768">
        <w:rPr>
          <w:rFonts w:ascii="仿宋" w:eastAsia="仿宋" w:hAnsi="仿宋"/>
          <w:bCs/>
          <w:sz w:val="24"/>
        </w:rPr>
        <w:t>4</w:t>
      </w:r>
      <w:r w:rsidRPr="001C0768">
        <w:rPr>
          <w:rFonts w:ascii="仿宋" w:eastAsia="仿宋" w:hAnsi="仿宋" w:hint="eastAsia"/>
          <w:bCs/>
          <w:sz w:val="24"/>
        </w:rPr>
        <w:t>.2设置活动场地的反兴奋剂标识及元素（参照金牌反兴奋剂教育拓展模式），并按照整体风格设置活动设置。</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4.</w:t>
      </w:r>
      <w:r w:rsidRPr="001C0768">
        <w:rPr>
          <w:rFonts w:ascii="仿宋" w:eastAsia="仿宋" w:hAnsi="仿宋"/>
          <w:bCs/>
          <w:sz w:val="24"/>
        </w:rPr>
        <w:t>4</w:t>
      </w:r>
      <w:r w:rsidRPr="001C0768">
        <w:rPr>
          <w:rFonts w:ascii="仿宋" w:eastAsia="仿宋" w:hAnsi="仿宋" w:hint="eastAsia"/>
          <w:bCs/>
          <w:sz w:val="24"/>
        </w:rPr>
        <w:t>.3协助临时搭建的建设和拆除。于合同签署后1个月内向执委会及中国反兴奋剂中心提供临时搭建方案；活动开始前完成场地临时搭建工作，活动结束后对临时搭建进行拆除。</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5、活动服务</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5.1教育模式开发：根据金牌反兴奋剂教育拓展模式和方式开发成都大运会反兴奋剂拓展教育模式</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5.2根据中国反兴奋剂中心反兴奋剂教育拓展要求及成都大运会运动员特点，制定反兴奋剂教育内容和流程。</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5.3活动时间安排：</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5.3.1拓展活动：6月26日—7月7日，每天10:00——20:00（根据实际情况和中国反兴奋剂中心要求可适当调整）</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5.3.2主题活动：根据实际情况和中国反兴奋剂中心要求，不少于5次。</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5.4活动设置方面</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5.4.1拓展活动：运行期间开放接待运动员及辅助人员</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5.4.2主题活动：有互动的主题活动</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5.5服务保障方面</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5.5.1提供活动场地卫生保障服务。实行场地各区域专人负责制和废弃物分类收集、集中管理等方式，及时全面的保障活动现场的整洁环境。</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5.5.2提供活动专用器材或物资的拆卸和安装调试。</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5.6拓展活动运行方面</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5.6.1编制承办拓展活动能够的活动指南。于合同签订后1个月内编排承办活动日程及工作计划，根据执委会及中国反兴奋剂中心的要求，提供活动的相关内容；收集活动数据，经确认后上报执委会和中国反兴奋剂中心，并进行宣传推广。</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5.6.2组织活动时间辅助人员服务。于合同签订后1个月内制定辅助人员管理方案，包括岗位安排和调配、每日运行流程、应急处置、疫情防控等。</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5.7其他服务方面</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5.7.1遵守执委会及中国反兴奋剂中心有关教育拓展活动承办过程中的政策和规定。</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lastRenderedPageBreak/>
        <w:t>5.7.2接受执委会及中国反兴奋剂中心的服务要求指导。</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6项目实施</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6.1人员</w:t>
      </w:r>
    </w:p>
    <w:p w:rsidR="001C0768" w:rsidRPr="001C0768" w:rsidRDefault="001C0768" w:rsidP="001C0768">
      <w:pPr>
        <w:widowControl/>
        <w:spacing w:line="400" w:lineRule="exact"/>
        <w:ind w:firstLineChars="200" w:firstLine="480"/>
        <w:jc w:val="left"/>
        <w:rPr>
          <w:rFonts w:ascii="仿宋" w:eastAsia="仿宋" w:hAnsi="仿宋"/>
          <w:bCs/>
          <w:sz w:val="24"/>
          <w:lang w:val="zh-CN" w:bidi="zh-CN"/>
        </w:rPr>
      </w:pPr>
      <w:r w:rsidRPr="001C0768">
        <w:rPr>
          <w:rFonts w:ascii="仿宋" w:eastAsia="仿宋" w:hAnsi="仿宋" w:hint="eastAsia"/>
          <w:bCs/>
          <w:sz w:val="24"/>
          <w:lang w:val="zh-CN" w:bidi="zh-CN"/>
        </w:rPr>
        <w:t>成交单位应在赛时提供人工服务，负责成都大运会反兴奋剂教育拓展活动的组织和实施等各项工作。其中指派专人1名担任项目经理，工作内容为：负责整个项目进程、监管各方面质量安全，沟通协调各方，协助教育主管开展教育拓展活动；管理人员1名负责器材维护，工作内容为：设备调试，器材维护，展厅内容更换，安全维护，库存物品登记；项目助理10名，工作内容为：协助活动开展，每日物品整理，纪念品分发，引导活动流线，活动现场秩序等。以上人员接受成都大运会疫情防控政策，驻大运村闭环管理，由采购人提供住宿和就餐保障。</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6.2制定方案</w:t>
      </w:r>
    </w:p>
    <w:p w:rsidR="001C0768" w:rsidRPr="001C0768" w:rsidRDefault="001C0768" w:rsidP="001C0768">
      <w:pPr>
        <w:spacing w:line="400" w:lineRule="exact"/>
        <w:ind w:firstLineChars="200" w:firstLine="480"/>
        <w:rPr>
          <w:rFonts w:ascii="仿宋" w:eastAsia="仿宋" w:hAnsi="仿宋"/>
          <w:bCs/>
          <w:sz w:val="24"/>
        </w:rPr>
      </w:pPr>
      <w:r w:rsidRPr="001C0768">
        <w:rPr>
          <w:rFonts w:ascii="仿宋" w:eastAsia="仿宋" w:hAnsi="仿宋" w:hint="eastAsia"/>
          <w:bCs/>
          <w:sz w:val="24"/>
        </w:rPr>
        <w:t>成交后成交单位应着手制定工作进度表、各项具体工作流程规范、细则等，经执委会及中国反兴奋剂中心确认后组织实施。</w:t>
      </w:r>
    </w:p>
    <w:p w:rsidR="001C0768" w:rsidRPr="001C0768" w:rsidRDefault="001C0768" w:rsidP="001C0768">
      <w:pPr>
        <w:spacing w:line="400" w:lineRule="exact"/>
        <w:ind w:firstLineChars="200" w:firstLine="480"/>
        <w:rPr>
          <w:rFonts w:ascii="仿宋" w:eastAsia="仿宋" w:hAnsi="仿宋"/>
          <w:bCs/>
          <w:sz w:val="24"/>
        </w:rPr>
      </w:pPr>
    </w:p>
    <w:p w:rsidR="001C0768" w:rsidRPr="001C0768" w:rsidRDefault="001C0768" w:rsidP="001C0768">
      <w:pPr>
        <w:widowControl/>
        <w:jc w:val="left"/>
        <w:rPr>
          <w:rFonts w:ascii="仿宋" w:eastAsia="仿宋" w:hAnsi="仿宋"/>
          <w:bCs/>
          <w:sz w:val="24"/>
        </w:rPr>
      </w:pPr>
      <w:r w:rsidRPr="001C0768">
        <w:rPr>
          <w:rFonts w:ascii="仿宋" w:eastAsia="仿宋" w:hAnsi="仿宋"/>
          <w:bCs/>
          <w:sz w:val="24"/>
        </w:rPr>
        <w:br w:type="page"/>
      </w:r>
    </w:p>
    <w:p w:rsidR="001C0768" w:rsidRPr="001C0768" w:rsidRDefault="001C0768" w:rsidP="001C0768">
      <w:pPr>
        <w:spacing w:line="400" w:lineRule="exact"/>
        <w:ind w:firstLineChars="200" w:firstLine="482"/>
        <w:rPr>
          <w:rFonts w:ascii="仿宋" w:eastAsia="仿宋" w:hAnsi="仿宋"/>
          <w:b/>
          <w:sz w:val="24"/>
        </w:rPr>
      </w:pPr>
      <w:r w:rsidRPr="001C0768">
        <w:rPr>
          <w:rFonts w:ascii="仿宋" w:eastAsia="仿宋" w:hAnsi="仿宋" w:hint="eastAsia"/>
          <w:b/>
          <w:sz w:val="24"/>
        </w:rPr>
        <w:lastRenderedPageBreak/>
        <w:t>附件1：成都大运会反兴奋剂拓展活动基本物资需求（供应商应在响应文件中承诺：为本项目提供的设施设备能满足项目的开展，若影响项目顺利开展，应及时更换相应的设备。）（以下物资仅是活动举办时使用，使用完之后物资的所属权归于供应商）</w:t>
      </w:r>
    </w:p>
    <w:tbl>
      <w:tblPr>
        <w:tblW w:w="5000" w:type="pct"/>
        <w:jc w:val="center"/>
        <w:tblLook w:val="0000" w:firstRow="0" w:lastRow="0" w:firstColumn="0" w:lastColumn="0" w:noHBand="0" w:noVBand="0"/>
      </w:tblPr>
      <w:tblGrid>
        <w:gridCol w:w="972"/>
        <w:gridCol w:w="2468"/>
        <w:gridCol w:w="973"/>
        <w:gridCol w:w="973"/>
        <w:gridCol w:w="2900"/>
      </w:tblGrid>
      <w:tr w:rsidR="001C0768" w:rsidRPr="001C0768" w:rsidTr="004B2865">
        <w:trPr>
          <w:trHeight w:val="522"/>
          <w:jc w:val="center"/>
        </w:trPr>
        <w:tc>
          <w:tcPr>
            <w:tcW w:w="587" w:type="pct"/>
            <w:tcBorders>
              <w:top w:val="single" w:sz="8" w:space="0" w:color="000000"/>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color w:val="000000"/>
                <w:kern w:val="0"/>
                <w:szCs w:val="21"/>
              </w:rPr>
            </w:pPr>
            <w:r w:rsidRPr="001C0768">
              <w:rPr>
                <w:rFonts w:ascii="仿宋" w:eastAsia="仿宋" w:hAnsi="仿宋" w:cs="宋体" w:hint="eastAsia"/>
                <w:color w:val="000000"/>
                <w:kern w:val="0"/>
                <w:szCs w:val="21"/>
                <w:lang w:eastAsia="zh-TW"/>
              </w:rPr>
              <w:t>序号</w:t>
            </w:r>
          </w:p>
        </w:tc>
        <w:tc>
          <w:tcPr>
            <w:tcW w:w="1489" w:type="pct"/>
            <w:tcBorders>
              <w:top w:val="single" w:sz="8" w:space="0" w:color="000000"/>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color w:val="000000"/>
                <w:kern w:val="0"/>
                <w:szCs w:val="21"/>
              </w:rPr>
            </w:pPr>
            <w:r w:rsidRPr="001C0768">
              <w:rPr>
                <w:rFonts w:ascii="仿宋" w:eastAsia="仿宋" w:hAnsi="仿宋" w:cs="宋体" w:hint="eastAsia"/>
                <w:color w:val="000000"/>
                <w:kern w:val="0"/>
                <w:szCs w:val="21"/>
                <w:lang w:eastAsia="zh-TW"/>
              </w:rPr>
              <w:t>货物名称</w:t>
            </w:r>
          </w:p>
        </w:tc>
        <w:tc>
          <w:tcPr>
            <w:tcW w:w="587" w:type="pct"/>
            <w:tcBorders>
              <w:top w:val="single" w:sz="8" w:space="0" w:color="000000"/>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color w:val="000000"/>
                <w:kern w:val="0"/>
                <w:szCs w:val="21"/>
              </w:rPr>
            </w:pPr>
            <w:r w:rsidRPr="001C0768">
              <w:rPr>
                <w:rFonts w:ascii="仿宋" w:eastAsia="仿宋" w:hAnsi="仿宋" w:cs="宋体" w:hint="eastAsia"/>
                <w:color w:val="000000"/>
                <w:kern w:val="0"/>
                <w:szCs w:val="21"/>
                <w:lang w:eastAsia="zh-TW"/>
              </w:rPr>
              <w:t>预估数量</w:t>
            </w:r>
          </w:p>
        </w:tc>
        <w:tc>
          <w:tcPr>
            <w:tcW w:w="587" w:type="pct"/>
            <w:tcBorders>
              <w:top w:val="single" w:sz="8" w:space="0" w:color="000000"/>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color w:val="000000"/>
                <w:kern w:val="0"/>
                <w:szCs w:val="21"/>
              </w:rPr>
            </w:pPr>
            <w:r w:rsidRPr="001C0768">
              <w:rPr>
                <w:rFonts w:ascii="仿宋" w:eastAsia="仿宋" w:hAnsi="仿宋" w:cs="宋体" w:hint="eastAsia"/>
                <w:color w:val="000000"/>
                <w:kern w:val="0"/>
                <w:szCs w:val="21"/>
              </w:rPr>
              <w:t>单位</w:t>
            </w:r>
          </w:p>
        </w:tc>
        <w:tc>
          <w:tcPr>
            <w:tcW w:w="1750" w:type="pct"/>
            <w:tcBorders>
              <w:top w:val="single" w:sz="8" w:space="0" w:color="000000"/>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color w:val="000000"/>
                <w:kern w:val="0"/>
                <w:szCs w:val="21"/>
              </w:rPr>
            </w:pPr>
            <w:r w:rsidRPr="001C0768">
              <w:rPr>
                <w:rFonts w:ascii="仿宋" w:eastAsia="仿宋" w:hAnsi="仿宋" w:cs="宋体" w:hint="eastAsia"/>
                <w:color w:val="000000"/>
                <w:kern w:val="0"/>
                <w:szCs w:val="21"/>
                <w:lang w:eastAsia="zh-TW"/>
              </w:rPr>
              <w:t>备注</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活动用电脑</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10</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台</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电视机</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台</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3</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U盘</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60</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8G</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4</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圆桌</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10</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张</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5</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户外桌</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8</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张</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6</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户外伞</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10</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把</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7</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圆凳</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25</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把</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8</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电源移动插排</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6</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10</w:t>
            </w:r>
            <w:r w:rsidRPr="001C0768">
              <w:rPr>
                <w:rFonts w:ascii="仿宋" w:eastAsia="仿宋" w:hAnsi="仿宋" w:hint="eastAsia"/>
                <w:kern w:val="0"/>
                <w:szCs w:val="21"/>
              </w:rPr>
              <w:t>米</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9</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桌布</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6</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块</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1.5</w:t>
            </w:r>
            <w:r w:rsidRPr="001C0768">
              <w:rPr>
                <w:rFonts w:ascii="仿宋" w:eastAsia="仿宋" w:hAnsi="仿宋" w:hint="eastAsia"/>
                <w:kern w:val="0"/>
                <w:szCs w:val="21"/>
              </w:rPr>
              <w:t>米乘以2米</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10</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布线</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200</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米</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11</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反兴奋剂知识海报</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600</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张</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60</w:t>
            </w:r>
            <w:r w:rsidRPr="001C0768">
              <w:rPr>
                <w:rFonts w:ascii="仿宋" w:eastAsia="仿宋" w:hAnsi="仿宋" w:hint="eastAsia"/>
                <w:kern w:val="0"/>
                <w:szCs w:val="21"/>
              </w:rPr>
              <w:t>套，每套10张</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12</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门型展架</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120</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13</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电脑视频连接线</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根</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14</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电视架</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15</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游戏手柄</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4</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17</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打卡器</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10</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tcBorders>
              <w:top w:val="nil"/>
              <w:left w:val="single" w:sz="8" w:space="0" w:color="000000"/>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18</w:t>
            </w:r>
          </w:p>
        </w:tc>
        <w:tc>
          <w:tcPr>
            <w:tcW w:w="1489"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签名笔</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5</w:t>
            </w:r>
          </w:p>
        </w:tc>
        <w:tc>
          <w:tcPr>
            <w:tcW w:w="587" w:type="pct"/>
            <w:tcBorders>
              <w:top w:val="nil"/>
              <w:left w:val="nil"/>
              <w:bottom w:val="single" w:sz="8" w:space="0" w:color="000000"/>
              <w:right w:val="single" w:sz="8" w:space="0" w:color="000000"/>
            </w:tcBorders>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盒</w:t>
            </w:r>
          </w:p>
        </w:tc>
        <w:tc>
          <w:tcPr>
            <w:tcW w:w="1750" w:type="pct"/>
            <w:tcBorders>
              <w:top w:val="nil"/>
              <w:left w:val="nil"/>
              <w:bottom w:val="single" w:sz="8" w:space="0" w:color="000000"/>
              <w:right w:val="single" w:sz="8" w:space="0" w:color="000000"/>
            </w:tcBorders>
            <w:vAlign w:val="center"/>
          </w:tcPr>
          <w:p w:rsidR="001C0768" w:rsidRPr="001C0768" w:rsidRDefault="001C0768" w:rsidP="004B2865">
            <w:pPr>
              <w:widowControl/>
              <w:jc w:val="left"/>
              <w:rPr>
                <w:rFonts w:ascii="仿宋" w:eastAsia="仿宋" w:hAnsi="仿宋"/>
                <w:kern w:val="0"/>
                <w:szCs w:val="21"/>
              </w:rPr>
            </w:pPr>
            <w:r w:rsidRPr="001C0768">
              <w:rPr>
                <w:rFonts w:ascii="仿宋" w:eastAsia="仿宋" w:hAnsi="仿宋"/>
                <w:kern w:val="0"/>
                <w:szCs w:val="21"/>
              </w:rPr>
              <w:t xml:space="preserve">　</w:t>
            </w:r>
          </w:p>
        </w:tc>
      </w:tr>
    </w:tbl>
    <w:p w:rsidR="001C0768" w:rsidRPr="001C0768" w:rsidRDefault="001C0768" w:rsidP="001C0768">
      <w:pPr>
        <w:spacing w:line="400" w:lineRule="exact"/>
        <w:ind w:firstLineChars="200" w:firstLine="482"/>
        <w:rPr>
          <w:rFonts w:ascii="仿宋" w:eastAsia="仿宋" w:hAnsi="仿宋"/>
          <w:b/>
          <w:sz w:val="24"/>
        </w:rPr>
      </w:pPr>
      <w:r w:rsidRPr="001C0768">
        <w:rPr>
          <w:rFonts w:ascii="仿宋" w:eastAsia="仿宋" w:hAnsi="仿宋" w:hint="eastAsia"/>
          <w:b/>
          <w:sz w:val="24"/>
        </w:rPr>
        <w:t>附件2：成都大运会反兴奋剂拓展活动人工需求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2459"/>
        <w:gridCol w:w="984"/>
        <w:gridCol w:w="980"/>
        <w:gridCol w:w="2896"/>
      </w:tblGrid>
      <w:tr w:rsidR="001C0768" w:rsidRPr="001C0768" w:rsidTr="004B2865">
        <w:trPr>
          <w:trHeight w:val="522"/>
          <w:jc w:val="center"/>
        </w:trPr>
        <w:tc>
          <w:tcPr>
            <w:tcW w:w="978"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lang w:eastAsia="zh-TW"/>
              </w:rPr>
              <w:t>序号</w:t>
            </w:r>
          </w:p>
        </w:tc>
        <w:tc>
          <w:tcPr>
            <w:tcW w:w="2459"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岗位</w:t>
            </w:r>
            <w:r w:rsidRPr="001C0768">
              <w:rPr>
                <w:rFonts w:ascii="仿宋" w:eastAsia="仿宋" w:hAnsi="仿宋" w:cs="宋体" w:hint="eastAsia"/>
                <w:kern w:val="0"/>
                <w:szCs w:val="21"/>
                <w:lang w:eastAsia="zh-TW"/>
              </w:rPr>
              <w:t>名称</w:t>
            </w:r>
          </w:p>
        </w:tc>
        <w:tc>
          <w:tcPr>
            <w:tcW w:w="984"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人数</w:t>
            </w:r>
          </w:p>
        </w:tc>
        <w:tc>
          <w:tcPr>
            <w:tcW w:w="980"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单位</w:t>
            </w:r>
          </w:p>
        </w:tc>
        <w:tc>
          <w:tcPr>
            <w:tcW w:w="2896"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lang w:eastAsia="zh-TW"/>
              </w:rPr>
              <w:t>备注</w:t>
            </w:r>
          </w:p>
        </w:tc>
      </w:tr>
      <w:tr w:rsidR="001C0768" w:rsidRPr="001C0768" w:rsidTr="004B2865">
        <w:trPr>
          <w:trHeight w:val="522"/>
          <w:jc w:val="center"/>
        </w:trPr>
        <w:tc>
          <w:tcPr>
            <w:tcW w:w="978"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w:t>
            </w:r>
          </w:p>
        </w:tc>
        <w:tc>
          <w:tcPr>
            <w:tcW w:w="2459"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项目经理</w:t>
            </w:r>
          </w:p>
        </w:tc>
        <w:tc>
          <w:tcPr>
            <w:tcW w:w="984"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w:t>
            </w:r>
          </w:p>
        </w:tc>
        <w:tc>
          <w:tcPr>
            <w:tcW w:w="980"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名</w:t>
            </w:r>
          </w:p>
        </w:tc>
        <w:tc>
          <w:tcPr>
            <w:tcW w:w="2896" w:type="dxa"/>
            <w:vMerge w:val="restar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采购人提供人员住宿和餐饮保障，供应商提供人员着装应符合成都大运会要求。所</w:t>
            </w:r>
            <w:r w:rsidRPr="001C0768">
              <w:rPr>
                <w:rFonts w:ascii="仿宋" w:eastAsia="仿宋" w:hAnsi="仿宋" w:cs="宋体" w:hint="eastAsia"/>
                <w:kern w:val="0"/>
                <w:szCs w:val="21"/>
              </w:rPr>
              <w:lastRenderedPageBreak/>
              <w:t>有人员需遵守成都大运会防疫要求和相关政策，实行闭环管理。</w:t>
            </w:r>
          </w:p>
        </w:tc>
      </w:tr>
      <w:tr w:rsidR="001C0768" w:rsidRPr="001C0768" w:rsidTr="004B2865">
        <w:trPr>
          <w:trHeight w:val="522"/>
          <w:jc w:val="center"/>
        </w:trPr>
        <w:tc>
          <w:tcPr>
            <w:tcW w:w="978"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w:t>
            </w:r>
          </w:p>
        </w:tc>
        <w:tc>
          <w:tcPr>
            <w:tcW w:w="2459"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器材维护员</w:t>
            </w:r>
          </w:p>
        </w:tc>
        <w:tc>
          <w:tcPr>
            <w:tcW w:w="984"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w:t>
            </w:r>
          </w:p>
        </w:tc>
        <w:tc>
          <w:tcPr>
            <w:tcW w:w="980"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名</w:t>
            </w:r>
          </w:p>
        </w:tc>
        <w:tc>
          <w:tcPr>
            <w:tcW w:w="2896" w:type="dxa"/>
            <w:vMerge/>
            <w:vAlign w:val="center"/>
          </w:tcPr>
          <w:p w:rsidR="001C0768" w:rsidRPr="001C0768" w:rsidRDefault="001C0768" w:rsidP="004B2865">
            <w:pPr>
              <w:widowControl/>
              <w:jc w:val="center"/>
              <w:rPr>
                <w:rFonts w:ascii="仿宋" w:eastAsia="仿宋" w:hAnsi="仿宋" w:cs="宋体"/>
                <w:kern w:val="0"/>
                <w:szCs w:val="21"/>
              </w:rPr>
            </w:pPr>
          </w:p>
        </w:tc>
      </w:tr>
      <w:tr w:rsidR="001C0768" w:rsidRPr="001C0768" w:rsidTr="004B2865">
        <w:trPr>
          <w:trHeight w:val="522"/>
          <w:jc w:val="center"/>
        </w:trPr>
        <w:tc>
          <w:tcPr>
            <w:tcW w:w="978"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lastRenderedPageBreak/>
              <w:t>3</w:t>
            </w:r>
          </w:p>
        </w:tc>
        <w:tc>
          <w:tcPr>
            <w:tcW w:w="2459"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项目助理</w:t>
            </w:r>
          </w:p>
        </w:tc>
        <w:tc>
          <w:tcPr>
            <w:tcW w:w="984"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kern w:val="0"/>
                <w:szCs w:val="21"/>
              </w:rPr>
              <w:t>10</w:t>
            </w:r>
          </w:p>
        </w:tc>
        <w:tc>
          <w:tcPr>
            <w:tcW w:w="980"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名</w:t>
            </w:r>
          </w:p>
        </w:tc>
        <w:tc>
          <w:tcPr>
            <w:tcW w:w="2896" w:type="dxa"/>
            <w:vMerge/>
            <w:vAlign w:val="center"/>
          </w:tcPr>
          <w:p w:rsidR="001C0768" w:rsidRPr="001C0768" w:rsidRDefault="001C0768" w:rsidP="004B2865">
            <w:pPr>
              <w:widowControl/>
              <w:jc w:val="center"/>
              <w:rPr>
                <w:rFonts w:ascii="仿宋" w:eastAsia="仿宋" w:hAnsi="仿宋" w:cs="宋体"/>
                <w:kern w:val="0"/>
                <w:szCs w:val="21"/>
              </w:rPr>
            </w:pPr>
          </w:p>
        </w:tc>
      </w:tr>
    </w:tbl>
    <w:p w:rsidR="001C0768" w:rsidRPr="001C0768" w:rsidRDefault="001C0768" w:rsidP="001C0768">
      <w:pPr>
        <w:spacing w:line="400" w:lineRule="exact"/>
        <w:ind w:firstLineChars="200" w:firstLine="482"/>
        <w:rPr>
          <w:rFonts w:ascii="仿宋" w:eastAsia="仿宋" w:hAnsi="仿宋"/>
          <w:b/>
          <w:sz w:val="24"/>
        </w:rPr>
      </w:pPr>
      <w:r w:rsidRPr="001C0768">
        <w:rPr>
          <w:rFonts w:ascii="仿宋" w:eastAsia="仿宋" w:hAnsi="仿宋" w:hint="eastAsia"/>
          <w:b/>
          <w:sz w:val="24"/>
        </w:rPr>
        <w:lastRenderedPageBreak/>
        <w:t>附件3：成都大运会反兴奋剂拓展活动临时搭建等需求（供应商应在响应文件中承诺：为本项目提供的设施设备能满足项目的开展，若影响项目顺利开展，应及时更换相应的设备。）（以下清单中涉及的物资仅是活动举办时使用，使用完之后物资的所属权归于供应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2471"/>
        <w:gridCol w:w="974"/>
        <w:gridCol w:w="974"/>
        <w:gridCol w:w="2904"/>
      </w:tblGrid>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整体背景墙</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 xml:space="preserve">  </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平米</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25</w:t>
            </w:r>
            <w:r w:rsidRPr="001C0768">
              <w:rPr>
                <w:rFonts w:ascii="仿宋" w:eastAsia="仿宋" w:hAnsi="仿宋" w:hint="eastAsia"/>
                <w:kern w:val="0"/>
                <w:szCs w:val="21"/>
              </w:rPr>
              <w:t>米乘以3米（预计）</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户外标志性主题造型</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直径两米，高度两米</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3</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室内吊顶</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50</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平米</w:t>
            </w:r>
          </w:p>
        </w:tc>
        <w:tc>
          <w:tcPr>
            <w:tcW w:w="1750"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挂满体育精神中英文字</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4</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体育精神云造型悬挂</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5</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地贴异形</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100</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平米</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6</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车贴</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5</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平米</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7</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可移背胶</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10</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平米</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8</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悬挂帆旗</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22</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平米</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9</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PVC雕刻字</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60</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10</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亚克力桌牌</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6</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11</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室内射灯</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50</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盏</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12</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射灯轨道</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50</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米</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13</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配电箱</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14</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游戏道具</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若干</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 xml:space="preserve">　</w:t>
            </w:r>
          </w:p>
        </w:tc>
        <w:tc>
          <w:tcPr>
            <w:tcW w:w="1750"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至少5项拓展活动</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15</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主题道具</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若干</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 xml:space="preserve">　</w:t>
            </w:r>
          </w:p>
        </w:tc>
        <w:tc>
          <w:tcPr>
            <w:tcW w:w="1750"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根据主题活动提供</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16</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户外射灯</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4</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个</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17</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主题装饰</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若干</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 xml:space="preserve">　</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18</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设计费</w:t>
            </w:r>
          </w:p>
        </w:tc>
        <w:tc>
          <w:tcPr>
            <w:tcW w:w="587"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1</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项目</w:t>
            </w:r>
          </w:p>
        </w:tc>
        <w:tc>
          <w:tcPr>
            <w:tcW w:w="1750"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整个项目所有物料设计费</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19</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活动软件开发费</w:t>
            </w:r>
          </w:p>
        </w:tc>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线上答题</w:t>
            </w:r>
          </w:p>
        </w:tc>
        <w:tc>
          <w:tcPr>
            <w:tcW w:w="587"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1</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1000"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20</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游戏软件开发</w:t>
            </w:r>
          </w:p>
        </w:tc>
        <w:tc>
          <w:tcPr>
            <w:tcW w:w="587" w:type="pct"/>
            <w:vAlign w:val="center"/>
          </w:tcPr>
          <w:p w:rsidR="001C0768" w:rsidRPr="001C0768" w:rsidRDefault="001C0768" w:rsidP="004B2865">
            <w:pPr>
              <w:widowControl/>
              <w:jc w:val="center"/>
              <w:rPr>
                <w:rFonts w:ascii="仿宋" w:eastAsia="仿宋" w:hAnsi="仿宋" w:cs="宋体"/>
                <w:kern w:val="0"/>
                <w:szCs w:val="21"/>
              </w:rPr>
            </w:pPr>
          </w:p>
        </w:tc>
        <w:tc>
          <w:tcPr>
            <w:tcW w:w="587" w:type="pct"/>
            <w:vAlign w:val="center"/>
          </w:tcPr>
          <w:p w:rsidR="001C0768" w:rsidRPr="001C0768" w:rsidRDefault="001C0768" w:rsidP="004B2865">
            <w:pPr>
              <w:widowControl/>
              <w:jc w:val="center"/>
              <w:rPr>
                <w:rFonts w:ascii="仿宋" w:eastAsia="仿宋" w:hAnsi="仿宋"/>
                <w:kern w:val="0"/>
                <w:szCs w:val="21"/>
              </w:rPr>
            </w:pPr>
          </w:p>
        </w:tc>
        <w:tc>
          <w:tcPr>
            <w:tcW w:w="1750" w:type="pct"/>
            <w:vAlign w:val="center"/>
          </w:tcPr>
          <w:p w:rsidR="001C0768" w:rsidRPr="001C0768" w:rsidRDefault="001C0768" w:rsidP="004B2865">
            <w:pPr>
              <w:widowControl/>
              <w:jc w:val="center"/>
              <w:rPr>
                <w:rFonts w:ascii="仿宋" w:eastAsia="仿宋" w:hAnsi="仿宋"/>
                <w:kern w:val="0"/>
                <w:szCs w:val="21"/>
              </w:rPr>
            </w:pPr>
          </w:p>
        </w:tc>
      </w:tr>
      <w:tr w:rsidR="001C0768" w:rsidRPr="001C0768" w:rsidTr="004B2865">
        <w:trPr>
          <w:trHeight w:val="522"/>
          <w:jc w:val="center"/>
        </w:trPr>
        <w:tc>
          <w:tcPr>
            <w:tcW w:w="1000"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21</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人工</w:t>
            </w:r>
          </w:p>
        </w:tc>
        <w:tc>
          <w:tcPr>
            <w:tcW w:w="587"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c>
          <w:tcPr>
            <w:tcW w:w="587"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c>
          <w:tcPr>
            <w:tcW w:w="1750"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整个搭建电路改造等</w:t>
            </w:r>
          </w:p>
        </w:tc>
      </w:tr>
      <w:tr w:rsidR="001C0768" w:rsidRPr="001C0768" w:rsidTr="004B2865">
        <w:trPr>
          <w:trHeight w:val="522"/>
          <w:jc w:val="center"/>
        </w:trPr>
        <w:tc>
          <w:tcPr>
            <w:tcW w:w="1000"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lastRenderedPageBreak/>
              <w:t>22</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运输费</w:t>
            </w:r>
          </w:p>
        </w:tc>
        <w:tc>
          <w:tcPr>
            <w:tcW w:w="587"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bookmarkStart w:id="1" w:name="_GoBack"/>
            <w:bookmarkEnd w:id="1"/>
          </w:p>
        </w:tc>
        <w:tc>
          <w:tcPr>
            <w:tcW w:w="587"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1000" w:type="dxa"/>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23</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视频</w:t>
            </w:r>
          </w:p>
        </w:tc>
        <w:tc>
          <w:tcPr>
            <w:tcW w:w="587"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c>
          <w:tcPr>
            <w:tcW w:w="587"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RP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24</w:t>
            </w:r>
          </w:p>
        </w:tc>
        <w:tc>
          <w:tcPr>
            <w:tcW w:w="1489"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活动策划费</w:t>
            </w:r>
          </w:p>
        </w:tc>
        <w:tc>
          <w:tcPr>
            <w:tcW w:w="587"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c>
          <w:tcPr>
            <w:tcW w:w="587"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c>
          <w:tcPr>
            <w:tcW w:w="1750" w:type="pct"/>
            <w:vAlign w:val="center"/>
          </w:tcPr>
          <w:p w:rsidR="001C0768" w:rsidRPr="001C0768" w:rsidRDefault="001C0768" w:rsidP="004B2865">
            <w:pPr>
              <w:widowControl/>
              <w:jc w:val="center"/>
              <w:rPr>
                <w:rFonts w:ascii="仿宋" w:eastAsia="仿宋" w:hAnsi="仿宋"/>
                <w:kern w:val="0"/>
                <w:szCs w:val="21"/>
              </w:rPr>
            </w:pPr>
            <w:r w:rsidRPr="001C0768">
              <w:rPr>
                <w:rFonts w:ascii="仿宋" w:eastAsia="仿宋" w:hAnsi="仿宋"/>
                <w:kern w:val="0"/>
                <w:szCs w:val="21"/>
              </w:rPr>
              <w:t xml:space="preserve">　</w:t>
            </w:r>
          </w:p>
        </w:tc>
      </w:tr>
      <w:tr w:rsidR="001C0768" w:rsidTr="004B2865">
        <w:trPr>
          <w:trHeight w:val="522"/>
          <w:jc w:val="center"/>
        </w:trPr>
        <w:tc>
          <w:tcPr>
            <w:tcW w:w="587" w:type="pct"/>
            <w:vAlign w:val="center"/>
          </w:tcPr>
          <w:p w:rsidR="001C0768" w:rsidRP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25</w:t>
            </w:r>
          </w:p>
        </w:tc>
        <w:tc>
          <w:tcPr>
            <w:tcW w:w="1489" w:type="pct"/>
            <w:vAlign w:val="center"/>
          </w:tcPr>
          <w:p w:rsidR="001C0768" w:rsidRDefault="001C0768" w:rsidP="004B2865">
            <w:pPr>
              <w:widowControl/>
              <w:jc w:val="center"/>
              <w:rPr>
                <w:rFonts w:ascii="仿宋" w:eastAsia="仿宋" w:hAnsi="仿宋" w:cs="宋体"/>
                <w:kern w:val="0"/>
                <w:szCs w:val="21"/>
              </w:rPr>
            </w:pPr>
            <w:r w:rsidRPr="001C0768">
              <w:rPr>
                <w:rFonts w:ascii="仿宋" w:eastAsia="仿宋" w:hAnsi="仿宋" w:cs="宋体" w:hint="eastAsia"/>
                <w:kern w:val="0"/>
                <w:szCs w:val="21"/>
              </w:rPr>
              <w:t>项目运行管理执行服务费</w:t>
            </w:r>
          </w:p>
        </w:tc>
        <w:tc>
          <w:tcPr>
            <w:tcW w:w="587" w:type="pct"/>
            <w:vAlign w:val="center"/>
          </w:tcPr>
          <w:p w:rsidR="001C0768" w:rsidRDefault="001C0768" w:rsidP="004B2865">
            <w:pPr>
              <w:widowControl/>
              <w:jc w:val="center"/>
              <w:rPr>
                <w:rFonts w:ascii="仿宋" w:eastAsia="仿宋" w:hAnsi="仿宋"/>
                <w:kern w:val="0"/>
                <w:szCs w:val="21"/>
              </w:rPr>
            </w:pPr>
            <w:r>
              <w:rPr>
                <w:rFonts w:ascii="仿宋" w:eastAsia="仿宋" w:hAnsi="仿宋"/>
                <w:kern w:val="0"/>
                <w:szCs w:val="21"/>
              </w:rPr>
              <w:t xml:space="preserve">　</w:t>
            </w:r>
          </w:p>
        </w:tc>
        <w:tc>
          <w:tcPr>
            <w:tcW w:w="587" w:type="pct"/>
            <w:vAlign w:val="center"/>
          </w:tcPr>
          <w:p w:rsidR="001C0768" w:rsidRDefault="001C0768" w:rsidP="004B2865">
            <w:pPr>
              <w:widowControl/>
              <w:jc w:val="center"/>
              <w:rPr>
                <w:rFonts w:ascii="仿宋" w:eastAsia="仿宋" w:hAnsi="仿宋"/>
                <w:kern w:val="0"/>
                <w:szCs w:val="21"/>
              </w:rPr>
            </w:pPr>
            <w:r>
              <w:rPr>
                <w:rFonts w:ascii="仿宋" w:eastAsia="仿宋" w:hAnsi="仿宋"/>
                <w:kern w:val="0"/>
                <w:szCs w:val="21"/>
              </w:rPr>
              <w:t xml:space="preserve">　</w:t>
            </w:r>
          </w:p>
        </w:tc>
        <w:tc>
          <w:tcPr>
            <w:tcW w:w="1750" w:type="pct"/>
            <w:vAlign w:val="center"/>
          </w:tcPr>
          <w:p w:rsidR="001C0768" w:rsidRDefault="001C0768" w:rsidP="004B2865">
            <w:pPr>
              <w:widowControl/>
              <w:jc w:val="center"/>
              <w:rPr>
                <w:rFonts w:ascii="仿宋" w:eastAsia="仿宋" w:hAnsi="仿宋"/>
                <w:kern w:val="0"/>
                <w:szCs w:val="21"/>
              </w:rPr>
            </w:pPr>
            <w:r>
              <w:rPr>
                <w:rFonts w:ascii="仿宋" w:eastAsia="仿宋" w:hAnsi="仿宋"/>
                <w:kern w:val="0"/>
                <w:szCs w:val="21"/>
              </w:rPr>
              <w:t xml:space="preserve">　</w:t>
            </w:r>
          </w:p>
        </w:tc>
      </w:tr>
    </w:tbl>
    <w:p w:rsidR="001C0768" w:rsidRDefault="001C0768" w:rsidP="001C0768"/>
    <w:p w:rsidR="000A2FE6" w:rsidRDefault="001C0768" w:rsidP="001C0768">
      <w:r>
        <w:rPr>
          <w:rFonts w:ascii="仿宋" w:eastAsia="仿宋" w:hAnsi="仿宋"/>
        </w:rPr>
        <w:br w:type="page"/>
      </w:r>
    </w:p>
    <w:sectPr w:rsidR="000A2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514" w:rsidRDefault="008B4514" w:rsidP="001C0768">
      <w:r>
        <w:separator/>
      </w:r>
    </w:p>
  </w:endnote>
  <w:endnote w:type="continuationSeparator" w:id="0">
    <w:p w:rsidR="008B4514" w:rsidRDefault="008B4514" w:rsidP="001C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514" w:rsidRDefault="008B4514" w:rsidP="001C0768">
      <w:r>
        <w:separator/>
      </w:r>
    </w:p>
  </w:footnote>
  <w:footnote w:type="continuationSeparator" w:id="0">
    <w:p w:rsidR="008B4514" w:rsidRDefault="008B4514" w:rsidP="001C0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B9"/>
    <w:rsid w:val="000A2FE6"/>
    <w:rsid w:val="001844B9"/>
    <w:rsid w:val="001C0768"/>
    <w:rsid w:val="008B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B87D64-66DA-4444-BF29-942FEFFA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C076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C07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C0768"/>
    <w:rPr>
      <w:sz w:val="18"/>
      <w:szCs w:val="18"/>
    </w:rPr>
  </w:style>
  <w:style w:type="paragraph" w:styleId="a5">
    <w:name w:val="footer"/>
    <w:basedOn w:val="a"/>
    <w:link w:val="Char0"/>
    <w:uiPriority w:val="99"/>
    <w:unhideWhenUsed/>
    <w:rsid w:val="001C07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C0768"/>
    <w:rPr>
      <w:sz w:val="18"/>
      <w:szCs w:val="18"/>
    </w:rPr>
  </w:style>
  <w:style w:type="character" w:customStyle="1" w:styleId="a6">
    <w:name w:val="正文文本 字符"/>
    <w:link w:val="a0"/>
    <w:qFormat/>
    <w:rsid w:val="001C0768"/>
    <w:rPr>
      <w:rFonts w:ascii="Times New Roman" w:eastAsia="宋体" w:hAnsi="Times New Roman" w:cs="Times New Roman"/>
      <w:szCs w:val="24"/>
    </w:rPr>
  </w:style>
  <w:style w:type="paragraph" w:styleId="a0">
    <w:name w:val="Body Text"/>
    <w:basedOn w:val="a"/>
    <w:next w:val="a"/>
    <w:link w:val="a6"/>
    <w:qFormat/>
    <w:rsid w:val="001C0768"/>
    <w:pPr>
      <w:spacing w:after="120"/>
    </w:pPr>
  </w:style>
  <w:style w:type="character" w:customStyle="1" w:styleId="Char1">
    <w:name w:val="正文文本 Char"/>
    <w:basedOn w:val="a1"/>
    <w:uiPriority w:val="99"/>
    <w:semiHidden/>
    <w:rsid w:val="001C076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711</Words>
  <Characters>4053</Characters>
  <Application>Microsoft Office Word</Application>
  <DocSecurity>0</DocSecurity>
  <Lines>33</Lines>
  <Paragraphs>9</Paragraphs>
  <ScaleCrop>false</ScaleCrop>
  <Company>微软中国</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王师沁</dc:creator>
  <cp:keywords/>
  <dc:description/>
  <cp:lastModifiedBy>王师沁</cp:lastModifiedBy>
  <cp:revision>2</cp:revision>
  <dcterms:created xsi:type="dcterms:W3CDTF">2022-04-19T08:30:00Z</dcterms:created>
  <dcterms:modified xsi:type="dcterms:W3CDTF">2022-04-19T08:31:00Z</dcterms:modified>
</cp:coreProperties>
</file>