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CA0" w:rsidRPr="00A77C2A" w:rsidRDefault="00CC4CA0" w:rsidP="00CC4CA0">
      <w:pPr>
        <w:pStyle w:val="a6"/>
        <w:rPr>
          <w:rFonts w:ascii="宋体" w:hAnsi="宋体"/>
        </w:rPr>
      </w:pPr>
      <w:r w:rsidRPr="00A77C2A">
        <w:rPr>
          <w:rFonts w:ascii="宋体" w:hAnsi="宋体" w:hint="eastAsia"/>
        </w:rPr>
        <w:t>采购项目技术、服务、政府采购合同内容条款及其他商务要求</w:t>
      </w:r>
    </w:p>
    <w:p w:rsidR="00CC4CA0" w:rsidRPr="00A77C2A" w:rsidRDefault="00CC4CA0" w:rsidP="00CC4CA0">
      <w:pPr>
        <w:spacing w:line="400" w:lineRule="exact"/>
        <w:ind w:firstLineChars="49" w:firstLine="118"/>
        <w:jc w:val="left"/>
        <w:rPr>
          <w:rFonts w:ascii="宋体" w:hAnsi="宋体"/>
          <w:sz w:val="24"/>
        </w:rPr>
      </w:pPr>
    </w:p>
    <w:p w:rsidR="00CC4CA0" w:rsidRPr="00A77C2A" w:rsidRDefault="00CC4CA0" w:rsidP="00CC4CA0">
      <w:pPr>
        <w:spacing w:line="400" w:lineRule="exact"/>
        <w:ind w:firstLineChars="49" w:firstLine="118"/>
        <w:jc w:val="left"/>
        <w:rPr>
          <w:rFonts w:ascii="宋体" w:hAnsi="宋体"/>
          <w:sz w:val="24"/>
        </w:rPr>
      </w:pPr>
      <w:bookmarkStart w:id="0" w:name="PO_默认文件内容_27"/>
      <w:r w:rsidRPr="00A77C2A">
        <w:rPr>
          <w:rFonts w:ascii="宋体" w:hAnsi="宋体" w:hint="eastAsia"/>
          <w:sz w:val="24"/>
        </w:rPr>
        <w:t>前提：本章采购需求中标注“*”号的条款为本次磋商采购项目的实质性要求，供应商应全部满足。</w:t>
      </w:r>
    </w:p>
    <w:p w:rsidR="00CC4CA0" w:rsidRPr="00A77C2A" w:rsidRDefault="00CC4CA0" w:rsidP="00CC4CA0">
      <w:pPr>
        <w:pStyle w:val="2"/>
        <w:spacing w:line="400" w:lineRule="exact"/>
        <w:ind w:firstLineChars="98" w:firstLine="236"/>
        <w:rPr>
          <w:rFonts w:ascii="宋体" w:eastAsia="宋体" w:hAnsi="宋体"/>
          <w:sz w:val="24"/>
          <w:szCs w:val="24"/>
        </w:rPr>
      </w:pPr>
      <w:r w:rsidRPr="00A77C2A">
        <w:rPr>
          <w:rFonts w:ascii="宋体" w:eastAsia="宋体" w:hAnsi="宋体" w:hint="eastAsia"/>
          <w:sz w:val="24"/>
          <w:szCs w:val="24"/>
        </w:rPr>
        <w:t>一、项目概述</w:t>
      </w:r>
    </w:p>
    <w:p w:rsidR="00CC4CA0" w:rsidRPr="00A77C2A" w:rsidRDefault="00CC4CA0" w:rsidP="00CC4CA0">
      <w:pPr>
        <w:pStyle w:val="a4"/>
        <w:spacing w:line="400" w:lineRule="exact"/>
        <w:ind w:firstLine="480"/>
        <w:rPr>
          <w:rFonts w:ascii="宋体" w:hAnsi="宋体"/>
          <w:bCs/>
          <w:sz w:val="24"/>
        </w:rPr>
      </w:pPr>
      <w:r w:rsidRPr="00A77C2A">
        <w:rPr>
          <w:rFonts w:ascii="宋体" w:hAnsi="宋体" w:hint="eastAsia"/>
          <w:bCs/>
          <w:sz w:val="24"/>
        </w:rPr>
        <w:t>排污许可制是依法依规规范企事业单位排污行为的基础性环境管理制度。推进排污许可制改革，既是贯彻党的十九大精神、强化排污者责任的重要举措，也是提高环境管理效能、改善环境质量的重要制度保障。排污许可证既是企事业单位的守法文书，也是生态环境部门的执法依据，依证监管是排污许可证实施到位的关键环节。</w:t>
      </w:r>
    </w:p>
    <w:p w:rsidR="00CC4CA0" w:rsidRPr="00A77C2A" w:rsidRDefault="00CC4CA0" w:rsidP="00CC4CA0">
      <w:pPr>
        <w:pStyle w:val="a4"/>
        <w:spacing w:line="400" w:lineRule="exact"/>
        <w:ind w:firstLine="480"/>
        <w:rPr>
          <w:rFonts w:ascii="宋体" w:hAnsi="宋体"/>
          <w:bCs/>
          <w:sz w:val="24"/>
        </w:rPr>
      </w:pPr>
      <w:r w:rsidRPr="00A77C2A">
        <w:rPr>
          <w:rFonts w:ascii="宋体" w:hAnsi="宋体" w:hint="eastAsia"/>
          <w:bCs/>
          <w:sz w:val="24"/>
        </w:rPr>
        <w:t>为贯彻落实好《排污许可管理条例》，规范排污许可管理，强化排污许可证后管理，开展彭州市2022年固定污染源排污许可核查技术服务项目。本项目工作内容主要包括开展排污许可证规范管理培训；根据采购人提供的实际名单，对不少于100家排污许可登记单位开展现场核查，对约400家排污许可持证单位开展排污许可证核发质量核查和执行情况技术核查，并帮扶所涉企业完成整改。</w:t>
      </w:r>
    </w:p>
    <w:p w:rsidR="00CC4CA0" w:rsidRPr="00A77C2A" w:rsidRDefault="00CC4CA0" w:rsidP="00CC4CA0">
      <w:pPr>
        <w:pStyle w:val="2"/>
        <w:spacing w:line="400" w:lineRule="exact"/>
        <w:ind w:firstLineChars="98" w:firstLine="236"/>
        <w:rPr>
          <w:rFonts w:ascii="宋体" w:eastAsia="宋体" w:hAnsi="宋体"/>
          <w:sz w:val="24"/>
          <w:szCs w:val="24"/>
        </w:rPr>
      </w:pPr>
      <w:r w:rsidRPr="00A77C2A">
        <w:rPr>
          <w:rFonts w:ascii="宋体" w:eastAsia="宋体" w:hAnsi="宋体" w:hint="eastAsia"/>
          <w:sz w:val="24"/>
          <w:szCs w:val="24"/>
        </w:rPr>
        <w:t>二、项目清单</w:t>
      </w:r>
    </w:p>
    <w:tbl>
      <w:tblPr>
        <w:tblW w:w="795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056"/>
        <w:gridCol w:w="1086"/>
        <w:gridCol w:w="1239"/>
        <w:gridCol w:w="1817"/>
        <w:gridCol w:w="1953"/>
      </w:tblGrid>
      <w:tr w:rsidR="00CC4CA0" w:rsidRPr="00A77C2A" w:rsidTr="003B7132">
        <w:trPr>
          <w:trHeight w:val="390"/>
        </w:trPr>
        <w:tc>
          <w:tcPr>
            <w:tcW w:w="808" w:type="dxa"/>
            <w:tcBorders>
              <w:top w:val="single" w:sz="4" w:space="0" w:color="auto"/>
              <w:left w:val="single" w:sz="4" w:space="0" w:color="auto"/>
              <w:bottom w:val="single" w:sz="4" w:space="0" w:color="auto"/>
              <w:right w:val="single" w:sz="4" w:space="0" w:color="auto"/>
            </w:tcBorders>
            <w:vAlign w:val="center"/>
          </w:tcPr>
          <w:p w:rsidR="00CC4CA0" w:rsidRPr="00A77C2A" w:rsidRDefault="00CC4CA0" w:rsidP="003B7132">
            <w:pPr>
              <w:widowControl/>
              <w:spacing w:line="360" w:lineRule="atLeast"/>
              <w:jc w:val="center"/>
              <w:outlineLvl w:val="1"/>
              <w:rPr>
                <w:rFonts w:ascii="宋体" w:hAnsi="宋体"/>
                <w:sz w:val="24"/>
              </w:rPr>
            </w:pPr>
            <w:r w:rsidRPr="00A77C2A">
              <w:rPr>
                <w:rFonts w:ascii="宋体" w:hAnsi="宋体" w:hint="eastAsia"/>
                <w:sz w:val="24"/>
              </w:rPr>
              <w:t>序号</w:t>
            </w:r>
          </w:p>
        </w:tc>
        <w:tc>
          <w:tcPr>
            <w:tcW w:w="1056" w:type="dxa"/>
            <w:tcBorders>
              <w:top w:val="single" w:sz="4" w:space="0" w:color="auto"/>
              <w:left w:val="single" w:sz="4" w:space="0" w:color="auto"/>
              <w:bottom w:val="single" w:sz="4" w:space="0" w:color="auto"/>
              <w:right w:val="single" w:sz="4" w:space="0" w:color="auto"/>
            </w:tcBorders>
            <w:vAlign w:val="center"/>
          </w:tcPr>
          <w:p w:rsidR="00CC4CA0" w:rsidRPr="00A77C2A" w:rsidRDefault="00CC4CA0" w:rsidP="003B7132">
            <w:pPr>
              <w:widowControl/>
              <w:spacing w:line="360" w:lineRule="atLeast"/>
              <w:jc w:val="center"/>
              <w:outlineLvl w:val="1"/>
              <w:rPr>
                <w:rFonts w:ascii="宋体" w:hAnsi="宋体"/>
                <w:sz w:val="24"/>
              </w:rPr>
            </w:pPr>
            <w:r w:rsidRPr="00A77C2A">
              <w:rPr>
                <w:rFonts w:ascii="宋体" w:hAnsi="宋体" w:hint="eastAsia"/>
                <w:sz w:val="24"/>
              </w:rPr>
              <w:t>包号</w:t>
            </w:r>
          </w:p>
        </w:tc>
        <w:tc>
          <w:tcPr>
            <w:tcW w:w="1086" w:type="dxa"/>
            <w:tcBorders>
              <w:top w:val="single" w:sz="4" w:space="0" w:color="auto"/>
              <w:left w:val="single" w:sz="4" w:space="0" w:color="auto"/>
              <w:bottom w:val="single" w:sz="4" w:space="0" w:color="auto"/>
              <w:right w:val="single" w:sz="4" w:space="0" w:color="auto"/>
            </w:tcBorders>
          </w:tcPr>
          <w:p w:rsidR="00CC4CA0" w:rsidRPr="00A77C2A" w:rsidRDefault="00CC4CA0" w:rsidP="003B7132">
            <w:pPr>
              <w:widowControl/>
              <w:spacing w:line="360" w:lineRule="atLeast"/>
              <w:jc w:val="center"/>
              <w:outlineLvl w:val="1"/>
              <w:rPr>
                <w:rFonts w:ascii="宋体" w:hAnsi="宋体"/>
                <w:sz w:val="24"/>
              </w:rPr>
            </w:pPr>
            <w:r w:rsidRPr="00A77C2A">
              <w:rPr>
                <w:rFonts w:ascii="宋体" w:hAnsi="宋体" w:hint="eastAsia"/>
                <w:sz w:val="24"/>
              </w:rPr>
              <w:t>品目号</w:t>
            </w:r>
          </w:p>
        </w:tc>
        <w:tc>
          <w:tcPr>
            <w:tcW w:w="1239" w:type="dxa"/>
            <w:tcBorders>
              <w:top w:val="single" w:sz="4" w:space="0" w:color="auto"/>
              <w:left w:val="single" w:sz="4" w:space="0" w:color="auto"/>
              <w:bottom w:val="single" w:sz="4" w:space="0" w:color="auto"/>
              <w:right w:val="single" w:sz="4" w:space="0" w:color="auto"/>
            </w:tcBorders>
            <w:vAlign w:val="center"/>
          </w:tcPr>
          <w:p w:rsidR="00CC4CA0" w:rsidRPr="00A77C2A" w:rsidRDefault="00CC4CA0" w:rsidP="003B7132">
            <w:pPr>
              <w:widowControl/>
              <w:spacing w:line="360" w:lineRule="atLeast"/>
              <w:jc w:val="center"/>
              <w:outlineLvl w:val="1"/>
              <w:rPr>
                <w:rFonts w:ascii="宋体" w:hAnsi="宋体"/>
                <w:sz w:val="24"/>
              </w:rPr>
            </w:pPr>
            <w:r w:rsidRPr="00A77C2A">
              <w:rPr>
                <w:rFonts w:ascii="宋体" w:hAnsi="宋体" w:hint="eastAsia"/>
                <w:sz w:val="24"/>
              </w:rPr>
              <w:t>标的名称</w:t>
            </w:r>
          </w:p>
        </w:tc>
        <w:tc>
          <w:tcPr>
            <w:tcW w:w="1817" w:type="dxa"/>
            <w:tcBorders>
              <w:top w:val="single" w:sz="4" w:space="0" w:color="auto"/>
              <w:left w:val="single" w:sz="4" w:space="0" w:color="auto"/>
              <w:bottom w:val="single" w:sz="4" w:space="0" w:color="auto"/>
              <w:right w:val="single" w:sz="4" w:space="0" w:color="auto"/>
            </w:tcBorders>
          </w:tcPr>
          <w:p w:rsidR="00CC4CA0" w:rsidRPr="00A77C2A" w:rsidRDefault="00CC4CA0" w:rsidP="003B7132">
            <w:pPr>
              <w:widowControl/>
              <w:spacing w:line="360" w:lineRule="atLeast"/>
              <w:jc w:val="center"/>
              <w:outlineLvl w:val="1"/>
              <w:rPr>
                <w:rFonts w:ascii="宋体" w:hAnsi="宋体"/>
                <w:sz w:val="24"/>
              </w:rPr>
            </w:pPr>
            <w:r w:rsidRPr="00A77C2A">
              <w:rPr>
                <w:rFonts w:ascii="宋体" w:hAnsi="宋体" w:hint="eastAsia"/>
                <w:sz w:val="24"/>
              </w:rPr>
              <w:t>所属行业</w:t>
            </w:r>
          </w:p>
        </w:tc>
        <w:tc>
          <w:tcPr>
            <w:tcW w:w="1953" w:type="dxa"/>
            <w:tcBorders>
              <w:top w:val="single" w:sz="4" w:space="0" w:color="auto"/>
              <w:left w:val="single" w:sz="4" w:space="0" w:color="auto"/>
              <w:bottom w:val="single" w:sz="4" w:space="0" w:color="auto"/>
              <w:right w:val="single" w:sz="4" w:space="0" w:color="auto"/>
            </w:tcBorders>
            <w:vAlign w:val="center"/>
          </w:tcPr>
          <w:p w:rsidR="00CC4CA0" w:rsidRPr="00A77C2A" w:rsidRDefault="00CC4CA0" w:rsidP="003B7132">
            <w:pPr>
              <w:widowControl/>
              <w:spacing w:line="360" w:lineRule="atLeast"/>
              <w:jc w:val="center"/>
              <w:outlineLvl w:val="1"/>
              <w:rPr>
                <w:rFonts w:ascii="宋体" w:hAnsi="宋体"/>
                <w:sz w:val="24"/>
              </w:rPr>
            </w:pPr>
            <w:r w:rsidRPr="00A77C2A">
              <w:rPr>
                <w:rFonts w:ascii="宋体" w:hAnsi="宋体" w:hint="eastAsia"/>
                <w:sz w:val="24"/>
              </w:rPr>
              <w:t>数量</w:t>
            </w:r>
          </w:p>
        </w:tc>
      </w:tr>
      <w:tr w:rsidR="00CC4CA0" w:rsidRPr="00A77C2A" w:rsidTr="003B7132">
        <w:trPr>
          <w:trHeight w:val="374"/>
        </w:trPr>
        <w:tc>
          <w:tcPr>
            <w:tcW w:w="808" w:type="dxa"/>
            <w:tcBorders>
              <w:top w:val="single" w:sz="4" w:space="0" w:color="auto"/>
              <w:left w:val="single" w:sz="4" w:space="0" w:color="auto"/>
              <w:bottom w:val="single" w:sz="4" w:space="0" w:color="auto"/>
              <w:right w:val="single" w:sz="4" w:space="0" w:color="auto"/>
            </w:tcBorders>
          </w:tcPr>
          <w:p w:rsidR="00CC4CA0" w:rsidRPr="00A77C2A" w:rsidRDefault="00CC4CA0" w:rsidP="003B7132">
            <w:pPr>
              <w:widowControl/>
              <w:spacing w:line="360" w:lineRule="atLeast"/>
              <w:jc w:val="center"/>
              <w:outlineLvl w:val="1"/>
              <w:rPr>
                <w:rFonts w:ascii="宋体" w:hAnsi="宋体"/>
                <w:sz w:val="24"/>
              </w:rPr>
            </w:pPr>
            <w:r w:rsidRPr="00A77C2A">
              <w:rPr>
                <w:rFonts w:ascii="宋体" w:hAnsi="宋体" w:hint="eastAsia"/>
                <w:sz w:val="24"/>
              </w:rPr>
              <w:t>1</w:t>
            </w:r>
          </w:p>
        </w:tc>
        <w:tc>
          <w:tcPr>
            <w:tcW w:w="1056" w:type="dxa"/>
            <w:tcBorders>
              <w:top w:val="single" w:sz="4" w:space="0" w:color="auto"/>
              <w:left w:val="single" w:sz="4" w:space="0" w:color="auto"/>
              <w:bottom w:val="single" w:sz="4" w:space="0" w:color="auto"/>
              <w:right w:val="single" w:sz="4" w:space="0" w:color="auto"/>
            </w:tcBorders>
          </w:tcPr>
          <w:p w:rsidR="00CC4CA0" w:rsidRPr="00A77C2A" w:rsidRDefault="00CC4CA0" w:rsidP="003B7132">
            <w:pPr>
              <w:widowControl/>
              <w:spacing w:line="360" w:lineRule="atLeast"/>
              <w:jc w:val="left"/>
              <w:outlineLvl w:val="1"/>
              <w:rPr>
                <w:rFonts w:ascii="宋体" w:hAnsi="宋体"/>
                <w:sz w:val="24"/>
              </w:rPr>
            </w:pPr>
            <w:r w:rsidRPr="00A77C2A">
              <w:rPr>
                <w:rFonts w:ascii="宋体" w:hAnsi="宋体" w:hint="eastAsia"/>
                <w:sz w:val="24"/>
              </w:rPr>
              <w:t>01</w:t>
            </w:r>
          </w:p>
        </w:tc>
        <w:tc>
          <w:tcPr>
            <w:tcW w:w="1086" w:type="dxa"/>
            <w:tcBorders>
              <w:top w:val="single" w:sz="4" w:space="0" w:color="auto"/>
              <w:left w:val="single" w:sz="4" w:space="0" w:color="auto"/>
              <w:bottom w:val="single" w:sz="4" w:space="0" w:color="auto"/>
              <w:right w:val="single" w:sz="4" w:space="0" w:color="auto"/>
            </w:tcBorders>
          </w:tcPr>
          <w:p w:rsidR="00CC4CA0" w:rsidRPr="00A77C2A" w:rsidRDefault="00CC4CA0" w:rsidP="003B7132">
            <w:pPr>
              <w:widowControl/>
              <w:spacing w:line="360" w:lineRule="atLeast"/>
              <w:jc w:val="left"/>
              <w:outlineLvl w:val="1"/>
              <w:rPr>
                <w:rFonts w:ascii="宋体" w:hAnsi="宋体"/>
                <w:sz w:val="24"/>
              </w:rPr>
            </w:pPr>
            <w:r w:rsidRPr="00A77C2A">
              <w:rPr>
                <w:rFonts w:ascii="宋体" w:hAnsi="宋体" w:hint="eastAsia"/>
                <w:sz w:val="24"/>
              </w:rPr>
              <w:t>01-01</w:t>
            </w:r>
          </w:p>
        </w:tc>
        <w:tc>
          <w:tcPr>
            <w:tcW w:w="1239" w:type="dxa"/>
            <w:tcBorders>
              <w:top w:val="single" w:sz="4" w:space="0" w:color="auto"/>
              <w:left w:val="single" w:sz="4" w:space="0" w:color="auto"/>
              <w:bottom w:val="single" w:sz="4" w:space="0" w:color="auto"/>
              <w:right w:val="single" w:sz="4" w:space="0" w:color="auto"/>
            </w:tcBorders>
          </w:tcPr>
          <w:p w:rsidR="00CC4CA0" w:rsidRPr="00A77C2A" w:rsidRDefault="00CC4CA0" w:rsidP="003B7132">
            <w:pPr>
              <w:widowControl/>
              <w:spacing w:line="360" w:lineRule="atLeast"/>
              <w:jc w:val="left"/>
              <w:outlineLvl w:val="1"/>
              <w:rPr>
                <w:rFonts w:ascii="宋体" w:hAnsi="宋体"/>
                <w:sz w:val="24"/>
              </w:rPr>
            </w:pPr>
            <w:r w:rsidRPr="00A77C2A">
              <w:rPr>
                <w:rFonts w:ascii="宋体" w:hAnsi="宋体" w:hint="eastAsia"/>
                <w:bCs/>
                <w:sz w:val="24"/>
              </w:rPr>
              <w:t>彭州市2022年固定源排污</w:t>
            </w:r>
            <w:r w:rsidRPr="00A77C2A">
              <w:rPr>
                <w:rFonts w:ascii="宋体" w:hAnsi="宋体" w:hint="eastAsia"/>
                <w:bCs/>
                <w:sz w:val="24"/>
              </w:rPr>
              <w:lastRenderedPageBreak/>
              <w:t>许可核查技术服务</w:t>
            </w:r>
          </w:p>
        </w:tc>
        <w:tc>
          <w:tcPr>
            <w:tcW w:w="1817" w:type="dxa"/>
            <w:tcBorders>
              <w:top w:val="single" w:sz="4" w:space="0" w:color="auto"/>
              <w:left w:val="single" w:sz="4" w:space="0" w:color="auto"/>
              <w:bottom w:val="single" w:sz="4" w:space="0" w:color="auto"/>
              <w:right w:val="single" w:sz="4" w:space="0" w:color="auto"/>
            </w:tcBorders>
          </w:tcPr>
          <w:p w:rsidR="00CC4CA0" w:rsidRPr="00A77C2A" w:rsidRDefault="00CC4CA0" w:rsidP="003B7132">
            <w:pPr>
              <w:widowControl/>
              <w:spacing w:line="360" w:lineRule="atLeast"/>
              <w:jc w:val="center"/>
              <w:outlineLvl w:val="1"/>
              <w:rPr>
                <w:rFonts w:ascii="宋体" w:hAnsi="宋体"/>
                <w:sz w:val="24"/>
              </w:rPr>
            </w:pPr>
            <w:r w:rsidRPr="00A77C2A">
              <w:rPr>
                <w:rFonts w:ascii="宋体" w:hAnsi="宋体" w:hint="eastAsia"/>
                <w:sz w:val="24"/>
              </w:rPr>
              <w:lastRenderedPageBreak/>
              <w:t>其他未列明行业</w:t>
            </w:r>
          </w:p>
        </w:tc>
        <w:tc>
          <w:tcPr>
            <w:tcW w:w="1953" w:type="dxa"/>
            <w:tcBorders>
              <w:top w:val="single" w:sz="4" w:space="0" w:color="auto"/>
              <w:left w:val="single" w:sz="4" w:space="0" w:color="auto"/>
              <w:bottom w:val="single" w:sz="4" w:space="0" w:color="auto"/>
              <w:right w:val="single" w:sz="4" w:space="0" w:color="auto"/>
            </w:tcBorders>
          </w:tcPr>
          <w:p w:rsidR="00CC4CA0" w:rsidRPr="00A77C2A" w:rsidRDefault="00CC4CA0" w:rsidP="003B7132">
            <w:pPr>
              <w:widowControl/>
              <w:spacing w:line="360" w:lineRule="atLeast"/>
              <w:jc w:val="center"/>
              <w:outlineLvl w:val="1"/>
              <w:rPr>
                <w:rFonts w:ascii="宋体" w:hAnsi="宋体"/>
                <w:sz w:val="24"/>
              </w:rPr>
            </w:pPr>
            <w:r w:rsidRPr="00A77C2A">
              <w:rPr>
                <w:rFonts w:ascii="宋体" w:hAnsi="宋体" w:hint="eastAsia"/>
                <w:sz w:val="24"/>
              </w:rPr>
              <w:t>拟采购1名服务供应商</w:t>
            </w:r>
          </w:p>
        </w:tc>
      </w:tr>
    </w:tbl>
    <w:p w:rsidR="00CC4CA0" w:rsidRPr="00A77C2A" w:rsidRDefault="00CC4CA0" w:rsidP="00CC4CA0">
      <w:pPr>
        <w:rPr>
          <w:rFonts w:ascii="宋体" w:hAnsi="宋体"/>
        </w:rPr>
      </w:pPr>
    </w:p>
    <w:p w:rsidR="00CC4CA0" w:rsidRPr="00A77C2A" w:rsidRDefault="00CC4CA0" w:rsidP="00CC4CA0">
      <w:pPr>
        <w:pStyle w:val="2"/>
        <w:spacing w:line="400" w:lineRule="exact"/>
        <w:ind w:firstLineChars="98" w:firstLine="236"/>
      </w:pPr>
      <w:r w:rsidRPr="00A77C2A">
        <w:rPr>
          <w:rFonts w:ascii="宋体" w:eastAsia="宋体" w:hAnsi="宋体" w:hint="eastAsia"/>
          <w:sz w:val="24"/>
          <w:szCs w:val="24"/>
        </w:rPr>
        <w:t>*三、商务要求</w:t>
      </w:r>
    </w:p>
    <w:p w:rsidR="00CC4CA0" w:rsidRPr="00A77C2A" w:rsidRDefault="00CC4CA0" w:rsidP="00CC4CA0">
      <w:pPr>
        <w:pStyle w:val="a4"/>
        <w:spacing w:line="400" w:lineRule="exact"/>
        <w:ind w:firstLine="480"/>
        <w:rPr>
          <w:rFonts w:ascii="宋体" w:hAnsi="宋体"/>
          <w:sz w:val="24"/>
        </w:rPr>
      </w:pPr>
      <w:r w:rsidRPr="00A77C2A">
        <w:rPr>
          <w:rFonts w:ascii="宋体" w:hAnsi="宋体" w:hint="eastAsia"/>
          <w:sz w:val="24"/>
        </w:rPr>
        <w:t>1、服务时间：2022年11月30日前完成所有工作内容。</w:t>
      </w:r>
    </w:p>
    <w:p w:rsidR="00CC4CA0" w:rsidRPr="00A77C2A" w:rsidRDefault="00CC4CA0" w:rsidP="00CC4CA0">
      <w:pPr>
        <w:pStyle w:val="a4"/>
        <w:spacing w:line="400" w:lineRule="exact"/>
        <w:ind w:firstLine="480"/>
        <w:rPr>
          <w:rFonts w:ascii="宋体" w:hAnsi="宋体"/>
          <w:sz w:val="24"/>
        </w:rPr>
      </w:pPr>
      <w:r w:rsidRPr="00A77C2A">
        <w:rPr>
          <w:rFonts w:ascii="宋体" w:hAnsi="宋体" w:hint="eastAsia"/>
          <w:sz w:val="24"/>
        </w:rPr>
        <w:t>2、服务地点：彭州市。</w:t>
      </w:r>
    </w:p>
    <w:p w:rsidR="00CC4CA0" w:rsidRPr="00A77C2A" w:rsidRDefault="00CC4CA0" w:rsidP="00CC4CA0">
      <w:pPr>
        <w:pStyle w:val="a4"/>
        <w:spacing w:line="400" w:lineRule="exact"/>
        <w:ind w:firstLine="480"/>
        <w:rPr>
          <w:rFonts w:ascii="宋体" w:hAnsi="宋体"/>
          <w:sz w:val="24"/>
        </w:rPr>
      </w:pPr>
      <w:r w:rsidRPr="00A77C2A">
        <w:rPr>
          <w:rFonts w:ascii="宋体" w:hAnsi="宋体" w:hint="eastAsia"/>
          <w:sz w:val="24"/>
        </w:rPr>
        <w:t>3、付款方式：合同签订后10个工作日内支付合同总额的40%；成交供应商提交企业核查表后10个工作日内支付合同总额的40%；成交供应商完成项目工作后10个工作日内支付合同总额的20%。</w:t>
      </w:r>
    </w:p>
    <w:p w:rsidR="00CC4CA0" w:rsidRPr="00A77C2A" w:rsidRDefault="00CC4CA0" w:rsidP="00CC4CA0">
      <w:pPr>
        <w:pStyle w:val="a4"/>
        <w:spacing w:line="400" w:lineRule="exact"/>
        <w:ind w:firstLine="480"/>
        <w:rPr>
          <w:rFonts w:ascii="宋体" w:hAnsi="宋体"/>
          <w:sz w:val="24"/>
        </w:rPr>
      </w:pPr>
      <w:r w:rsidRPr="00A77C2A">
        <w:rPr>
          <w:rFonts w:ascii="宋体" w:hAnsi="宋体" w:hint="eastAsia"/>
          <w:sz w:val="24"/>
        </w:rPr>
        <w:t>4、验收方式：采购人严格按照《财政部关于进一步加强政府采购需求和履约验收管理的指导意见》（财库〔2016〕205 号）规定进行验收。</w:t>
      </w:r>
    </w:p>
    <w:p w:rsidR="00CC4CA0" w:rsidRPr="00A77C2A" w:rsidRDefault="00CC4CA0" w:rsidP="00CC4CA0">
      <w:pPr>
        <w:pStyle w:val="a4"/>
        <w:spacing w:line="400" w:lineRule="exact"/>
        <w:ind w:firstLine="480"/>
        <w:rPr>
          <w:rFonts w:ascii="宋体" w:hAnsi="宋体"/>
          <w:sz w:val="24"/>
        </w:rPr>
      </w:pPr>
      <w:r w:rsidRPr="00A77C2A">
        <w:rPr>
          <w:rFonts w:ascii="宋体" w:hAnsi="宋体" w:hint="eastAsia"/>
          <w:sz w:val="24"/>
        </w:rPr>
        <w:t>5.成果要求：</w:t>
      </w:r>
    </w:p>
    <w:p w:rsidR="00CC4CA0" w:rsidRPr="00A77C2A" w:rsidRDefault="00CC4CA0" w:rsidP="00CC4CA0">
      <w:pPr>
        <w:pStyle w:val="a4"/>
        <w:spacing w:line="400" w:lineRule="exact"/>
        <w:ind w:firstLine="480"/>
        <w:rPr>
          <w:rFonts w:ascii="宋体" w:hAnsi="宋体"/>
          <w:sz w:val="24"/>
        </w:rPr>
      </w:pPr>
      <w:r w:rsidRPr="00A77C2A">
        <w:rPr>
          <w:rFonts w:ascii="宋体" w:hAnsi="宋体" w:hint="eastAsia"/>
          <w:sz w:val="24"/>
        </w:rPr>
        <w:t>（1）2022年4月30日前，组织开展不少于2场排污许可证规范管理培训，提交培训简报等培训工作总结报告；</w:t>
      </w:r>
    </w:p>
    <w:p w:rsidR="00CC4CA0" w:rsidRPr="00A77C2A" w:rsidRDefault="00CC4CA0" w:rsidP="00CC4CA0">
      <w:pPr>
        <w:pStyle w:val="a4"/>
        <w:spacing w:line="400" w:lineRule="exact"/>
        <w:ind w:firstLine="480"/>
        <w:rPr>
          <w:rFonts w:ascii="宋体" w:hAnsi="宋体"/>
          <w:sz w:val="24"/>
        </w:rPr>
      </w:pPr>
      <w:r w:rsidRPr="00A77C2A">
        <w:rPr>
          <w:rFonts w:ascii="宋体" w:hAnsi="宋体" w:hint="eastAsia"/>
          <w:sz w:val="24"/>
        </w:rPr>
        <w:t>（2）2022年7月31日前，对不少于100家排污许可登记单位开展现场核查，对</w:t>
      </w:r>
      <w:r w:rsidRPr="00A77C2A">
        <w:rPr>
          <w:rFonts w:ascii="宋体" w:hAnsi="宋体"/>
          <w:sz w:val="24"/>
        </w:rPr>
        <w:t>400</w:t>
      </w:r>
      <w:r w:rsidRPr="00A77C2A">
        <w:rPr>
          <w:rFonts w:ascii="宋体" w:hAnsi="宋体" w:hint="eastAsia"/>
          <w:sz w:val="24"/>
        </w:rPr>
        <w:t>家排污许可持证单位开展排污许可证核发质量核查和执行情况技术核查，提交现场核查记录表、问题台账。</w:t>
      </w:r>
    </w:p>
    <w:p w:rsidR="00CC4CA0" w:rsidRPr="00A77C2A" w:rsidRDefault="00CC4CA0" w:rsidP="00CC4CA0">
      <w:pPr>
        <w:pStyle w:val="a4"/>
        <w:spacing w:line="400" w:lineRule="exact"/>
        <w:ind w:firstLine="480"/>
      </w:pPr>
      <w:r w:rsidRPr="00A77C2A">
        <w:rPr>
          <w:rFonts w:ascii="宋体" w:hAnsi="宋体" w:hint="eastAsia"/>
          <w:sz w:val="24"/>
        </w:rPr>
        <w:t>（3）2022年9月30日前，帮扶被核查企业完成问题整改，提交整改记录表</w:t>
      </w:r>
      <w:r w:rsidRPr="00A77C2A">
        <w:rPr>
          <w:rFonts w:hint="eastAsia"/>
        </w:rPr>
        <w:t>。</w:t>
      </w:r>
    </w:p>
    <w:p w:rsidR="00CC4CA0" w:rsidRPr="00A77C2A" w:rsidRDefault="00CC4CA0" w:rsidP="00CC4CA0">
      <w:pPr>
        <w:pStyle w:val="a4"/>
        <w:spacing w:line="400" w:lineRule="exact"/>
        <w:ind w:firstLine="480"/>
      </w:pPr>
      <w:r w:rsidRPr="00A77C2A">
        <w:rPr>
          <w:rFonts w:ascii="宋体" w:hAnsi="宋体" w:hint="eastAsia"/>
          <w:sz w:val="24"/>
        </w:rPr>
        <w:t>（4）2022年11月30日前，提交最终成果报告《彭州市2022年固定污染源排污许可核查技术评估报告》。</w:t>
      </w:r>
    </w:p>
    <w:p w:rsidR="00CC4CA0" w:rsidRPr="00A77C2A" w:rsidRDefault="00CC4CA0" w:rsidP="00CC4CA0">
      <w:pPr>
        <w:pStyle w:val="2"/>
        <w:spacing w:line="400" w:lineRule="exact"/>
        <w:ind w:firstLineChars="98" w:firstLine="236"/>
        <w:rPr>
          <w:rFonts w:ascii="宋体" w:hAnsi="宋体"/>
          <w:sz w:val="24"/>
          <w:szCs w:val="24"/>
        </w:rPr>
      </w:pPr>
      <w:r w:rsidRPr="00A77C2A">
        <w:rPr>
          <w:rFonts w:ascii="宋体" w:eastAsia="宋体" w:hAnsi="宋体" w:hint="eastAsia"/>
          <w:sz w:val="24"/>
          <w:szCs w:val="24"/>
        </w:rPr>
        <w:t>四、服务内容与技术服务要求</w:t>
      </w:r>
    </w:p>
    <w:p w:rsidR="00CC4CA0" w:rsidRPr="00A77C2A" w:rsidRDefault="00CC4CA0" w:rsidP="00CC4CA0">
      <w:pPr>
        <w:pStyle w:val="a4"/>
        <w:spacing w:line="400" w:lineRule="exact"/>
        <w:ind w:firstLine="480"/>
        <w:rPr>
          <w:rFonts w:ascii="宋体" w:hAnsi="宋体"/>
          <w:sz w:val="24"/>
        </w:rPr>
      </w:pPr>
      <w:bookmarkStart w:id="1" w:name="bookmark81"/>
      <w:bookmarkStart w:id="2" w:name="bookmark56"/>
      <w:bookmarkStart w:id="3" w:name="bookmark40"/>
      <w:bookmarkStart w:id="4" w:name="bookmark79"/>
      <w:bookmarkStart w:id="5" w:name="bookmark68"/>
      <w:bookmarkStart w:id="6" w:name="bookmark75"/>
      <w:bookmarkStart w:id="7" w:name="bookmark76"/>
      <w:bookmarkStart w:id="8" w:name="bookmark44"/>
      <w:bookmarkStart w:id="9" w:name="bookmark82"/>
      <w:bookmarkStart w:id="10" w:name="bookmark58"/>
      <w:bookmarkStart w:id="11" w:name="bookmark39"/>
      <w:bookmarkStart w:id="12" w:name="bookmark74"/>
      <w:bookmarkStart w:id="13" w:name="bookmark42"/>
      <w:bookmarkStart w:id="14" w:name="bookmark38"/>
      <w:bookmarkStart w:id="15" w:name="bookmark84"/>
      <w:bookmarkStart w:id="16" w:name="bookmark50"/>
      <w:bookmarkStart w:id="17" w:name="bookmark66"/>
      <w:bookmarkStart w:id="18" w:name="bookmark45"/>
      <w:bookmarkStart w:id="19" w:name="bookmark63"/>
      <w:bookmarkStart w:id="20" w:name="bookmark67"/>
      <w:bookmarkStart w:id="21" w:name="bookmark72"/>
      <w:bookmarkStart w:id="22" w:name="bookmark80"/>
      <w:bookmarkStart w:id="23" w:name="bookmark121"/>
      <w:bookmarkStart w:id="24" w:name="bookmark83"/>
      <w:bookmarkStart w:id="25" w:name="bookmark73"/>
      <w:bookmarkStart w:id="26" w:name="bookmark57"/>
      <w:bookmarkStart w:id="27" w:name="bookmark120"/>
      <w:bookmarkStart w:id="28" w:name="bookmark31"/>
      <w:bookmarkStart w:id="29" w:name="bookmark34"/>
      <w:bookmarkStart w:id="30" w:name="bookmark46"/>
      <w:bookmarkStart w:id="31" w:name="bookmark41"/>
      <w:bookmarkStart w:id="32" w:name="bookmark29"/>
      <w:bookmarkStart w:id="33" w:name="bookmark119"/>
      <w:bookmarkStart w:id="34" w:name="bookmark115"/>
      <w:bookmarkStart w:id="35" w:name="bookmark47"/>
      <w:bookmarkStart w:id="36" w:name="bookmark112"/>
      <w:bookmarkStart w:id="37" w:name="bookmark101"/>
      <w:bookmarkStart w:id="38" w:name="bookmark27"/>
      <w:bookmarkStart w:id="39" w:name="bookmark78"/>
      <w:bookmarkStart w:id="40" w:name="bookmark65"/>
      <w:bookmarkStart w:id="41" w:name="bookmark70"/>
      <w:bookmarkStart w:id="42" w:name="bookmark69"/>
      <w:bookmarkStart w:id="43" w:name="bookmark60"/>
      <w:bookmarkStart w:id="44" w:name="bookmark71"/>
      <w:bookmarkStart w:id="45" w:name="bookmark37"/>
      <w:bookmarkStart w:id="46" w:name="bookmark36"/>
      <w:bookmarkStart w:id="47" w:name="bookmark124"/>
      <w:bookmarkStart w:id="48" w:name="bookmark86"/>
      <w:bookmarkStart w:id="49" w:name="_bookmark1"/>
      <w:bookmarkStart w:id="50" w:name="bookmark105"/>
      <w:bookmarkStart w:id="51" w:name="bookmark28"/>
      <w:bookmarkStart w:id="52" w:name="bookmark51"/>
      <w:bookmarkStart w:id="53" w:name="bookmark59"/>
      <w:bookmarkStart w:id="54" w:name="bookmark26"/>
      <w:bookmarkStart w:id="55" w:name="bookmark113"/>
      <w:bookmarkStart w:id="56" w:name="bookmark49"/>
      <w:bookmarkStart w:id="57" w:name="bookmark32"/>
      <w:bookmarkStart w:id="58" w:name="bookmark23"/>
      <w:bookmarkStart w:id="59" w:name="bookmark95"/>
      <w:bookmarkStart w:id="60" w:name="bookmark108"/>
      <w:bookmarkStart w:id="61" w:name="bookmark33"/>
      <w:bookmarkStart w:id="62" w:name="bookmark20"/>
      <w:bookmarkStart w:id="63" w:name="bookmark30"/>
      <w:bookmarkStart w:id="64" w:name="bookmark43"/>
      <w:bookmarkStart w:id="65" w:name="bookmark111"/>
      <w:bookmarkStart w:id="66" w:name="bookmark129"/>
      <w:bookmarkStart w:id="67" w:name="bookmark93"/>
      <w:bookmarkStart w:id="68" w:name="bookmark62"/>
      <w:bookmarkStart w:id="69" w:name="bookmark92"/>
      <w:bookmarkStart w:id="70" w:name="bookmark98"/>
      <w:bookmarkStart w:id="71" w:name="bookmark35"/>
      <w:bookmarkStart w:id="72" w:name="bookmark104"/>
      <w:bookmarkStart w:id="73" w:name="bookmark25"/>
      <w:bookmarkStart w:id="74" w:name="bookmark48"/>
      <w:bookmarkStart w:id="75" w:name="bookmark103"/>
      <w:bookmarkStart w:id="76" w:name="bookmark109"/>
      <w:bookmarkStart w:id="77" w:name="bookmark52"/>
      <w:bookmarkStart w:id="78" w:name="bookmark138"/>
      <w:bookmarkStart w:id="79" w:name="bookmark123"/>
      <w:bookmarkStart w:id="80" w:name="_bookmark4"/>
      <w:bookmarkStart w:id="81" w:name="bookmark136"/>
      <w:bookmarkStart w:id="82" w:name="_bookmark7"/>
      <w:bookmarkStart w:id="83" w:name="bookmark130"/>
      <w:bookmarkStart w:id="84" w:name="_bookmark6"/>
      <w:bookmarkStart w:id="85" w:name="bookmark126"/>
      <w:bookmarkStart w:id="86" w:name="bookmark133"/>
      <w:bookmarkStart w:id="87" w:name="bookmark137"/>
      <w:bookmarkStart w:id="88" w:name="_bookmark8"/>
      <w:bookmarkStart w:id="89" w:name="bookmark100"/>
      <w:bookmarkStart w:id="90" w:name="bookmark94"/>
      <w:bookmarkStart w:id="91" w:name="bookmark96"/>
      <w:bookmarkStart w:id="92" w:name="bookmark134"/>
      <w:bookmarkStart w:id="93" w:name="bookmark97"/>
      <w:bookmarkStart w:id="94" w:name="bookmark139"/>
      <w:bookmarkStart w:id="95" w:name="_bookmark5"/>
      <w:bookmarkStart w:id="96" w:name="bookmark127"/>
      <w:bookmarkStart w:id="97" w:name="bookmark102"/>
      <w:bookmarkStart w:id="98" w:name="bookmark85"/>
      <w:bookmarkStart w:id="99" w:name="bookmark140"/>
      <w:bookmarkStart w:id="100" w:name="bookmark135"/>
      <w:bookmarkStart w:id="101" w:name="bookmark110"/>
      <w:bookmarkStart w:id="102" w:name="_bookmark10"/>
      <w:bookmarkStart w:id="103" w:name="bookmark131"/>
      <w:bookmarkStart w:id="104" w:name="bookmark114"/>
      <w:bookmarkStart w:id="105" w:name="bookmark125"/>
      <w:bookmarkStart w:id="106" w:name="_bookmark9"/>
      <w:bookmarkStart w:id="107" w:name="bookmark132"/>
      <w:bookmarkStart w:id="108" w:name="bookmark117"/>
      <w:bookmarkStart w:id="109" w:name="bookmark90"/>
      <w:bookmarkStart w:id="110" w:name="bookmark118"/>
      <w:bookmarkStart w:id="111" w:name="bookmark12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A77C2A">
        <w:rPr>
          <w:rFonts w:ascii="宋体" w:hAnsi="宋体" w:hint="eastAsia"/>
          <w:sz w:val="24"/>
        </w:rPr>
        <w:t>根据《固定污染源排污许可分类管理名录（2019年版）》《排污许可管理条</w:t>
      </w:r>
      <w:r w:rsidRPr="00A77C2A">
        <w:rPr>
          <w:rFonts w:ascii="宋体" w:hAnsi="宋体" w:hint="eastAsia"/>
          <w:sz w:val="24"/>
        </w:rPr>
        <w:lastRenderedPageBreak/>
        <w:t>例》（中华人民共和国国务院令 第736号）》、《环评与排污许可监管行动计划（2021-2023年）》等文件要求，开展彭州市2022年固定污染源排污许可核查工作：</w:t>
      </w:r>
    </w:p>
    <w:p w:rsidR="00CC4CA0" w:rsidRPr="00A77C2A" w:rsidRDefault="00CC4CA0" w:rsidP="00CC4CA0">
      <w:pPr>
        <w:pStyle w:val="a4"/>
        <w:spacing w:line="400" w:lineRule="exact"/>
        <w:ind w:firstLine="480"/>
        <w:rPr>
          <w:rFonts w:ascii="宋体" w:hAnsi="宋体"/>
          <w:sz w:val="24"/>
        </w:rPr>
      </w:pPr>
      <w:r w:rsidRPr="00A77C2A">
        <w:rPr>
          <w:rFonts w:ascii="宋体" w:hAnsi="宋体" w:hint="eastAsia"/>
          <w:sz w:val="24"/>
        </w:rPr>
        <w:t>1、对不少于100家排污许可登记单位开展现场核查，现场核查内容包括管理级别是否正确、固定污染源排污登记表的真实性、完整性等，并帮扶所涉企业完成整改。</w:t>
      </w:r>
    </w:p>
    <w:p w:rsidR="00CC4CA0" w:rsidRPr="00A77C2A" w:rsidRDefault="00CC4CA0" w:rsidP="00CC4CA0">
      <w:pPr>
        <w:pStyle w:val="a4"/>
        <w:spacing w:line="400" w:lineRule="exact"/>
        <w:ind w:firstLine="480"/>
        <w:rPr>
          <w:rFonts w:ascii="宋体" w:hAnsi="宋体"/>
          <w:sz w:val="24"/>
        </w:rPr>
      </w:pPr>
      <w:r w:rsidRPr="00A77C2A">
        <w:rPr>
          <w:rFonts w:ascii="宋体" w:hAnsi="宋体" w:hint="eastAsia"/>
          <w:sz w:val="24"/>
        </w:rPr>
        <w:t>2、对400家排污许可持证单位开展排污许可证核发质量核查（主要针对许可证副本的真实性、完整性）和执行情况技术核查（执行报告填报情况、台账记录情况、自行监测等情况），并帮扶所涉企业完成整改。</w:t>
      </w:r>
    </w:p>
    <w:p w:rsidR="00CC4CA0" w:rsidRPr="00A77C2A" w:rsidRDefault="00CC4CA0" w:rsidP="00CC4CA0">
      <w:pPr>
        <w:pStyle w:val="a4"/>
        <w:spacing w:line="400" w:lineRule="exact"/>
        <w:ind w:firstLine="480"/>
        <w:rPr>
          <w:rFonts w:ascii="宋体" w:hAnsi="宋体"/>
          <w:sz w:val="24"/>
        </w:rPr>
      </w:pPr>
      <w:r w:rsidRPr="00A77C2A">
        <w:rPr>
          <w:rFonts w:ascii="宋体" w:hAnsi="宋体" w:hint="eastAsia"/>
          <w:sz w:val="24"/>
        </w:rPr>
        <w:t>3、中标方负责组织开展不少于两次，面向排污许可登记单位、排污许可持证单位、相关部门管理人员等的排污许可证规范管理培训，包括负责准备培训各项事宜：培训场地、培训资料、培训专家等。</w:t>
      </w:r>
    </w:p>
    <w:p w:rsidR="00CC4CA0" w:rsidRPr="00A77C2A" w:rsidRDefault="00CC4CA0" w:rsidP="00CC4CA0">
      <w:pPr>
        <w:pStyle w:val="a4"/>
        <w:spacing w:line="400" w:lineRule="exact"/>
        <w:ind w:firstLine="480"/>
        <w:rPr>
          <w:rFonts w:ascii="宋体" w:hAnsi="宋体"/>
          <w:sz w:val="24"/>
        </w:rPr>
      </w:pPr>
      <w:r w:rsidRPr="00A77C2A">
        <w:rPr>
          <w:rFonts w:ascii="宋体" w:hAnsi="宋体" w:hint="eastAsia"/>
          <w:sz w:val="24"/>
        </w:rPr>
        <w:t>★ 4、人员要求：针对本项目配备5人的专业团队，团队成员需是环境类专业技术人员【需提供人员名单、学位证（毕业证）或可以体现相关专业（环境类）的职称证复印件】。</w:t>
      </w:r>
    </w:p>
    <w:p w:rsidR="00CC4CA0" w:rsidRPr="00A77C2A" w:rsidRDefault="00CC4CA0" w:rsidP="00CC4CA0">
      <w:pPr>
        <w:pStyle w:val="a4"/>
        <w:spacing w:line="400" w:lineRule="exact"/>
        <w:ind w:firstLine="480"/>
        <w:rPr>
          <w:rFonts w:ascii="宋体" w:hAnsi="宋体"/>
          <w:sz w:val="24"/>
        </w:rPr>
      </w:pPr>
      <w:r w:rsidRPr="00A77C2A">
        <w:rPr>
          <w:rFonts w:ascii="宋体" w:hAnsi="宋体" w:hint="eastAsia"/>
          <w:sz w:val="24"/>
        </w:rPr>
        <w:t>★5、专家组：配备不少于2名环境类的高级职称专家成员进行技术指导。（提供专家名单及可以体现相关专业（环境类）的证明材料）</w:t>
      </w:r>
    </w:p>
    <w:bookmarkEnd w:id="0"/>
    <w:p w:rsidR="00CC4CA0" w:rsidRPr="00A77C2A" w:rsidRDefault="00CC4CA0" w:rsidP="00CC4CA0">
      <w:pPr>
        <w:pStyle w:val="a6"/>
        <w:numPr>
          <w:ilvl w:val="255"/>
          <w:numId w:val="0"/>
        </w:numPr>
        <w:jc w:val="both"/>
        <w:outlineLvl w:val="9"/>
        <w:rPr>
          <w:rFonts w:ascii="宋体" w:hAnsi="宋体"/>
          <w:b w:val="0"/>
          <w:bCs w:val="0"/>
          <w:sz w:val="24"/>
          <w:szCs w:val="24"/>
        </w:rPr>
      </w:pPr>
    </w:p>
    <w:p w:rsidR="00AA6448" w:rsidRDefault="00CC4CA0" w:rsidP="00CC4CA0">
      <w:r w:rsidRPr="00A77C2A">
        <w:rPr>
          <w:rFonts w:ascii="宋体" w:hAnsi="宋体"/>
          <w:b/>
          <w:bCs/>
          <w:sz w:val="24"/>
        </w:rPr>
        <w:br w:type="page"/>
      </w:r>
      <w:bookmarkStart w:id="112" w:name="_GoBack"/>
      <w:bookmarkEnd w:id="112"/>
    </w:p>
    <w:sectPr w:rsidR="00AA6448" w:rsidSect="002B7EBB">
      <w:pgSz w:w="11906" w:h="16838"/>
      <w:pgMar w:top="3232" w:right="1797" w:bottom="3232"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11"/>
    <w:rsid w:val="002B7EBB"/>
    <w:rsid w:val="00350A04"/>
    <w:rsid w:val="00645111"/>
    <w:rsid w:val="00A71D91"/>
    <w:rsid w:val="00CC4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BB083-F763-4596-B949-8543FD8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CC4CA0"/>
    <w:pPr>
      <w:widowControl w:val="0"/>
      <w:jc w:val="both"/>
    </w:pPr>
    <w:rPr>
      <w:rFonts w:ascii="Times New Roman" w:eastAsia="宋体" w:hAnsi="Times New Roman" w:cs="Times New Roman"/>
      <w:szCs w:val="24"/>
    </w:rPr>
  </w:style>
  <w:style w:type="paragraph" w:styleId="2">
    <w:name w:val="heading 2"/>
    <w:basedOn w:val="a"/>
    <w:next w:val="a"/>
    <w:link w:val="20"/>
    <w:unhideWhenUsed/>
    <w:qFormat/>
    <w:rsid w:val="00CC4CA0"/>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uiPriority w:val="9"/>
    <w:semiHidden/>
    <w:rsid w:val="00CC4CA0"/>
    <w:rPr>
      <w:rFonts w:asciiTheme="majorHAnsi" w:eastAsiaTheme="majorEastAsia" w:hAnsiTheme="majorHAnsi" w:cstheme="majorBidi"/>
      <w:b/>
      <w:bCs/>
      <w:sz w:val="32"/>
      <w:szCs w:val="32"/>
    </w:rPr>
  </w:style>
  <w:style w:type="paragraph" w:styleId="a4">
    <w:name w:val="Normal Indent"/>
    <w:basedOn w:val="a"/>
    <w:link w:val="a5"/>
    <w:unhideWhenUsed/>
    <w:qFormat/>
    <w:rsid w:val="00CC4CA0"/>
    <w:pPr>
      <w:ind w:firstLineChars="200" w:firstLine="420"/>
    </w:pPr>
  </w:style>
  <w:style w:type="paragraph" w:styleId="a6">
    <w:name w:val="Title"/>
    <w:basedOn w:val="a"/>
    <w:next w:val="a"/>
    <w:link w:val="a7"/>
    <w:uiPriority w:val="10"/>
    <w:qFormat/>
    <w:rsid w:val="00CC4CA0"/>
    <w:pPr>
      <w:spacing w:before="240" w:after="60"/>
      <w:jc w:val="center"/>
      <w:outlineLvl w:val="0"/>
    </w:pPr>
    <w:rPr>
      <w:rFonts w:ascii="Calibri Light" w:hAnsi="Calibri Light"/>
      <w:b/>
      <w:bCs/>
      <w:sz w:val="32"/>
      <w:szCs w:val="32"/>
    </w:rPr>
  </w:style>
  <w:style w:type="character" w:customStyle="1" w:styleId="Char">
    <w:name w:val="标题 Char"/>
    <w:basedOn w:val="a1"/>
    <w:uiPriority w:val="10"/>
    <w:rsid w:val="00CC4CA0"/>
    <w:rPr>
      <w:rFonts w:asciiTheme="majorHAnsi" w:eastAsia="宋体" w:hAnsiTheme="majorHAnsi" w:cstheme="majorBidi"/>
      <w:b/>
      <w:bCs/>
      <w:sz w:val="32"/>
      <w:szCs w:val="32"/>
    </w:rPr>
  </w:style>
  <w:style w:type="character" w:customStyle="1" w:styleId="20">
    <w:name w:val="标题 2 字符"/>
    <w:link w:val="2"/>
    <w:qFormat/>
    <w:rsid w:val="00CC4CA0"/>
    <w:rPr>
      <w:rFonts w:ascii="Arial" w:eastAsia="黑体" w:hAnsi="Arial" w:cs="Times New Roman"/>
      <w:b/>
      <w:bCs/>
      <w:sz w:val="32"/>
      <w:szCs w:val="32"/>
    </w:rPr>
  </w:style>
  <w:style w:type="character" w:customStyle="1" w:styleId="a5">
    <w:name w:val="正文缩进 字符"/>
    <w:link w:val="a4"/>
    <w:qFormat/>
    <w:locked/>
    <w:rsid w:val="00CC4CA0"/>
    <w:rPr>
      <w:rFonts w:ascii="Times New Roman" w:eastAsia="宋体" w:hAnsi="Times New Roman" w:cs="Times New Roman"/>
      <w:szCs w:val="24"/>
    </w:rPr>
  </w:style>
  <w:style w:type="character" w:customStyle="1" w:styleId="a7">
    <w:name w:val="标题 字符"/>
    <w:link w:val="a6"/>
    <w:uiPriority w:val="10"/>
    <w:qFormat/>
    <w:rsid w:val="00CC4CA0"/>
    <w:rPr>
      <w:rFonts w:ascii="Calibri Light" w:eastAsia="宋体" w:hAnsi="Calibri Light" w:cs="Times New Roman"/>
      <w:b/>
      <w:bCs/>
      <w:sz w:val="32"/>
      <w:szCs w:val="32"/>
    </w:rPr>
  </w:style>
  <w:style w:type="paragraph" w:styleId="a0">
    <w:name w:val="Plain Text"/>
    <w:basedOn w:val="a"/>
    <w:link w:val="Char0"/>
    <w:uiPriority w:val="99"/>
    <w:semiHidden/>
    <w:unhideWhenUsed/>
    <w:rsid w:val="00CC4CA0"/>
    <w:rPr>
      <w:rFonts w:ascii="宋体" w:hAnsi="Courier New" w:cs="Courier New"/>
      <w:szCs w:val="21"/>
    </w:rPr>
  </w:style>
  <w:style w:type="character" w:customStyle="1" w:styleId="Char0">
    <w:name w:val="纯文本 Char"/>
    <w:basedOn w:val="a1"/>
    <w:link w:val="a0"/>
    <w:uiPriority w:val="99"/>
    <w:semiHidden/>
    <w:rsid w:val="00CC4CA0"/>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219</Words>
  <Characters>1251</Characters>
  <Application>Microsoft Office Word</Application>
  <DocSecurity>0</DocSecurity>
  <Lines>10</Lines>
  <Paragraphs>2</Paragraphs>
  <ScaleCrop>false</ScaleCrop>
  <Company>微软中国</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2022-03-01T01:52:00Z</dcterms:created>
  <dcterms:modified xsi:type="dcterms:W3CDTF">2022-03-01T01:53:00Z</dcterms:modified>
</cp:coreProperties>
</file>