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39" w:rsidRPr="0069723C" w:rsidRDefault="001C2C39" w:rsidP="001C2C39">
      <w:pPr>
        <w:pStyle w:val="a5"/>
        <w:rPr>
          <w:rFonts w:asciiTheme="minorEastAsia" w:eastAsiaTheme="minorEastAsia" w:hAnsiTheme="minorEastAsia"/>
        </w:rPr>
      </w:pPr>
      <w:r w:rsidRPr="0069723C">
        <w:rPr>
          <w:rFonts w:asciiTheme="minorEastAsia" w:eastAsiaTheme="minorEastAsia" w:hAnsiTheme="minorEastAsia" w:hint="eastAsia"/>
        </w:rPr>
        <w:t>采购项目技术、服务、政府采购合同内容条款及其他商务要求</w:t>
      </w:r>
    </w:p>
    <w:p w:rsidR="001C2C39" w:rsidRPr="0069723C" w:rsidRDefault="001C2C39" w:rsidP="001C2C39">
      <w:pPr>
        <w:spacing w:line="400" w:lineRule="exact"/>
        <w:ind w:firstLineChars="49" w:firstLine="118"/>
        <w:jc w:val="left"/>
        <w:rPr>
          <w:rFonts w:asciiTheme="minorEastAsia" w:eastAsiaTheme="minorEastAsia" w:hAnsiTheme="minorEastAsia"/>
          <w:sz w:val="24"/>
        </w:rPr>
      </w:pPr>
    </w:p>
    <w:p w:rsidR="001C2C39" w:rsidRPr="0069723C" w:rsidRDefault="001C2C39" w:rsidP="001C2C39">
      <w:pPr>
        <w:spacing w:line="400" w:lineRule="exact"/>
        <w:ind w:firstLineChars="49" w:firstLine="118"/>
        <w:jc w:val="left"/>
        <w:rPr>
          <w:rFonts w:asciiTheme="minorEastAsia" w:eastAsiaTheme="minorEastAsia" w:hAnsiTheme="minorEastAsia"/>
          <w:sz w:val="24"/>
        </w:rPr>
      </w:pPr>
      <w:bookmarkStart w:id="0" w:name="PO_默认文件内容_27"/>
      <w:r w:rsidRPr="0069723C">
        <w:rPr>
          <w:rFonts w:asciiTheme="minorEastAsia" w:eastAsiaTheme="minorEastAsia" w:hAnsiTheme="minorEastAsia" w:hint="eastAsia"/>
          <w:sz w:val="24"/>
        </w:rPr>
        <w:t>前提：本章采购需求中标注“*”号的条款为本次磋商采购项目的实质性要求，供应商应全部满足。</w:t>
      </w:r>
    </w:p>
    <w:p w:rsidR="001C2C39" w:rsidRPr="0069723C" w:rsidRDefault="001C2C39" w:rsidP="001C2C39">
      <w:pPr>
        <w:pStyle w:val="2"/>
        <w:spacing w:line="400" w:lineRule="exact"/>
        <w:ind w:firstLineChars="98" w:firstLine="236"/>
        <w:rPr>
          <w:rFonts w:asciiTheme="minorEastAsia" w:eastAsiaTheme="minorEastAsia" w:hAnsiTheme="minorEastAsia"/>
          <w:sz w:val="24"/>
          <w:szCs w:val="24"/>
        </w:rPr>
      </w:pPr>
      <w:r w:rsidRPr="0069723C">
        <w:rPr>
          <w:rFonts w:asciiTheme="minorEastAsia" w:eastAsiaTheme="minorEastAsia" w:hAnsiTheme="minorEastAsia" w:hint="eastAsia"/>
          <w:sz w:val="24"/>
          <w:szCs w:val="24"/>
        </w:rPr>
        <w:t>一、项目概述</w:t>
      </w:r>
    </w:p>
    <w:p w:rsidR="001C2C39" w:rsidRPr="0069723C" w:rsidRDefault="001C2C39" w:rsidP="001C2C39">
      <w:pPr>
        <w:pStyle w:val="a4"/>
        <w:spacing w:line="400" w:lineRule="exact"/>
        <w:ind w:firstLine="480"/>
        <w:rPr>
          <w:rFonts w:asciiTheme="minorEastAsia" w:eastAsiaTheme="minorEastAsia" w:hAnsiTheme="minorEastAsia"/>
          <w:bCs/>
          <w:sz w:val="24"/>
        </w:rPr>
      </w:pPr>
      <w:r w:rsidRPr="0069723C">
        <w:rPr>
          <w:rFonts w:asciiTheme="minorEastAsia" w:eastAsiaTheme="minorEastAsia" w:hAnsiTheme="minorEastAsia" w:hint="eastAsia"/>
          <w:bCs/>
          <w:sz w:val="24"/>
        </w:rPr>
        <w:t>本项目共1个包，采购彭州市2022年危险废物规范化评估技术服务供应商1名。</w:t>
      </w:r>
    </w:p>
    <w:p w:rsidR="001C2C39" w:rsidRPr="0069723C" w:rsidRDefault="001C2C39" w:rsidP="001C2C39">
      <w:pPr>
        <w:pStyle w:val="a4"/>
        <w:spacing w:line="400" w:lineRule="exact"/>
        <w:ind w:firstLine="480"/>
        <w:rPr>
          <w:rFonts w:asciiTheme="minorEastAsia" w:eastAsiaTheme="minorEastAsia" w:hAnsiTheme="minorEastAsia"/>
          <w:bCs/>
          <w:sz w:val="24"/>
        </w:rPr>
      </w:pPr>
      <w:r w:rsidRPr="0069723C">
        <w:rPr>
          <w:rFonts w:asciiTheme="minorEastAsia" w:eastAsiaTheme="minorEastAsia" w:hAnsiTheme="minorEastAsia" w:hint="eastAsia"/>
          <w:bCs/>
          <w:sz w:val="24"/>
        </w:rPr>
        <w:t>采购内容：聘请第三</w:t>
      </w:r>
      <w:proofErr w:type="gramStart"/>
      <w:r w:rsidRPr="0069723C">
        <w:rPr>
          <w:rFonts w:asciiTheme="minorEastAsia" w:eastAsiaTheme="minorEastAsia" w:hAnsiTheme="minorEastAsia" w:hint="eastAsia"/>
          <w:bCs/>
          <w:sz w:val="24"/>
        </w:rPr>
        <w:t>方服务</w:t>
      </w:r>
      <w:proofErr w:type="gramEnd"/>
      <w:r w:rsidRPr="0069723C">
        <w:rPr>
          <w:rFonts w:asciiTheme="minorEastAsia" w:eastAsiaTheme="minorEastAsia" w:hAnsiTheme="minorEastAsia" w:hint="eastAsia"/>
          <w:bCs/>
          <w:sz w:val="24"/>
        </w:rPr>
        <w:t>机构对相关管理部门和危险废物产生单位及经营单位开展不少于2次的危险废物规范化管理培训，对全市不少于600家涉及危险废物产生和经营单位开展危险废物规范化环境管理和环境风险隐患技术评估，提出环境风险点和整改要求，并帮扶所涉及企业完成整改。</w:t>
      </w:r>
    </w:p>
    <w:p w:rsidR="001C2C39" w:rsidRPr="0069723C" w:rsidRDefault="001C2C39" w:rsidP="001C2C39">
      <w:pPr>
        <w:pStyle w:val="2"/>
        <w:spacing w:line="400" w:lineRule="exact"/>
        <w:ind w:firstLineChars="98" w:firstLine="236"/>
        <w:rPr>
          <w:rFonts w:asciiTheme="minorEastAsia" w:eastAsiaTheme="minorEastAsia" w:hAnsiTheme="minorEastAsia"/>
          <w:sz w:val="24"/>
          <w:szCs w:val="24"/>
        </w:rPr>
      </w:pPr>
      <w:r w:rsidRPr="0069723C">
        <w:rPr>
          <w:rFonts w:asciiTheme="minorEastAsia" w:eastAsiaTheme="minorEastAsia" w:hAnsiTheme="minorEastAsia" w:hint="eastAsia"/>
          <w:sz w:val="24"/>
          <w:szCs w:val="24"/>
        </w:rPr>
        <w:t>二、项目清单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1239"/>
        <w:gridCol w:w="1817"/>
        <w:gridCol w:w="1953"/>
      </w:tblGrid>
      <w:tr w:rsidR="001C2C39" w:rsidRPr="0069723C" w:rsidTr="00AA2B4F">
        <w:trPr>
          <w:trHeight w:val="390"/>
        </w:trPr>
        <w:tc>
          <w:tcPr>
            <w:tcW w:w="808" w:type="dxa"/>
            <w:tcBorders>
              <w:top w:val="single" w:sz="4" w:space="0" w:color="auto"/>
              <w:left w:val="single" w:sz="4" w:space="0" w:color="auto"/>
              <w:bottom w:val="single" w:sz="4" w:space="0" w:color="auto"/>
              <w:right w:val="single" w:sz="4" w:space="0" w:color="auto"/>
            </w:tcBorders>
            <w:vAlign w:val="center"/>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序号</w:t>
            </w:r>
          </w:p>
        </w:tc>
        <w:tc>
          <w:tcPr>
            <w:tcW w:w="1056" w:type="dxa"/>
            <w:tcBorders>
              <w:top w:val="single" w:sz="4" w:space="0" w:color="auto"/>
              <w:left w:val="single" w:sz="4" w:space="0" w:color="auto"/>
              <w:bottom w:val="single" w:sz="4" w:space="0" w:color="auto"/>
              <w:right w:val="single" w:sz="4" w:space="0" w:color="auto"/>
            </w:tcBorders>
            <w:vAlign w:val="center"/>
          </w:tcPr>
          <w:p w:rsidR="001C2C39" w:rsidRPr="0069723C" w:rsidRDefault="001C2C39" w:rsidP="00AA2B4F">
            <w:pPr>
              <w:widowControl/>
              <w:spacing w:line="360" w:lineRule="atLeast"/>
              <w:jc w:val="center"/>
              <w:outlineLvl w:val="1"/>
              <w:rPr>
                <w:rFonts w:asciiTheme="minorEastAsia" w:eastAsiaTheme="minorEastAsia" w:hAnsiTheme="minorEastAsia"/>
                <w:sz w:val="24"/>
              </w:rPr>
            </w:pPr>
            <w:proofErr w:type="gramStart"/>
            <w:r w:rsidRPr="0069723C">
              <w:rPr>
                <w:rFonts w:asciiTheme="minorEastAsia" w:eastAsiaTheme="minorEastAsia" w:hAnsiTheme="minorEastAsia" w:hint="eastAsia"/>
                <w:sz w:val="24"/>
              </w:rPr>
              <w:t>包号</w:t>
            </w:r>
            <w:proofErr w:type="gramEnd"/>
          </w:p>
        </w:tc>
        <w:tc>
          <w:tcPr>
            <w:tcW w:w="1086"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品目号</w:t>
            </w:r>
          </w:p>
        </w:tc>
        <w:tc>
          <w:tcPr>
            <w:tcW w:w="1239" w:type="dxa"/>
            <w:tcBorders>
              <w:top w:val="single" w:sz="4" w:space="0" w:color="auto"/>
              <w:left w:val="single" w:sz="4" w:space="0" w:color="auto"/>
              <w:bottom w:val="single" w:sz="4" w:space="0" w:color="auto"/>
              <w:right w:val="single" w:sz="4" w:space="0" w:color="auto"/>
            </w:tcBorders>
            <w:vAlign w:val="center"/>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标的名称</w:t>
            </w:r>
          </w:p>
        </w:tc>
        <w:tc>
          <w:tcPr>
            <w:tcW w:w="1817"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所属行业</w:t>
            </w:r>
          </w:p>
        </w:tc>
        <w:tc>
          <w:tcPr>
            <w:tcW w:w="1953" w:type="dxa"/>
            <w:tcBorders>
              <w:top w:val="single" w:sz="4" w:space="0" w:color="auto"/>
              <w:left w:val="single" w:sz="4" w:space="0" w:color="auto"/>
              <w:bottom w:val="single" w:sz="4" w:space="0" w:color="auto"/>
              <w:right w:val="single" w:sz="4" w:space="0" w:color="auto"/>
            </w:tcBorders>
            <w:vAlign w:val="center"/>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数量</w:t>
            </w:r>
          </w:p>
        </w:tc>
      </w:tr>
      <w:tr w:rsidR="001C2C39" w:rsidRPr="0069723C" w:rsidTr="00AA2B4F">
        <w:trPr>
          <w:trHeight w:val="374"/>
        </w:trPr>
        <w:tc>
          <w:tcPr>
            <w:tcW w:w="808"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1</w:t>
            </w:r>
          </w:p>
        </w:tc>
        <w:tc>
          <w:tcPr>
            <w:tcW w:w="1056"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left"/>
              <w:outlineLvl w:val="1"/>
              <w:rPr>
                <w:rFonts w:asciiTheme="minorEastAsia" w:eastAsiaTheme="minorEastAsia" w:hAnsiTheme="minorEastAsia"/>
                <w:sz w:val="24"/>
              </w:rPr>
            </w:pPr>
            <w:r w:rsidRPr="0069723C">
              <w:rPr>
                <w:rFonts w:asciiTheme="minorEastAsia" w:eastAsiaTheme="minorEastAsia" w:hAnsiTheme="minorEastAsia" w:hint="eastAsia"/>
                <w:sz w:val="24"/>
              </w:rPr>
              <w:t>01</w:t>
            </w:r>
          </w:p>
        </w:tc>
        <w:tc>
          <w:tcPr>
            <w:tcW w:w="1086"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left"/>
              <w:outlineLvl w:val="1"/>
              <w:rPr>
                <w:rFonts w:asciiTheme="minorEastAsia" w:eastAsiaTheme="minorEastAsia" w:hAnsiTheme="minorEastAsia"/>
                <w:sz w:val="24"/>
              </w:rPr>
            </w:pPr>
            <w:r w:rsidRPr="0069723C">
              <w:rPr>
                <w:rFonts w:asciiTheme="minorEastAsia" w:eastAsiaTheme="minorEastAsia" w:hAnsiTheme="minorEastAsia" w:hint="eastAsia"/>
                <w:sz w:val="24"/>
              </w:rPr>
              <w:t>01-01</w:t>
            </w:r>
          </w:p>
        </w:tc>
        <w:tc>
          <w:tcPr>
            <w:tcW w:w="1239"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left"/>
              <w:outlineLvl w:val="1"/>
              <w:rPr>
                <w:rFonts w:asciiTheme="minorEastAsia" w:eastAsiaTheme="minorEastAsia" w:hAnsiTheme="minorEastAsia"/>
                <w:sz w:val="24"/>
              </w:rPr>
            </w:pPr>
            <w:r w:rsidRPr="0069723C">
              <w:rPr>
                <w:rFonts w:asciiTheme="minorEastAsia" w:eastAsiaTheme="minorEastAsia" w:hAnsiTheme="minorEastAsia" w:hint="eastAsia"/>
                <w:bCs/>
                <w:sz w:val="24"/>
              </w:rPr>
              <w:t>彭州市2022年危险废物规范化评估技术服务</w:t>
            </w:r>
          </w:p>
        </w:tc>
        <w:tc>
          <w:tcPr>
            <w:tcW w:w="1817"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其他未列明行业</w:t>
            </w:r>
          </w:p>
        </w:tc>
        <w:tc>
          <w:tcPr>
            <w:tcW w:w="1953" w:type="dxa"/>
            <w:tcBorders>
              <w:top w:val="single" w:sz="4" w:space="0" w:color="auto"/>
              <w:left w:val="single" w:sz="4" w:space="0" w:color="auto"/>
              <w:bottom w:val="single" w:sz="4" w:space="0" w:color="auto"/>
              <w:right w:val="single" w:sz="4" w:space="0" w:color="auto"/>
            </w:tcBorders>
          </w:tcPr>
          <w:p w:rsidR="001C2C39" w:rsidRPr="0069723C" w:rsidRDefault="001C2C39" w:rsidP="00AA2B4F">
            <w:pPr>
              <w:widowControl/>
              <w:spacing w:line="360" w:lineRule="atLeast"/>
              <w:jc w:val="center"/>
              <w:outlineLvl w:val="1"/>
              <w:rPr>
                <w:rFonts w:asciiTheme="minorEastAsia" w:eastAsiaTheme="minorEastAsia" w:hAnsiTheme="minorEastAsia"/>
                <w:sz w:val="24"/>
              </w:rPr>
            </w:pPr>
            <w:r w:rsidRPr="0069723C">
              <w:rPr>
                <w:rFonts w:asciiTheme="minorEastAsia" w:eastAsiaTheme="minorEastAsia" w:hAnsiTheme="minorEastAsia" w:hint="eastAsia"/>
                <w:sz w:val="24"/>
              </w:rPr>
              <w:t>拟采购1名服务供应商</w:t>
            </w:r>
          </w:p>
        </w:tc>
      </w:tr>
    </w:tbl>
    <w:p w:rsidR="001C2C39" w:rsidRPr="0069723C" w:rsidRDefault="001C2C39" w:rsidP="001C2C39">
      <w:pPr>
        <w:rPr>
          <w:rFonts w:asciiTheme="minorEastAsia" w:eastAsiaTheme="minorEastAsia" w:hAnsiTheme="minorEastAsia"/>
        </w:rPr>
      </w:pPr>
    </w:p>
    <w:p w:rsidR="001C2C39" w:rsidRPr="0069723C" w:rsidRDefault="001C2C39" w:rsidP="001C2C39">
      <w:pPr>
        <w:pStyle w:val="2"/>
        <w:spacing w:line="400" w:lineRule="exact"/>
        <w:ind w:firstLineChars="98" w:firstLine="236"/>
      </w:pPr>
      <w:r w:rsidRPr="0069723C">
        <w:rPr>
          <w:rFonts w:asciiTheme="minorEastAsia" w:eastAsiaTheme="minorEastAsia" w:hAnsiTheme="minorEastAsia" w:hint="eastAsia"/>
          <w:sz w:val="24"/>
          <w:szCs w:val="24"/>
        </w:rPr>
        <w:lastRenderedPageBreak/>
        <w:t>*三、商务要求</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 xml:space="preserve"> 1、服务期限：2022年4月初---2022年11月底，特殊情况可延迟服务期（如整改未完成）:</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2022年4月底前提交彭州市危险废物规范化环境管理及环境风险隐患排查工作方案；2022年6月底前提交彭州市危险废物规范化环境管理培训情况报告；2022年9月底前完成所涉单位的危险废物规范化环境管理评估和环境风险隐患排查工作，并提交《危险废物规范化环境管理评估指标表》、《危险废物环境安全风险隐患排查表》、《问题移交单》、《移交问题整改情况调度表》；2022年11月30日前完成所涉单位的危险废物规范化环境管理评估和环境风险隐患排查的问题整改，并提交《彭州市重点危险废物产生和经营单位危险废物规范化环境管理及环境风险隐患评估报告》，特殊情况可延迟服务期（如整改未完成）。</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2、服务地点：成都市彭州市内采购人指定地点；</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3、付款方式：合同签订后5个工作日内支付合同价款的50%，全部服务完毕并验收合格后支付合同价款剩余的50%。</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4、服务成果验收：合同签订后5个工作日开展工作，按照采购人提供的企业名单，制定600家目录企业的危险废物规范化环境管理和</w:t>
      </w:r>
      <w:r w:rsidRPr="0069723C">
        <w:rPr>
          <w:rFonts w:hint="eastAsia"/>
        </w:rPr>
        <w:t>环境风险隐患技术评估</w:t>
      </w:r>
      <w:r w:rsidRPr="0069723C">
        <w:rPr>
          <w:rFonts w:asciiTheme="minorEastAsia" w:eastAsiaTheme="minorEastAsia" w:hAnsiTheme="minorEastAsia" w:hint="eastAsia"/>
          <w:sz w:val="24"/>
        </w:rPr>
        <w:t>实施方案及工作计划表，按照计划认真落实所有企业的前期摸底调研工作、问题清单整理、协助企业完成问题整改并提出整改期限、问题复验、资料汇总和报告提交、问题整改验收等工作。</w:t>
      </w:r>
    </w:p>
    <w:p w:rsidR="001C2C39" w:rsidRPr="0069723C" w:rsidRDefault="001C2C39" w:rsidP="001C2C39">
      <w:pPr>
        <w:pStyle w:val="2"/>
        <w:spacing w:line="400" w:lineRule="exact"/>
        <w:ind w:firstLineChars="98" w:firstLine="236"/>
        <w:rPr>
          <w:rFonts w:asciiTheme="minorEastAsia" w:hAnsiTheme="minorEastAsia"/>
          <w:sz w:val="24"/>
          <w:szCs w:val="24"/>
        </w:rPr>
      </w:pPr>
      <w:r w:rsidRPr="0069723C">
        <w:rPr>
          <w:rFonts w:asciiTheme="minorEastAsia" w:eastAsiaTheme="minorEastAsia" w:hAnsiTheme="minorEastAsia" w:hint="eastAsia"/>
          <w:sz w:val="24"/>
          <w:szCs w:val="24"/>
        </w:rPr>
        <w:t>*四、技术、服务要求</w:t>
      </w:r>
      <w:r w:rsidRPr="0069723C">
        <w:rPr>
          <w:rFonts w:asciiTheme="minorEastAsia" w:hAnsiTheme="minorEastAsia" w:hint="eastAsia"/>
          <w:sz w:val="24"/>
          <w:szCs w:val="24"/>
        </w:rPr>
        <w:tab/>
      </w:r>
    </w:p>
    <w:p w:rsidR="001C2C39" w:rsidRPr="0069723C" w:rsidRDefault="001C2C39" w:rsidP="001C2C39">
      <w:pPr>
        <w:pStyle w:val="a4"/>
        <w:spacing w:line="400" w:lineRule="exact"/>
        <w:ind w:firstLine="480"/>
        <w:rPr>
          <w:rFonts w:asciiTheme="minorEastAsia" w:eastAsiaTheme="minorEastAsia" w:hAnsiTheme="minorEastAsia"/>
          <w:sz w:val="24"/>
        </w:rPr>
      </w:pPr>
      <w:bookmarkStart w:id="1" w:name="bookmark140"/>
      <w:bookmarkStart w:id="2" w:name="bookmark139"/>
      <w:bookmarkStart w:id="3" w:name="bookmark138"/>
      <w:bookmarkStart w:id="4" w:name="bookmark136"/>
      <w:bookmarkStart w:id="5" w:name="bookmark137"/>
      <w:bookmarkStart w:id="6" w:name="bookmark20"/>
      <w:bookmarkStart w:id="7" w:name="bookmark23"/>
      <w:bookmarkStart w:id="8" w:name="bookmark25"/>
      <w:bookmarkStart w:id="9" w:name="bookmark26"/>
      <w:bookmarkStart w:id="10" w:name="bookmark27"/>
      <w:bookmarkStart w:id="11" w:name="bookmark28"/>
      <w:bookmarkStart w:id="12" w:name="bookmark29"/>
      <w:bookmarkStart w:id="13" w:name="bookmark30"/>
      <w:bookmarkStart w:id="14" w:name="bookmark31"/>
      <w:bookmarkStart w:id="15" w:name="bookmark32"/>
      <w:bookmarkStart w:id="16" w:name="bookmark33"/>
      <w:bookmarkStart w:id="17" w:name="bookmark34"/>
      <w:bookmarkStart w:id="18" w:name="bookmark35"/>
      <w:bookmarkStart w:id="19" w:name="bookmark36"/>
      <w:bookmarkStart w:id="20" w:name="bookmark37"/>
      <w:bookmarkStart w:id="21" w:name="bookmark38"/>
      <w:bookmarkStart w:id="22" w:name="bookmark39"/>
      <w:bookmarkStart w:id="23" w:name="bookmark40"/>
      <w:bookmarkStart w:id="24" w:name="bookmark41"/>
      <w:bookmarkStart w:id="25" w:name="bookmark42"/>
      <w:bookmarkStart w:id="26" w:name="bookmark43"/>
      <w:bookmarkStart w:id="27" w:name="bookmark44"/>
      <w:bookmarkStart w:id="28" w:name="bookmark45"/>
      <w:bookmarkStart w:id="29" w:name="bookmark46"/>
      <w:bookmarkStart w:id="30" w:name="bookmark47"/>
      <w:bookmarkStart w:id="31" w:name="bookmark48"/>
      <w:bookmarkStart w:id="32" w:name="bookmark49"/>
      <w:bookmarkStart w:id="33" w:name="bookmark50"/>
      <w:bookmarkStart w:id="34" w:name="bookmark51"/>
      <w:bookmarkStart w:id="35" w:name="bookmark52"/>
      <w:bookmarkStart w:id="36" w:name="bookmark56"/>
      <w:bookmarkStart w:id="37" w:name="bookmark57"/>
      <w:bookmarkStart w:id="38" w:name="bookmark58"/>
      <w:bookmarkStart w:id="39" w:name="bookmark59"/>
      <w:bookmarkStart w:id="40" w:name="bookmark60"/>
      <w:bookmarkStart w:id="41" w:name="bookmark62"/>
      <w:bookmarkStart w:id="42" w:name="bookmark63"/>
      <w:bookmarkStart w:id="43" w:name="bookmark65"/>
      <w:bookmarkStart w:id="44" w:name="bookmark66"/>
      <w:bookmarkStart w:id="45" w:name="bookmark67"/>
      <w:bookmarkStart w:id="46" w:name="bookmark68"/>
      <w:bookmarkStart w:id="47" w:name="bookmark69"/>
      <w:bookmarkStart w:id="48" w:name="bookmark70"/>
      <w:bookmarkStart w:id="49" w:name="bookmark71"/>
      <w:bookmarkStart w:id="50" w:name="bookmark72"/>
      <w:bookmarkStart w:id="51" w:name="bookmark73"/>
      <w:bookmarkStart w:id="52" w:name="bookmark74"/>
      <w:bookmarkStart w:id="53" w:name="bookmark75"/>
      <w:bookmarkStart w:id="54" w:name="bookmark76"/>
      <w:bookmarkStart w:id="55" w:name="bookmark78"/>
      <w:bookmarkStart w:id="56" w:name="bookmark79"/>
      <w:bookmarkStart w:id="57" w:name="bookmark80"/>
      <w:bookmarkStart w:id="58" w:name="bookmark81"/>
      <w:bookmarkStart w:id="59" w:name="bookmark82"/>
      <w:bookmarkStart w:id="60" w:name="bookmark83"/>
      <w:bookmarkStart w:id="61" w:name="bookmark84"/>
      <w:bookmarkStart w:id="62" w:name="bookmark85"/>
      <w:bookmarkStart w:id="63" w:name="bookmark86"/>
      <w:bookmarkStart w:id="64" w:name="bookmark90"/>
      <w:bookmarkStart w:id="65" w:name="bookmark92"/>
      <w:bookmarkStart w:id="66" w:name="bookmark93"/>
      <w:bookmarkStart w:id="67" w:name="bookmark94"/>
      <w:bookmarkStart w:id="68" w:name="bookmark95"/>
      <w:bookmarkStart w:id="69" w:name="bookmark96"/>
      <w:bookmarkStart w:id="70" w:name="bookmark97"/>
      <w:bookmarkStart w:id="71" w:name="bookmark98"/>
      <w:bookmarkStart w:id="72" w:name="bookmark100"/>
      <w:bookmarkStart w:id="73" w:name="bookmark101"/>
      <w:bookmarkStart w:id="74" w:name="bookmark102"/>
      <w:bookmarkStart w:id="75" w:name="bookmark103"/>
      <w:bookmarkStart w:id="76" w:name="bookmark104"/>
      <w:bookmarkStart w:id="77" w:name="bookmark105"/>
      <w:bookmarkStart w:id="78" w:name="bookmark108"/>
      <w:bookmarkStart w:id="79" w:name="bookmark109"/>
      <w:bookmarkStart w:id="80" w:name="bookmark110"/>
      <w:bookmarkStart w:id="81" w:name="bookmark111"/>
      <w:bookmarkStart w:id="82" w:name="bookmark112"/>
      <w:bookmarkStart w:id="83" w:name="bookmark113"/>
      <w:bookmarkStart w:id="84" w:name="bookmark114"/>
      <w:bookmarkStart w:id="85" w:name="bookmark115"/>
      <w:bookmarkStart w:id="86" w:name="bookmark117"/>
      <w:bookmarkStart w:id="87" w:name="bookmark118"/>
      <w:bookmarkStart w:id="88" w:name="bookmark119"/>
      <w:bookmarkStart w:id="89" w:name="bookmark120"/>
      <w:bookmarkStart w:id="90" w:name="bookmark121"/>
      <w:bookmarkStart w:id="91" w:name="bookmark123"/>
      <w:bookmarkStart w:id="92" w:name="bookmark124"/>
      <w:bookmarkStart w:id="93" w:name="bookmark125"/>
      <w:bookmarkStart w:id="94" w:name="bookmark126"/>
      <w:bookmarkStart w:id="95" w:name="bookmark127"/>
      <w:bookmarkStart w:id="96" w:name="bookmark128"/>
      <w:bookmarkStart w:id="97" w:name="bookmark129"/>
      <w:bookmarkStart w:id="98" w:name="bookmark130"/>
      <w:bookmarkStart w:id="99" w:name="bookmark131"/>
      <w:bookmarkStart w:id="100" w:name="bookmark132"/>
      <w:bookmarkStart w:id="101" w:name="bookmark133"/>
      <w:bookmarkStart w:id="102" w:name="bookmark134"/>
      <w:bookmarkStart w:id="103" w:name="bookmark135"/>
      <w:bookmarkStart w:id="104" w:name="_bookmark1"/>
      <w:bookmarkStart w:id="105" w:name="_bookmark4"/>
      <w:bookmarkStart w:id="106" w:name="_bookmark5"/>
      <w:bookmarkStart w:id="107" w:name="_bookmark6"/>
      <w:bookmarkStart w:id="108" w:name="_bookmark7"/>
      <w:bookmarkStart w:id="109" w:name="_bookmark8"/>
      <w:bookmarkStart w:id="110" w:name="_bookmark9"/>
      <w:bookmarkStart w:id="111" w:name="_bookmark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9723C">
        <w:rPr>
          <w:rFonts w:asciiTheme="minorEastAsia" w:eastAsiaTheme="minorEastAsia" w:hAnsiTheme="minorEastAsia" w:hint="eastAsia"/>
          <w:sz w:val="24"/>
        </w:rPr>
        <w:t>本项目为一次性采购服务，本预算费用为含税全包价，包括管理培训费用、调研费用、技术评估费用、协助整改期间发生的交通、通讯、人工、资料制作、专家咨询费用以及其他相关费用。</w:t>
      </w:r>
    </w:p>
    <w:p w:rsidR="001C2C39" w:rsidRPr="0069723C" w:rsidRDefault="001C2C39" w:rsidP="001C2C39">
      <w:pPr>
        <w:pStyle w:val="a4"/>
        <w:spacing w:line="400" w:lineRule="exact"/>
        <w:ind w:firstLine="482"/>
        <w:rPr>
          <w:rFonts w:asciiTheme="minorEastAsia" w:eastAsiaTheme="minorEastAsia" w:hAnsiTheme="minorEastAsia"/>
          <w:b/>
          <w:bCs/>
          <w:sz w:val="24"/>
        </w:rPr>
      </w:pPr>
      <w:r w:rsidRPr="0069723C">
        <w:rPr>
          <w:rFonts w:asciiTheme="minorEastAsia" w:eastAsiaTheme="minorEastAsia" w:hAnsiTheme="minorEastAsia" w:hint="eastAsia"/>
          <w:b/>
          <w:bCs/>
          <w:sz w:val="24"/>
        </w:rPr>
        <w:t>（一）服务要求</w:t>
      </w:r>
    </w:p>
    <w:p w:rsidR="001C2C39" w:rsidRPr="0069723C" w:rsidRDefault="001C2C39" w:rsidP="001C2C39">
      <w:pPr>
        <w:pStyle w:val="a4"/>
        <w:spacing w:line="400" w:lineRule="exact"/>
        <w:ind w:firstLine="482"/>
        <w:rPr>
          <w:rFonts w:asciiTheme="minorEastAsia" w:eastAsiaTheme="minorEastAsia" w:hAnsiTheme="minorEastAsia"/>
          <w:b/>
          <w:bCs/>
          <w:sz w:val="24"/>
        </w:rPr>
      </w:pPr>
      <w:r w:rsidRPr="0069723C">
        <w:rPr>
          <w:rFonts w:asciiTheme="minorEastAsia" w:eastAsiaTheme="minorEastAsia" w:hAnsiTheme="minorEastAsia" w:hint="eastAsia"/>
          <w:b/>
          <w:bCs/>
          <w:sz w:val="24"/>
        </w:rPr>
        <w:t>1</w:t>
      </w:r>
      <w:r w:rsidRPr="0069723C">
        <w:rPr>
          <w:rFonts w:asciiTheme="minorEastAsia" w:eastAsiaTheme="minorEastAsia" w:hAnsiTheme="minorEastAsia"/>
          <w:b/>
          <w:bCs/>
          <w:sz w:val="24"/>
        </w:rPr>
        <w:t>.</w:t>
      </w:r>
      <w:r w:rsidRPr="0069723C">
        <w:rPr>
          <w:rFonts w:asciiTheme="minorEastAsia" w:eastAsiaTheme="minorEastAsia" w:hAnsiTheme="minorEastAsia" w:hint="eastAsia"/>
          <w:b/>
          <w:bCs/>
          <w:sz w:val="24"/>
        </w:rPr>
        <w:t>服务内容</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1）对彭州市重点危险废物产生和经营单位（600家）进行现场调查，对所涉单位开展危险废物规范化环境管理和环境风险隐患技术评估，编写《危险废物规范化环境管理评估指标》表和《危险废物环境风险隐患排查表》；</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（2）对彭州市危险废物行业主管部门、镇街、重点</w:t>
      </w:r>
      <w:proofErr w:type="gramStart"/>
      <w:r w:rsidRPr="0069723C">
        <w:rPr>
          <w:rFonts w:asciiTheme="minorEastAsia" w:eastAsiaTheme="minorEastAsia" w:hAnsiTheme="minorEastAsia" w:hint="eastAsia"/>
          <w:sz w:val="24"/>
        </w:rPr>
        <w:t>涉危险</w:t>
      </w:r>
      <w:proofErr w:type="gramEnd"/>
      <w:r w:rsidRPr="0069723C">
        <w:rPr>
          <w:rFonts w:asciiTheme="minorEastAsia" w:eastAsiaTheme="minorEastAsia" w:hAnsiTheme="minorEastAsia" w:hint="eastAsia"/>
          <w:sz w:val="24"/>
        </w:rPr>
        <w:t>废物产生和经营单位，开展不低于2次的危险废物规范化环境管理培训；</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（3）帮扶和督促所涉单位在调查中发现的危险废物规范化环境管理和环境风险问题完成整改；</w:t>
      </w:r>
    </w:p>
    <w:p w:rsidR="001C2C39" w:rsidRPr="0069723C" w:rsidRDefault="001C2C39" w:rsidP="001C2C39">
      <w:pPr>
        <w:pStyle w:val="a4"/>
        <w:spacing w:line="400" w:lineRule="exact"/>
        <w:ind w:firstLine="482"/>
        <w:rPr>
          <w:rFonts w:asciiTheme="minorEastAsia" w:eastAsiaTheme="minorEastAsia" w:hAnsiTheme="minorEastAsia"/>
          <w:b/>
          <w:bCs/>
          <w:sz w:val="24"/>
        </w:rPr>
      </w:pPr>
      <w:r w:rsidRPr="0069723C">
        <w:rPr>
          <w:rFonts w:asciiTheme="minorEastAsia" w:eastAsiaTheme="minorEastAsia" w:hAnsiTheme="minorEastAsia" w:hint="eastAsia"/>
          <w:b/>
          <w:bCs/>
          <w:sz w:val="24"/>
        </w:rPr>
        <w:t>2</w:t>
      </w:r>
      <w:r w:rsidRPr="0069723C">
        <w:rPr>
          <w:rFonts w:asciiTheme="minorEastAsia" w:eastAsiaTheme="minorEastAsia" w:hAnsiTheme="minorEastAsia"/>
          <w:b/>
          <w:bCs/>
          <w:sz w:val="24"/>
        </w:rPr>
        <w:t>.</w:t>
      </w:r>
      <w:r w:rsidRPr="0069723C">
        <w:rPr>
          <w:rFonts w:asciiTheme="minorEastAsia" w:eastAsiaTheme="minorEastAsia" w:hAnsiTheme="minorEastAsia" w:hint="eastAsia"/>
          <w:b/>
          <w:bCs/>
          <w:sz w:val="24"/>
        </w:rPr>
        <w:t>进度计划</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2022年4月、5月、6月底前分3批次完成对彭州市危险废物行业主管部门、镇街、重点</w:t>
      </w:r>
      <w:proofErr w:type="gramStart"/>
      <w:r w:rsidRPr="0069723C">
        <w:rPr>
          <w:rFonts w:asciiTheme="minorEastAsia" w:eastAsiaTheme="minorEastAsia" w:hAnsiTheme="minorEastAsia" w:hint="eastAsia"/>
          <w:sz w:val="24"/>
        </w:rPr>
        <w:t>涉危险</w:t>
      </w:r>
      <w:proofErr w:type="gramEnd"/>
      <w:r w:rsidRPr="0069723C">
        <w:rPr>
          <w:rFonts w:asciiTheme="minorEastAsia" w:eastAsiaTheme="minorEastAsia" w:hAnsiTheme="minorEastAsia" w:hint="eastAsia"/>
          <w:sz w:val="24"/>
        </w:rPr>
        <w:t>废物产生和经营单位的危险废物规范化环境管理培训工作；2022年5月、7月、9月底前分3批次完成对所涉单位的危险废物规范化环境管理评估和环境风险隐患排查工作，对评估排查中发现的问题通知相关单位整改、并帮扶督促其完成整改；2022年7月、9月、11月底前分3批次对所涉单位在评估排查中发现的问题完成整改验收，特殊情况可延迟服务期（如整改未完成）；</w:t>
      </w:r>
    </w:p>
    <w:p w:rsidR="001C2C39" w:rsidRPr="0069723C" w:rsidRDefault="001C2C39" w:rsidP="001C2C39">
      <w:pPr>
        <w:pStyle w:val="a4"/>
        <w:spacing w:line="400" w:lineRule="exact"/>
        <w:ind w:firstLine="482"/>
        <w:rPr>
          <w:rFonts w:asciiTheme="minorEastAsia" w:eastAsiaTheme="minorEastAsia" w:hAnsiTheme="minorEastAsia"/>
          <w:b/>
          <w:bCs/>
          <w:sz w:val="24"/>
        </w:rPr>
      </w:pPr>
      <w:r w:rsidRPr="0069723C">
        <w:rPr>
          <w:rFonts w:asciiTheme="minorEastAsia" w:eastAsiaTheme="minorEastAsia" w:hAnsiTheme="minorEastAsia" w:hint="eastAsia"/>
          <w:b/>
          <w:bCs/>
          <w:sz w:val="24"/>
        </w:rPr>
        <w:t>3</w:t>
      </w:r>
      <w:r w:rsidRPr="0069723C">
        <w:rPr>
          <w:rFonts w:asciiTheme="minorEastAsia" w:eastAsiaTheme="minorEastAsia" w:hAnsiTheme="minorEastAsia"/>
          <w:b/>
          <w:bCs/>
          <w:sz w:val="24"/>
        </w:rPr>
        <w:t>.</w:t>
      </w:r>
      <w:r w:rsidRPr="0069723C">
        <w:rPr>
          <w:rFonts w:asciiTheme="minorEastAsia" w:eastAsiaTheme="minorEastAsia" w:hAnsiTheme="minorEastAsia" w:hint="eastAsia"/>
          <w:b/>
          <w:bCs/>
          <w:sz w:val="24"/>
        </w:rPr>
        <w:t>服务团队配置</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项目负责人1名，负责把控项目前期调研、文档整理、质量进度、交付及验收等各个环境，以及与采购人等相关单位的沟通协调工作。</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项目实施人员6名，负责整个项目实施过程中的具体实施工作。</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注：以上人员不得重复，供应商需提供实施人员名单、在职承诺并加盖供应商公章。</w:t>
      </w:r>
    </w:p>
    <w:p w:rsidR="001C2C39" w:rsidRPr="0069723C" w:rsidRDefault="001C2C39" w:rsidP="001C2C39">
      <w:pPr>
        <w:pStyle w:val="a4"/>
        <w:spacing w:line="400" w:lineRule="exact"/>
        <w:ind w:firstLine="482"/>
        <w:rPr>
          <w:rFonts w:asciiTheme="minorEastAsia" w:eastAsiaTheme="minorEastAsia" w:hAnsiTheme="minorEastAsia"/>
          <w:b/>
          <w:bCs/>
          <w:sz w:val="24"/>
        </w:rPr>
      </w:pPr>
      <w:r w:rsidRPr="0069723C">
        <w:rPr>
          <w:rFonts w:asciiTheme="minorEastAsia" w:eastAsiaTheme="minorEastAsia" w:hAnsiTheme="minorEastAsia" w:hint="eastAsia"/>
          <w:b/>
          <w:bCs/>
          <w:sz w:val="24"/>
        </w:rPr>
        <w:t>4</w:t>
      </w:r>
      <w:r w:rsidRPr="0069723C">
        <w:rPr>
          <w:rFonts w:asciiTheme="minorEastAsia" w:eastAsiaTheme="minorEastAsia" w:hAnsiTheme="minorEastAsia"/>
          <w:b/>
          <w:bCs/>
          <w:sz w:val="24"/>
        </w:rPr>
        <w:t>.</w:t>
      </w:r>
      <w:r w:rsidRPr="0069723C">
        <w:rPr>
          <w:rFonts w:asciiTheme="minorEastAsia" w:eastAsiaTheme="minorEastAsia" w:hAnsiTheme="minorEastAsia" w:hint="eastAsia"/>
          <w:b/>
          <w:bCs/>
          <w:sz w:val="24"/>
        </w:rPr>
        <w:t>成果交付</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（1）彭州市危险废物规范化环境管理及环境风险隐患排查工作方案</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（2）彭州市危险废物规范化环境管理培训情况报告</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（3）彭州市重点危险废物产生和经营单位（600家）的《危险废物规范化环境管理评估指标表》和《危险废物环境风险隐患排查表》；</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（4）彭州市重点危险废物产生和经营单位（600家）的不达标和基本达标单位汇总表；</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（5）彭州市重点危险废物产生和经营单位（600家）的问题移交单；</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（6）彭州市重点危险废物产生和经营单位（600家）的</w:t>
      </w:r>
      <w:r w:rsidRPr="0069723C">
        <w:rPr>
          <w:rFonts w:asciiTheme="minorEastAsia" w:eastAsiaTheme="minorEastAsia" w:hAnsiTheme="minorEastAsia"/>
          <w:sz w:val="24"/>
        </w:rPr>
        <w:t>移交问题整改情况调度表</w:t>
      </w:r>
      <w:r w:rsidRPr="0069723C">
        <w:rPr>
          <w:rFonts w:asciiTheme="minorEastAsia" w:eastAsiaTheme="minorEastAsia" w:hAnsiTheme="minorEastAsia" w:hint="eastAsia"/>
          <w:sz w:val="24"/>
        </w:rPr>
        <w:t>；</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（7）彭州市重点危险废物产生和经营单位的危险废物规范化管理培训资料至少2套（含签到表和简报）；</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（8）彭州市重点危险废物产生和经营单位危险废物规范化环境管理及环境风险隐患评估报告3套（含附件）</w:t>
      </w:r>
    </w:p>
    <w:p w:rsidR="001C2C39" w:rsidRPr="0069723C" w:rsidRDefault="001C2C39" w:rsidP="001C2C39">
      <w:pPr>
        <w:pStyle w:val="a4"/>
        <w:spacing w:line="400" w:lineRule="exact"/>
        <w:ind w:firstLine="480"/>
        <w:rPr>
          <w:rFonts w:asciiTheme="minorEastAsia" w:eastAsiaTheme="minorEastAsia" w:hAnsiTheme="minorEastAsia"/>
          <w:sz w:val="24"/>
        </w:rPr>
      </w:pPr>
    </w:p>
    <w:p w:rsidR="001C2C39" w:rsidRPr="0069723C" w:rsidRDefault="001C2C39" w:rsidP="001C2C39">
      <w:pPr>
        <w:pStyle w:val="a4"/>
        <w:spacing w:line="400" w:lineRule="exact"/>
        <w:ind w:firstLine="480"/>
        <w:rPr>
          <w:rFonts w:asciiTheme="minorEastAsia" w:eastAsiaTheme="minorEastAsia" w:hAnsiTheme="minorEastAsia"/>
          <w:sz w:val="24"/>
        </w:rPr>
      </w:pPr>
    </w:p>
    <w:bookmarkEnd w:id="0"/>
    <w:p w:rsidR="001C2C39" w:rsidRPr="0069723C" w:rsidRDefault="001C2C39" w:rsidP="001C2C39">
      <w:pPr>
        <w:pStyle w:val="2"/>
        <w:spacing w:line="400" w:lineRule="exact"/>
        <w:ind w:firstLineChars="98" w:firstLine="236"/>
        <w:rPr>
          <w:rFonts w:asciiTheme="minorEastAsia" w:eastAsiaTheme="minorEastAsia" w:hAnsiTheme="minorEastAsia"/>
          <w:sz w:val="24"/>
          <w:szCs w:val="24"/>
        </w:rPr>
      </w:pPr>
      <w:r w:rsidRPr="0069723C">
        <w:rPr>
          <w:rFonts w:asciiTheme="minorEastAsia" w:eastAsiaTheme="minorEastAsia" w:hAnsiTheme="minorEastAsia" w:hint="eastAsia"/>
          <w:sz w:val="24"/>
          <w:szCs w:val="24"/>
        </w:rPr>
        <w:t>*五、有关的国家法律法规、国家标准、行业技术规范</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（一）《中华人民共和国固体废物污染环境防治法》</w:t>
      </w:r>
      <w:r w:rsidRPr="0069723C">
        <w:rPr>
          <w:rFonts w:asciiTheme="minorEastAsia" w:eastAsiaTheme="minorEastAsia" w:hAnsiTheme="minorEastAsia"/>
          <w:sz w:val="24"/>
        </w:rPr>
        <w:t>2020</w:t>
      </w:r>
      <w:r w:rsidRPr="0069723C">
        <w:rPr>
          <w:rFonts w:asciiTheme="minorEastAsia" w:eastAsiaTheme="minorEastAsia" w:hAnsiTheme="minorEastAsia" w:hint="eastAsia"/>
          <w:sz w:val="24"/>
        </w:rPr>
        <w:t>年</w:t>
      </w:r>
      <w:r w:rsidRPr="0069723C">
        <w:rPr>
          <w:rFonts w:asciiTheme="minorEastAsia" w:eastAsiaTheme="minorEastAsia" w:hAnsiTheme="minorEastAsia"/>
          <w:sz w:val="24"/>
        </w:rPr>
        <w:t>9</w:t>
      </w:r>
      <w:r w:rsidRPr="0069723C">
        <w:rPr>
          <w:rFonts w:asciiTheme="minorEastAsia" w:eastAsiaTheme="minorEastAsia" w:hAnsiTheme="minorEastAsia" w:hint="eastAsia"/>
          <w:sz w:val="24"/>
        </w:rPr>
        <w:t>月</w:t>
      </w:r>
      <w:r w:rsidRPr="0069723C">
        <w:rPr>
          <w:rFonts w:asciiTheme="minorEastAsia" w:eastAsiaTheme="minorEastAsia" w:hAnsiTheme="minorEastAsia"/>
          <w:sz w:val="24"/>
        </w:rPr>
        <w:t>1</w:t>
      </w:r>
      <w:r w:rsidRPr="0069723C">
        <w:rPr>
          <w:rFonts w:asciiTheme="minorEastAsia" w:eastAsiaTheme="minorEastAsia" w:hAnsiTheme="minorEastAsia" w:hint="eastAsia"/>
          <w:sz w:val="24"/>
        </w:rPr>
        <w:t>日修订</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（二）《危险废物贮存污染控制标准》GB18597-2001  2013年修订</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（三）《危险废物收集、贮存、运输技术规范》</w:t>
      </w:r>
      <w:r w:rsidRPr="0069723C">
        <w:rPr>
          <w:rFonts w:asciiTheme="minorEastAsia" w:eastAsiaTheme="minorEastAsia" w:hAnsiTheme="minorEastAsia"/>
          <w:sz w:val="24"/>
        </w:rPr>
        <w:t>HJ2025-2012</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（四）《危险废物转移管理办法》2022年1月1日起施行</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（五）</w:t>
      </w:r>
      <w:proofErr w:type="gramStart"/>
      <w:r w:rsidRPr="0069723C">
        <w:rPr>
          <w:rFonts w:asciiTheme="minorEastAsia" w:eastAsiaTheme="minorEastAsia" w:hAnsiTheme="minorEastAsia" w:hint="eastAsia"/>
          <w:sz w:val="24"/>
        </w:rPr>
        <w:t>《危险废物规范化管理指标体系》环办【2015】</w:t>
      </w:r>
      <w:proofErr w:type="gramEnd"/>
      <w:r w:rsidRPr="0069723C">
        <w:rPr>
          <w:rFonts w:asciiTheme="minorEastAsia" w:eastAsiaTheme="minorEastAsia" w:hAnsiTheme="minorEastAsia" w:hint="eastAsia"/>
          <w:sz w:val="24"/>
        </w:rPr>
        <w:t>99号</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（六）《建设项目危险废物环境影响评价指南》</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（七）《中华人民共和国环境保护法》</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（八）《排污许可管理条例》</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（九）《排污许可证申请与合法技术规范-工业固体废物（试行）》HJ1200-2021</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（十）《企业环境信息依法披露管理办法》2022年2月8日起实施</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（十一）《强化危险废物监管和利用处置能力改革实施方案》（国办函【2021】47号）</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（十二）《国家危险废物名录》（2021版） 部令 第15号</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（十三）《“十四五”全国危险废物规范化环境管理评估工作方案》</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（十四）《危险废物经营单位编制应急预案指南》</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（十五）《环境保护图形标志 固体废物贮存（处置）场》GB15562.2-1995</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（十六）《废铅蓄电池危险废物经营单位审查和许可指南》</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（十七）《危险废物运输包装通用技术条件》GB12463-2009</w:t>
      </w:r>
    </w:p>
    <w:p w:rsidR="001C2C39" w:rsidRPr="0069723C" w:rsidRDefault="001C2C39" w:rsidP="001C2C39">
      <w:pPr>
        <w:pStyle w:val="a4"/>
        <w:spacing w:line="400" w:lineRule="exact"/>
        <w:ind w:firstLine="480"/>
        <w:rPr>
          <w:rFonts w:asciiTheme="minorEastAsia" w:eastAsiaTheme="minorEastAsia" w:hAnsiTheme="minorEastAsia"/>
          <w:sz w:val="24"/>
        </w:rPr>
      </w:pPr>
      <w:r w:rsidRPr="0069723C">
        <w:rPr>
          <w:rFonts w:asciiTheme="minorEastAsia" w:eastAsiaTheme="minorEastAsia" w:hAnsiTheme="minorEastAsia" w:hint="eastAsia"/>
          <w:sz w:val="24"/>
        </w:rPr>
        <w:t>（十八）《危险废物储运单位编码要求》GB/T38920-2020</w:t>
      </w:r>
    </w:p>
    <w:p w:rsidR="001C2C39" w:rsidRPr="0069723C" w:rsidRDefault="001C2C39" w:rsidP="001C2C39">
      <w:pPr>
        <w:pStyle w:val="a5"/>
        <w:numPr>
          <w:ilvl w:val="255"/>
          <w:numId w:val="0"/>
        </w:numPr>
        <w:jc w:val="both"/>
        <w:outlineLvl w:val="9"/>
        <w:rPr>
          <w:rFonts w:asciiTheme="minorEastAsia" w:eastAsiaTheme="minorEastAsia" w:hAnsiTheme="minorEastAsia"/>
          <w:b w:val="0"/>
          <w:bCs w:val="0"/>
          <w:sz w:val="24"/>
          <w:szCs w:val="24"/>
        </w:rPr>
      </w:pPr>
    </w:p>
    <w:p w:rsidR="001C2C39" w:rsidRPr="0069723C" w:rsidRDefault="001C2C39" w:rsidP="001C2C39">
      <w:pPr>
        <w:widowControl/>
        <w:jc w:val="left"/>
        <w:rPr>
          <w:rFonts w:asciiTheme="minorEastAsia" w:eastAsiaTheme="minorEastAsia" w:hAnsiTheme="minorEastAsia" w:cstheme="majorBidi"/>
          <w:sz w:val="24"/>
          <w:szCs w:val="32"/>
        </w:rPr>
      </w:pPr>
      <w:r w:rsidRPr="0069723C">
        <w:rPr>
          <w:rFonts w:asciiTheme="minorEastAsia" w:eastAsiaTheme="minorEastAsia" w:hAnsiTheme="minorEastAsia"/>
          <w:b/>
          <w:bCs/>
          <w:sz w:val="24"/>
        </w:rPr>
        <w:br w:type="page"/>
      </w:r>
    </w:p>
    <w:p w:rsidR="00AA6448" w:rsidRPr="001C2C39" w:rsidRDefault="001C2C39">
      <w:bookmarkStart w:id="112" w:name="_GoBack"/>
      <w:bookmarkEnd w:id="112"/>
    </w:p>
    <w:sectPr w:rsidR="00AA6448" w:rsidRPr="001C2C39" w:rsidSect="002B7EBB">
      <w:pgSz w:w="11906" w:h="16838"/>
      <w:pgMar w:top="3232" w:right="1797" w:bottom="323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57"/>
    <w:rsid w:val="001C2C39"/>
    <w:rsid w:val="002B7EBB"/>
    <w:rsid w:val="00350A04"/>
    <w:rsid w:val="00811457"/>
    <w:rsid w:val="00A7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4435-27FE-42E9-8F77-7696F18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C2C39"/>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1C2C39"/>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semiHidden/>
    <w:qFormat/>
    <w:rsid w:val="001C2C39"/>
    <w:rPr>
      <w:rFonts w:ascii="Arial" w:eastAsia="黑体" w:hAnsi="Arial" w:cs="Times New Roman"/>
      <w:b/>
      <w:bCs/>
      <w:sz w:val="32"/>
      <w:szCs w:val="32"/>
    </w:rPr>
  </w:style>
  <w:style w:type="paragraph" w:styleId="a4">
    <w:name w:val="Normal Indent"/>
    <w:basedOn w:val="a"/>
    <w:link w:val="Char"/>
    <w:semiHidden/>
    <w:unhideWhenUsed/>
    <w:qFormat/>
    <w:rsid w:val="001C2C39"/>
    <w:pPr>
      <w:ind w:firstLineChars="200" w:firstLine="420"/>
    </w:pPr>
  </w:style>
  <w:style w:type="paragraph" w:styleId="a5">
    <w:name w:val="Title"/>
    <w:basedOn w:val="a"/>
    <w:next w:val="a"/>
    <w:link w:val="Char0"/>
    <w:uiPriority w:val="10"/>
    <w:qFormat/>
    <w:rsid w:val="001C2C39"/>
    <w:pPr>
      <w:spacing w:before="240" w:after="60"/>
      <w:jc w:val="center"/>
      <w:outlineLvl w:val="0"/>
    </w:pPr>
    <w:rPr>
      <w:rFonts w:asciiTheme="majorHAnsi" w:hAnsiTheme="majorHAnsi" w:cstheme="majorBidi"/>
      <w:b/>
      <w:bCs/>
      <w:sz w:val="32"/>
      <w:szCs w:val="32"/>
    </w:rPr>
  </w:style>
  <w:style w:type="character" w:customStyle="1" w:styleId="Char0">
    <w:name w:val="标题 Char"/>
    <w:basedOn w:val="a1"/>
    <w:link w:val="a5"/>
    <w:uiPriority w:val="10"/>
    <w:qFormat/>
    <w:rsid w:val="001C2C39"/>
    <w:rPr>
      <w:rFonts w:asciiTheme="majorHAnsi" w:eastAsia="宋体" w:hAnsiTheme="majorHAnsi" w:cstheme="majorBidi"/>
      <w:b/>
      <w:bCs/>
      <w:sz w:val="32"/>
      <w:szCs w:val="32"/>
    </w:rPr>
  </w:style>
  <w:style w:type="character" w:customStyle="1" w:styleId="Char">
    <w:name w:val="正文缩进 Char"/>
    <w:link w:val="a4"/>
    <w:semiHidden/>
    <w:qFormat/>
    <w:locked/>
    <w:rsid w:val="001C2C39"/>
    <w:rPr>
      <w:rFonts w:ascii="Times New Roman" w:eastAsia="宋体" w:hAnsi="Times New Roman" w:cs="Times New Roman"/>
      <w:szCs w:val="24"/>
    </w:rPr>
  </w:style>
  <w:style w:type="paragraph" w:styleId="a0">
    <w:name w:val="Plain Text"/>
    <w:basedOn w:val="a"/>
    <w:link w:val="Char1"/>
    <w:uiPriority w:val="99"/>
    <w:semiHidden/>
    <w:unhideWhenUsed/>
    <w:rsid w:val="001C2C39"/>
    <w:rPr>
      <w:rFonts w:ascii="宋体" w:hAnsi="Courier New" w:cs="Courier New"/>
      <w:szCs w:val="21"/>
    </w:rPr>
  </w:style>
  <w:style w:type="character" w:customStyle="1" w:styleId="Char1">
    <w:name w:val="纯文本 Char"/>
    <w:basedOn w:val="a1"/>
    <w:link w:val="a0"/>
    <w:uiPriority w:val="99"/>
    <w:semiHidden/>
    <w:rsid w:val="001C2C3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2127</Characters>
  <Application>Microsoft Office Word</Application>
  <DocSecurity>0</DocSecurity>
  <Lines>17</Lines>
  <Paragraphs>4</Paragraphs>
  <ScaleCrop>false</ScaleCrop>
  <Company>微软中国</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2022-02-25T06:44:00Z</dcterms:created>
  <dcterms:modified xsi:type="dcterms:W3CDTF">2022-02-25T06:45:00Z</dcterms:modified>
</cp:coreProperties>
</file>