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7A" w:rsidRPr="008D7057" w:rsidRDefault="00C70F7A" w:rsidP="00C70F7A">
      <w:pPr>
        <w:pStyle w:val="a5"/>
        <w:rPr>
          <w:rFonts w:ascii="仿宋" w:eastAsia="仿宋" w:hAnsi="仿宋"/>
        </w:rPr>
      </w:pPr>
      <w:bookmarkStart w:id="0" w:name="_GoBack"/>
      <w:r w:rsidRPr="008D7057">
        <w:rPr>
          <w:rFonts w:ascii="仿宋" w:eastAsia="仿宋" w:hAnsi="仿宋" w:hint="eastAsia"/>
        </w:rPr>
        <w:t>采购项目技术、服务、政府采购合同内容条款及其他商务要求</w:t>
      </w:r>
    </w:p>
    <w:p w:rsidR="00C70F7A" w:rsidRPr="008D7057" w:rsidRDefault="00C70F7A" w:rsidP="00C70F7A">
      <w:pPr>
        <w:spacing w:line="400" w:lineRule="exact"/>
        <w:ind w:firstLineChars="49" w:firstLine="118"/>
        <w:jc w:val="left"/>
        <w:rPr>
          <w:rFonts w:ascii="仿宋" w:eastAsia="仿宋" w:hAnsi="仿宋"/>
          <w:sz w:val="24"/>
        </w:rPr>
      </w:pPr>
    </w:p>
    <w:p w:rsidR="00C70F7A" w:rsidRPr="008D7057" w:rsidRDefault="00C70F7A" w:rsidP="00C70F7A">
      <w:pPr>
        <w:spacing w:line="400" w:lineRule="exact"/>
        <w:ind w:firstLineChars="49" w:firstLine="118"/>
        <w:jc w:val="left"/>
        <w:rPr>
          <w:rFonts w:ascii="仿宋" w:eastAsia="仿宋" w:hAnsi="仿宋"/>
          <w:sz w:val="24"/>
        </w:rPr>
      </w:pPr>
      <w:bookmarkStart w:id="1" w:name="PO_默认文件内容_27"/>
      <w:r w:rsidRPr="008D7057">
        <w:rPr>
          <w:rFonts w:ascii="仿宋" w:eastAsia="仿宋" w:hAnsi="仿宋" w:hint="eastAsia"/>
          <w:sz w:val="24"/>
        </w:rPr>
        <w:t>前提：</w:t>
      </w:r>
      <w:r w:rsidRPr="008D7057">
        <w:rPr>
          <w:rFonts w:ascii="仿宋" w:eastAsia="仿宋" w:hAnsi="仿宋"/>
          <w:sz w:val="24"/>
        </w:rPr>
        <w:t>本章采购需求中标注“*”号的条款为本次磋商采购项目的实质性要求，供应商应全部满足。</w:t>
      </w:r>
    </w:p>
    <w:p w:rsidR="00C70F7A" w:rsidRPr="008D7057" w:rsidRDefault="00C70F7A" w:rsidP="00C70F7A">
      <w:pPr>
        <w:pStyle w:val="2"/>
        <w:spacing w:line="400" w:lineRule="exact"/>
        <w:ind w:firstLineChars="98" w:firstLine="236"/>
        <w:rPr>
          <w:rFonts w:ascii="仿宋" w:eastAsia="仿宋" w:hAnsi="仿宋"/>
          <w:b w:val="0"/>
          <w:sz w:val="24"/>
          <w:szCs w:val="24"/>
        </w:rPr>
      </w:pPr>
      <w:r w:rsidRPr="008D7057">
        <w:rPr>
          <w:rFonts w:ascii="仿宋" w:eastAsia="仿宋" w:hAnsi="仿宋" w:hint="eastAsia"/>
          <w:sz w:val="24"/>
          <w:szCs w:val="24"/>
        </w:rPr>
        <w:t>一、</w:t>
      </w:r>
      <w:r w:rsidRPr="008D7057">
        <w:rPr>
          <w:rFonts w:ascii="仿宋" w:eastAsia="仿宋" w:hAnsi="仿宋" w:hint="eastAsia"/>
          <w:b w:val="0"/>
          <w:sz w:val="24"/>
          <w:szCs w:val="24"/>
        </w:rPr>
        <w:t>项目概述</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本项目共1个包，采购风险管理服务商，编制方案，指导各工作部、赛区委员会和场馆中心编制风险清单，指导完成各级各类应急预案，开展联防联控风险测试演练，参与赛时风险管理运行。</w:t>
      </w:r>
    </w:p>
    <w:p w:rsidR="00C70F7A" w:rsidRPr="008D7057" w:rsidRDefault="00C70F7A" w:rsidP="00C70F7A">
      <w:pPr>
        <w:pStyle w:val="2"/>
        <w:spacing w:line="400" w:lineRule="exact"/>
        <w:ind w:firstLineChars="98" w:firstLine="236"/>
        <w:rPr>
          <w:rFonts w:ascii="仿宋" w:eastAsia="仿宋" w:hAnsi="仿宋"/>
          <w:b w:val="0"/>
          <w:sz w:val="24"/>
          <w:szCs w:val="24"/>
        </w:rPr>
      </w:pPr>
      <w:r w:rsidRPr="008D7057">
        <w:rPr>
          <w:rFonts w:ascii="仿宋" w:eastAsia="仿宋" w:hAnsi="仿宋" w:hint="eastAsia"/>
          <w:sz w:val="24"/>
          <w:szCs w:val="24"/>
        </w:rPr>
        <w:t>二、</w:t>
      </w:r>
      <w:r w:rsidRPr="008D7057">
        <w:rPr>
          <w:rFonts w:ascii="仿宋" w:eastAsia="仿宋" w:hAnsi="仿宋" w:hint="eastAsia"/>
          <w:b w:val="0"/>
          <w:sz w:val="24"/>
          <w:szCs w:val="24"/>
        </w:rPr>
        <w:t>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5"/>
        <w:gridCol w:w="1133"/>
        <w:gridCol w:w="2814"/>
        <w:gridCol w:w="2510"/>
      </w:tblGrid>
      <w:tr w:rsidR="00C70F7A" w:rsidRPr="008D7057" w:rsidTr="00930372">
        <w:trPr>
          <w:trHeight w:val="390"/>
        </w:trPr>
        <w:tc>
          <w:tcPr>
            <w:tcW w:w="424" w:type="pct"/>
            <w:vAlign w:val="center"/>
          </w:tcPr>
          <w:p w:rsidR="00C70F7A" w:rsidRPr="008D7057" w:rsidRDefault="00C70F7A" w:rsidP="00930372">
            <w:pPr>
              <w:widowControl/>
              <w:spacing w:line="360" w:lineRule="atLeast"/>
              <w:jc w:val="center"/>
              <w:outlineLvl w:val="1"/>
              <w:rPr>
                <w:rFonts w:ascii="仿宋" w:eastAsia="仿宋" w:hAnsi="仿宋"/>
                <w:sz w:val="24"/>
              </w:rPr>
            </w:pPr>
            <w:r w:rsidRPr="008D7057">
              <w:rPr>
                <w:rFonts w:ascii="仿宋" w:eastAsia="仿宋" w:hAnsi="仿宋" w:hint="eastAsia"/>
                <w:sz w:val="24"/>
              </w:rPr>
              <w:t>序号</w:t>
            </w:r>
          </w:p>
        </w:tc>
        <w:tc>
          <w:tcPr>
            <w:tcW w:w="684" w:type="pct"/>
            <w:vAlign w:val="center"/>
          </w:tcPr>
          <w:p w:rsidR="00C70F7A" w:rsidRPr="008D7057" w:rsidRDefault="00C70F7A" w:rsidP="00930372">
            <w:pPr>
              <w:widowControl/>
              <w:spacing w:line="360" w:lineRule="atLeast"/>
              <w:jc w:val="center"/>
              <w:outlineLvl w:val="1"/>
              <w:rPr>
                <w:rFonts w:ascii="仿宋" w:eastAsia="仿宋" w:hAnsi="仿宋"/>
                <w:sz w:val="24"/>
              </w:rPr>
            </w:pPr>
            <w:proofErr w:type="gramStart"/>
            <w:r w:rsidRPr="008D7057">
              <w:rPr>
                <w:rFonts w:ascii="仿宋" w:eastAsia="仿宋" w:hAnsi="仿宋" w:hint="eastAsia"/>
                <w:sz w:val="24"/>
              </w:rPr>
              <w:t>包号</w:t>
            </w:r>
            <w:proofErr w:type="gramEnd"/>
          </w:p>
        </w:tc>
        <w:tc>
          <w:tcPr>
            <w:tcW w:w="683" w:type="pct"/>
            <w:vAlign w:val="center"/>
          </w:tcPr>
          <w:p w:rsidR="00C70F7A" w:rsidRPr="008D7057" w:rsidRDefault="00C70F7A" w:rsidP="00930372">
            <w:pPr>
              <w:widowControl/>
              <w:spacing w:line="360" w:lineRule="atLeast"/>
              <w:jc w:val="center"/>
              <w:outlineLvl w:val="1"/>
              <w:rPr>
                <w:rFonts w:ascii="仿宋" w:eastAsia="仿宋" w:hAnsi="仿宋"/>
                <w:sz w:val="24"/>
              </w:rPr>
            </w:pPr>
            <w:r w:rsidRPr="008D7057">
              <w:rPr>
                <w:rFonts w:ascii="仿宋" w:eastAsia="仿宋" w:hAnsi="仿宋" w:hint="eastAsia"/>
                <w:sz w:val="24"/>
              </w:rPr>
              <w:t>品目号</w:t>
            </w:r>
          </w:p>
        </w:tc>
        <w:tc>
          <w:tcPr>
            <w:tcW w:w="1696" w:type="pct"/>
            <w:vAlign w:val="center"/>
          </w:tcPr>
          <w:p w:rsidR="00C70F7A" w:rsidRPr="008D7057" w:rsidRDefault="00C70F7A" w:rsidP="00930372">
            <w:pPr>
              <w:widowControl/>
              <w:spacing w:line="360" w:lineRule="atLeast"/>
              <w:jc w:val="center"/>
              <w:outlineLvl w:val="1"/>
              <w:rPr>
                <w:rFonts w:ascii="仿宋" w:eastAsia="仿宋" w:hAnsi="仿宋"/>
                <w:sz w:val="24"/>
              </w:rPr>
            </w:pPr>
            <w:r w:rsidRPr="008D7057">
              <w:rPr>
                <w:rFonts w:ascii="仿宋" w:eastAsia="仿宋" w:hAnsi="仿宋" w:hint="eastAsia"/>
                <w:sz w:val="24"/>
              </w:rPr>
              <w:t>标的名称</w:t>
            </w:r>
          </w:p>
        </w:tc>
        <w:tc>
          <w:tcPr>
            <w:tcW w:w="1513" w:type="pct"/>
            <w:vAlign w:val="center"/>
          </w:tcPr>
          <w:p w:rsidR="00C70F7A" w:rsidRPr="008D7057" w:rsidRDefault="00C70F7A" w:rsidP="00930372">
            <w:pPr>
              <w:widowControl/>
              <w:spacing w:line="360" w:lineRule="atLeast"/>
              <w:jc w:val="center"/>
              <w:outlineLvl w:val="1"/>
              <w:rPr>
                <w:rFonts w:ascii="仿宋" w:eastAsia="仿宋" w:hAnsi="仿宋"/>
                <w:sz w:val="24"/>
              </w:rPr>
            </w:pPr>
            <w:r w:rsidRPr="008D7057">
              <w:rPr>
                <w:rFonts w:ascii="仿宋" w:eastAsia="仿宋" w:hAnsi="仿宋" w:hint="eastAsia"/>
                <w:sz w:val="24"/>
              </w:rPr>
              <w:t>所属行业</w:t>
            </w:r>
          </w:p>
        </w:tc>
      </w:tr>
      <w:tr w:rsidR="00C70F7A" w:rsidRPr="008D7057" w:rsidTr="00930372">
        <w:trPr>
          <w:trHeight w:val="374"/>
        </w:trPr>
        <w:tc>
          <w:tcPr>
            <w:tcW w:w="424" w:type="pct"/>
            <w:vAlign w:val="center"/>
          </w:tcPr>
          <w:p w:rsidR="00C70F7A" w:rsidRPr="008D7057" w:rsidRDefault="00C70F7A" w:rsidP="00930372">
            <w:pPr>
              <w:widowControl/>
              <w:snapToGrid w:val="0"/>
              <w:spacing w:line="360" w:lineRule="atLeast"/>
              <w:jc w:val="center"/>
              <w:outlineLvl w:val="1"/>
              <w:rPr>
                <w:rFonts w:ascii="仿宋" w:eastAsia="仿宋" w:hAnsi="仿宋"/>
                <w:sz w:val="24"/>
              </w:rPr>
            </w:pPr>
            <w:r w:rsidRPr="008D7057">
              <w:rPr>
                <w:rFonts w:ascii="仿宋" w:eastAsia="仿宋" w:hAnsi="仿宋" w:hint="eastAsia"/>
                <w:sz w:val="24"/>
              </w:rPr>
              <w:t>1</w:t>
            </w:r>
          </w:p>
        </w:tc>
        <w:tc>
          <w:tcPr>
            <w:tcW w:w="684" w:type="pct"/>
            <w:vAlign w:val="center"/>
          </w:tcPr>
          <w:p w:rsidR="00C70F7A" w:rsidRPr="008D7057" w:rsidRDefault="00C70F7A" w:rsidP="00930372">
            <w:pPr>
              <w:widowControl/>
              <w:snapToGrid w:val="0"/>
              <w:spacing w:line="360" w:lineRule="atLeast"/>
              <w:jc w:val="center"/>
              <w:outlineLvl w:val="1"/>
              <w:rPr>
                <w:rFonts w:ascii="仿宋" w:eastAsia="仿宋" w:hAnsi="仿宋"/>
                <w:sz w:val="24"/>
              </w:rPr>
            </w:pPr>
            <w:r w:rsidRPr="008D7057">
              <w:rPr>
                <w:rFonts w:ascii="仿宋" w:eastAsia="仿宋" w:hAnsi="仿宋"/>
                <w:sz w:val="24"/>
              </w:rPr>
              <w:t>01</w:t>
            </w:r>
          </w:p>
        </w:tc>
        <w:tc>
          <w:tcPr>
            <w:tcW w:w="683" w:type="pct"/>
            <w:vAlign w:val="center"/>
          </w:tcPr>
          <w:p w:rsidR="00C70F7A" w:rsidRPr="008D7057" w:rsidRDefault="00C70F7A" w:rsidP="00930372">
            <w:pPr>
              <w:widowControl/>
              <w:snapToGrid w:val="0"/>
              <w:spacing w:line="360" w:lineRule="atLeast"/>
              <w:jc w:val="center"/>
              <w:outlineLvl w:val="1"/>
              <w:rPr>
                <w:rFonts w:ascii="仿宋" w:eastAsia="仿宋" w:hAnsi="仿宋"/>
                <w:sz w:val="24"/>
              </w:rPr>
            </w:pPr>
            <w:r w:rsidRPr="008D7057">
              <w:rPr>
                <w:rFonts w:ascii="仿宋" w:eastAsia="仿宋" w:hAnsi="仿宋" w:hint="eastAsia"/>
                <w:sz w:val="24"/>
              </w:rPr>
              <w:t>0</w:t>
            </w:r>
            <w:r w:rsidRPr="008D7057">
              <w:rPr>
                <w:rFonts w:ascii="仿宋" w:eastAsia="仿宋" w:hAnsi="仿宋"/>
                <w:sz w:val="24"/>
              </w:rPr>
              <w:t>1-01</w:t>
            </w:r>
          </w:p>
        </w:tc>
        <w:tc>
          <w:tcPr>
            <w:tcW w:w="1696" w:type="pct"/>
            <w:vAlign w:val="center"/>
          </w:tcPr>
          <w:p w:rsidR="00C70F7A" w:rsidRPr="008D7057" w:rsidRDefault="00C70F7A" w:rsidP="00930372">
            <w:pPr>
              <w:widowControl/>
              <w:snapToGrid w:val="0"/>
              <w:spacing w:line="360" w:lineRule="atLeast"/>
              <w:jc w:val="left"/>
              <w:outlineLvl w:val="1"/>
              <w:rPr>
                <w:rFonts w:ascii="仿宋" w:eastAsia="仿宋" w:hAnsi="仿宋"/>
                <w:sz w:val="24"/>
              </w:rPr>
            </w:pPr>
            <w:r w:rsidRPr="008D7057">
              <w:rPr>
                <w:rFonts w:ascii="仿宋" w:eastAsia="仿宋" w:hAnsi="仿宋" w:hint="eastAsia"/>
                <w:sz w:val="24"/>
              </w:rPr>
              <w:t>成都第31届世界大学生夏季运动会风险管理服务</w:t>
            </w:r>
          </w:p>
        </w:tc>
        <w:tc>
          <w:tcPr>
            <w:tcW w:w="1513" w:type="pct"/>
            <w:vAlign w:val="center"/>
          </w:tcPr>
          <w:p w:rsidR="00C70F7A" w:rsidRPr="008D7057" w:rsidRDefault="00C70F7A" w:rsidP="00930372">
            <w:pPr>
              <w:widowControl/>
              <w:snapToGrid w:val="0"/>
              <w:spacing w:line="360" w:lineRule="atLeast"/>
              <w:jc w:val="left"/>
              <w:outlineLvl w:val="1"/>
              <w:rPr>
                <w:rFonts w:ascii="仿宋" w:eastAsia="仿宋" w:hAnsi="仿宋"/>
                <w:sz w:val="24"/>
              </w:rPr>
            </w:pPr>
            <w:r w:rsidRPr="008D7057">
              <w:rPr>
                <w:rFonts w:ascii="仿宋" w:eastAsia="仿宋" w:hAnsi="仿宋" w:hint="eastAsia"/>
                <w:sz w:val="24"/>
              </w:rPr>
              <w:t>其他未列明行业</w:t>
            </w:r>
          </w:p>
        </w:tc>
      </w:tr>
    </w:tbl>
    <w:p w:rsidR="00C70F7A" w:rsidRPr="008D7057" w:rsidRDefault="00C70F7A" w:rsidP="00C70F7A">
      <w:pPr>
        <w:rPr>
          <w:rFonts w:ascii="仿宋" w:eastAsia="仿宋" w:hAnsi="仿宋"/>
        </w:rPr>
      </w:pPr>
    </w:p>
    <w:p w:rsidR="00C70F7A" w:rsidRPr="008D7057" w:rsidRDefault="00C70F7A" w:rsidP="00C70F7A">
      <w:pPr>
        <w:pStyle w:val="2"/>
        <w:spacing w:line="400" w:lineRule="exact"/>
        <w:ind w:firstLineChars="98" w:firstLine="236"/>
        <w:rPr>
          <w:rFonts w:ascii="仿宋" w:eastAsia="仿宋" w:hAnsi="仿宋"/>
          <w:sz w:val="24"/>
          <w:szCs w:val="24"/>
        </w:rPr>
      </w:pPr>
      <w:r w:rsidRPr="008D7057">
        <w:rPr>
          <w:rFonts w:ascii="仿宋" w:eastAsia="仿宋" w:hAnsi="仿宋" w:hint="eastAsia"/>
          <w:sz w:val="24"/>
          <w:szCs w:val="24"/>
        </w:rPr>
        <w:t>三、技术服务要求</w:t>
      </w:r>
    </w:p>
    <w:p w:rsidR="00C70F7A" w:rsidRPr="008D7057" w:rsidRDefault="00C70F7A" w:rsidP="00C70F7A">
      <w:pPr>
        <w:pStyle w:val="a4"/>
        <w:spacing w:line="360" w:lineRule="auto"/>
        <w:ind w:firstLine="482"/>
        <w:outlineLvl w:val="2"/>
        <w:rPr>
          <w:rFonts w:ascii="仿宋" w:eastAsia="仿宋" w:hAnsi="仿宋"/>
          <w:b/>
          <w:bCs/>
          <w:sz w:val="24"/>
        </w:rPr>
      </w:pPr>
      <w:r w:rsidRPr="008D7057">
        <w:rPr>
          <w:rFonts w:ascii="仿宋" w:eastAsia="仿宋" w:hAnsi="仿宋" w:hint="eastAsia"/>
          <w:b/>
          <w:bCs/>
          <w:sz w:val="24"/>
        </w:rPr>
        <w:t>（一）风险管理方面</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在采购人指导下，参考国内举办奥运会、亚运会等国际赛会的经验，结合成都的实际情况，开展成都大运会风险管理的相关工作，主要包括五方面：制定《成都大运会风险管理工作总体方案》，明确各部及各场馆在大运会风险管理工作中的各自定位与责任；识别、评估执委会各部（各业务口）及各场馆赛时运行的重大风险因素，形成成都大运会的风险清单；以风险清单为基础，协助执委会各部（各业务口）及各场馆编制应急预案（针对二级及三级场景）；编制赛时指挥部（MOC)应急预案（针对</w:t>
      </w:r>
      <w:proofErr w:type="gramStart"/>
      <w:r w:rsidRPr="008D7057">
        <w:rPr>
          <w:rFonts w:ascii="仿宋" w:eastAsia="仿宋" w:hAnsi="仿宋" w:hint="eastAsia"/>
          <w:bCs/>
          <w:sz w:val="24"/>
        </w:rPr>
        <w:t>一级事故</w:t>
      </w:r>
      <w:proofErr w:type="gramEnd"/>
      <w:r w:rsidRPr="008D7057">
        <w:rPr>
          <w:rFonts w:ascii="仿宋" w:eastAsia="仿宋" w:hAnsi="仿宋" w:hint="eastAsia"/>
          <w:bCs/>
          <w:sz w:val="24"/>
        </w:rPr>
        <w:t>场景），并协助赛时指挥部实施综合演练的应急管理模板；根据工作需要指导执委会各工作部（各业务口）及场馆应急管理工作。</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1.制定《成都大运会风险管理工作总体方案》</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清晰界定各部（FA）、各场馆与风险管理工作业务主管部门的各自职责，基本确定各部及各场馆（含MOC）应完成的工作任务及工作进度。</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2.识别、评估执委会各部（各业务口）及各场馆赛时运行的风险因素，形成</w:t>
      </w:r>
      <w:r w:rsidRPr="008D7057">
        <w:rPr>
          <w:rFonts w:ascii="仿宋" w:eastAsia="仿宋" w:hAnsi="仿宋" w:hint="eastAsia"/>
          <w:bCs/>
          <w:sz w:val="24"/>
        </w:rPr>
        <w:lastRenderedPageBreak/>
        <w:t>大运会赛时运行风险清单。</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（1）研发风险清单编制模板；</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（2）参照往届大型综合性赛会风险清单案例；</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（3）协助确定风险事故分级（一、二、三级）；</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（4）组织对执委会各部（各业务口）及各场馆开展集中培训；</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（5）协助执委会组织相关部门（业务口）及场馆填报并收集；</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（6）协助采购人评估、审核风险清单；</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（7）编制成册。</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3.协助执委会各部（各业务口）及各场馆，编制风险应急预案。</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（1）协助执委会各部（各业务口）及各场馆确定预案清单；</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（2）研发风险应急预案模板及往届赛会风险应急预案案例；</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（3）组织对执委会各部（各业务口）及各场馆开展集中培训；</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（4）协助执委会组织相关部门（业务口）及各场馆编制并收集；</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（5）对执委会各部（各业务口）及各场馆的风险应急预案进行审核、修改，并初步确定。</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4.编制赛时指挥部应急预案。</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（1）编制指挥部的风险清单；</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（2）确定指挥部的预案清单；</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（3）提供预案的</w:t>
      </w:r>
      <w:proofErr w:type="gramStart"/>
      <w:r w:rsidRPr="008D7057">
        <w:rPr>
          <w:rFonts w:ascii="仿宋" w:eastAsia="仿宋" w:hAnsi="仿宋" w:hint="eastAsia"/>
          <w:bCs/>
          <w:sz w:val="24"/>
        </w:rPr>
        <w:t>建议稿供指挥部</w:t>
      </w:r>
      <w:proofErr w:type="gramEnd"/>
      <w:r w:rsidRPr="008D7057">
        <w:rPr>
          <w:rFonts w:ascii="仿宋" w:eastAsia="仿宋" w:hAnsi="仿宋" w:hint="eastAsia"/>
          <w:bCs/>
          <w:sz w:val="24"/>
        </w:rPr>
        <w:t>确定。</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5.结合综合演练模拟演练应急管理工作。</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（1）编制模拟演练事故场景及方案；</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（2）协助组织应急管理的模拟演练。</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6.根据工作需要</w:t>
      </w:r>
      <w:proofErr w:type="gramStart"/>
      <w:r w:rsidRPr="008D7057">
        <w:rPr>
          <w:rFonts w:ascii="仿宋" w:eastAsia="仿宋" w:hAnsi="仿宋" w:hint="eastAsia"/>
          <w:bCs/>
          <w:sz w:val="24"/>
        </w:rPr>
        <w:t>适时指导</w:t>
      </w:r>
      <w:proofErr w:type="gramEnd"/>
      <w:r w:rsidRPr="008D7057">
        <w:rPr>
          <w:rFonts w:ascii="仿宋" w:eastAsia="仿宋" w:hAnsi="仿宋" w:hint="eastAsia"/>
          <w:bCs/>
          <w:sz w:val="24"/>
        </w:rPr>
        <w:t>各场馆应急管理工作。</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各部各场馆是自身风险管理工作的主责部门，成交人根据各部各场馆的实际工作需要，从技术角度适时</w:t>
      </w:r>
      <w:proofErr w:type="gramStart"/>
      <w:r w:rsidRPr="008D7057">
        <w:rPr>
          <w:rFonts w:ascii="仿宋" w:eastAsia="仿宋" w:hAnsi="仿宋" w:hint="eastAsia"/>
          <w:bCs/>
          <w:sz w:val="24"/>
        </w:rPr>
        <w:t>适度指导</w:t>
      </w:r>
      <w:proofErr w:type="gramEnd"/>
      <w:r w:rsidRPr="008D7057">
        <w:rPr>
          <w:rFonts w:ascii="仿宋" w:eastAsia="仿宋" w:hAnsi="仿宋" w:hint="eastAsia"/>
          <w:bCs/>
          <w:sz w:val="24"/>
        </w:rPr>
        <w:t>其风险管理工作。</w:t>
      </w:r>
    </w:p>
    <w:p w:rsidR="00C70F7A" w:rsidRPr="008D7057" w:rsidRDefault="00C70F7A" w:rsidP="00C70F7A">
      <w:pPr>
        <w:pStyle w:val="a4"/>
        <w:spacing w:line="360" w:lineRule="auto"/>
        <w:ind w:firstLine="482"/>
        <w:outlineLvl w:val="2"/>
        <w:rPr>
          <w:rFonts w:ascii="仿宋" w:eastAsia="仿宋" w:hAnsi="仿宋"/>
          <w:b/>
          <w:bCs/>
          <w:sz w:val="24"/>
        </w:rPr>
      </w:pPr>
      <w:r w:rsidRPr="008D7057">
        <w:rPr>
          <w:rFonts w:ascii="仿宋" w:eastAsia="仿宋" w:hAnsi="仿宋" w:hint="eastAsia"/>
          <w:b/>
          <w:bCs/>
          <w:sz w:val="24"/>
        </w:rPr>
        <w:t>（二）履约能力要求</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*1.成交人应当严格按照响应文件中承诺的拟派人员名单开展工作，团队人员至少5人，其中</w:t>
      </w:r>
      <w:proofErr w:type="gramStart"/>
      <w:r w:rsidRPr="008D7057">
        <w:rPr>
          <w:rFonts w:ascii="仿宋" w:eastAsia="仿宋" w:hAnsi="仿宋" w:hint="eastAsia"/>
          <w:bCs/>
          <w:sz w:val="24"/>
        </w:rPr>
        <w:t>派至少</w:t>
      </w:r>
      <w:proofErr w:type="gramEnd"/>
      <w:r w:rsidRPr="008D7057">
        <w:rPr>
          <w:rFonts w:ascii="仿宋" w:eastAsia="仿宋" w:hAnsi="仿宋" w:hint="eastAsia"/>
          <w:bCs/>
          <w:sz w:val="24"/>
        </w:rPr>
        <w:t>3人进驻成都大运会执委会集中办公区协助开展相关工作，并根据采购人要求或赛事筹备工作推进情况，增派人员负责具体工作。在特殊情况下可以用同等资历的人员代替，但应当事先得到采购人的批准；采购人有权要求成交人更换不合格的工作人员，成交人应当接受。</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*2.工作中各项资料要准确、完整，做好档案管理工作，方便采购人及相关部门使用。在未得到许可的情况下，不向任何第三方泄漏有关项目的任何资料和其他信息。</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lastRenderedPageBreak/>
        <w:t>3.保证在规定时间内完成服务工作，保证成果质量，并对本项目成果质量、进度控制负总责。</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*4.服务商所提交的成果文件中的文字、术语、代号、符号、数字、计量单位、标点均应当符合国家有关标准的规定。</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*5.成交人拟派人员在服务工作中必须严格遵守执业规则及合同相关约定，对资料、数据及信息严格保密。</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*6.若采购人发现服务商或者拟派人员在服务期限内被发现违纪违规行为，采购人有权解除合同。</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*7.成交人应通过各种措施和方法，消灭或减少各种风险事件发生的可能性，并在风险事件发生时尽量减少损失。如因服务商工作失误造成采购人损失的，成交人应承担责任。</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8.供应商提供后续服务的承诺（如协助做好赛后大运会风险管理工作总结等）。</w:t>
      </w:r>
    </w:p>
    <w:p w:rsidR="00C70F7A" w:rsidRPr="008D7057" w:rsidRDefault="00C70F7A" w:rsidP="00C70F7A">
      <w:pPr>
        <w:pStyle w:val="a4"/>
        <w:spacing w:line="400" w:lineRule="exact"/>
        <w:ind w:firstLine="480"/>
        <w:rPr>
          <w:rFonts w:ascii="仿宋" w:eastAsia="仿宋" w:hAnsi="仿宋"/>
          <w:bCs/>
          <w:sz w:val="24"/>
        </w:rPr>
      </w:pPr>
      <w:r w:rsidRPr="008D7057">
        <w:rPr>
          <w:rFonts w:ascii="仿宋" w:eastAsia="仿宋" w:hAnsi="仿宋" w:hint="eastAsia"/>
          <w:bCs/>
          <w:sz w:val="24"/>
        </w:rPr>
        <w:t>9.提出</w:t>
      </w:r>
      <w:r w:rsidRPr="008D7057">
        <w:rPr>
          <w:rFonts w:ascii="仿宋" w:eastAsia="仿宋" w:hAnsi="仿宋" w:hint="eastAsia"/>
          <w:bCs/>
          <w:sz w:val="24"/>
          <w:lang w:val="zh-TW"/>
        </w:rPr>
        <w:t>大型赛事风险管理服务的理解，提出本</w:t>
      </w:r>
      <w:r w:rsidRPr="008D7057">
        <w:rPr>
          <w:rFonts w:ascii="仿宋" w:eastAsia="仿宋" w:hAnsi="仿宋" w:hint="eastAsia"/>
          <w:bCs/>
          <w:sz w:val="24"/>
        </w:rPr>
        <w:t>项目特点、实施重点、难点问题及其深入分析供评审。</w:t>
      </w:r>
    </w:p>
    <w:p w:rsidR="00C70F7A" w:rsidRPr="008D7057" w:rsidRDefault="00C70F7A" w:rsidP="00C70F7A">
      <w:pPr>
        <w:pStyle w:val="a4"/>
        <w:spacing w:line="360" w:lineRule="auto"/>
        <w:ind w:firstLine="482"/>
        <w:outlineLvl w:val="2"/>
        <w:rPr>
          <w:rFonts w:ascii="仿宋" w:eastAsia="仿宋" w:hAnsi="仿宋"/>
          <w:b/>
          <w:bCs/>
          <w:sz w:val="24"/>
        </w:rPr>
      </w:pPr>
      <w:r w:rsidRPr="008D7057">
        <w:rPr>
          <w:rFonts w:ascii="仿宋" w:eastAsia="仿宋" w:hAnsi="仿宋" w:hint="eastAsia"/>
          <w:b/>
          <w:bCs/>
          <w:sz w:val="24"/>
        </w:rPr>
        <w:t>（三）计划服务时间</w:t>
      </w:r>
    </w:p>
    <w:tbl>
      <w:tblPr>
        <w:tblStyle w:val="a6"/>
        <w:tblW w:w="0" w:type="auto"/>
        <w:tblLook w:val="04A0" w:firstRow="1" w:lastRow="0" w:firstColumn="1" w:lastColumn="0" w:noHBand="0" w:noVBand="1"/>
      </w:tblPr>
      <w:tblGrid>
        <w:gridCol w:w="5949"/>
        <w:gridCol w:w="2347"/>
      </w:tblGrid>
      <w:tr w:rsidR="00C70F7A" w:rsidRPr="008D7057" w:rsidTr="00930372">
        <w:tc>
          <w:tcPr>
            <w:tcW w:w="5949" w:type="dxa"/>
          </w:tcPr>
          <w:p w:rsidR="00C70F7A" w:rsidRPr="008D7057" w:rsidRDefault="00C70F7A" w:rsidP="00930372">
            <w:pPr>
              <w:pStyle w:val="a4"/>
              <w:spacing w:line="400" w:lineRule="exact"/>
              <w:ind w:firstLine="480"/>
              <w:rPr>
                <w:rFonts w:ascii="仿宋" w:eastAsia="仿宋" w:hAnsi="仿宋"/>
                <w:bCs/>
                <w:sz w:val="24"/>
              </w:rPr>
            </w:pPr>
            <w:r w:rsidRPr="008D7057">
              <w:rPr>
                <w:rFonts w:ascii="仿宋" w:eastAsia="仿宋" w:hAnsi="仿宋" w:hint="eastAsia"/>
                <w:bCs/>
                <w:sz w:val="24"/>
              </w:rPr>
              <w:t>服务项目</w:t>
            </w:r>
          </w:p>
        </w:tc>
        <w:tc>
          <w:tcPr>
            <w:tcW w:w="2347" w:type="dxa"/>
          </w:tcPr>
          <w:p w:rsidR="00C70F7A" w:rsidRPr="008D7057" w:rsidRDefault="00C70F7A" w:rsidP="00930372">
            <w:pPr>
              <w:pStyle w:val="a4"/>
              <w:spacing w:line="400" w:lineRule="exact"/>
              <w:ind w:firstLine="480"/>
              <w:rPr>
                <w:rFonts w:ascii="仿宋" w:eastAsia="仿宋" w:hAnsi="仿宋"/>
                <w:bCs/>
                <w:sz w:val="24"/>
              </w:rPr>
            </w:pPr>
            <w:r w:rsidRPr="008D7057">
              <w:rPr>
                <w:rFonts w:ascii="仿宋" w:eastAsia="仿宋" w:hAnsi="仿宋" w:hint="eastAsia"/>
                <w:bCs/>
                <w:sz w:val="24"/>
              </w:rPr>
              <w:t>计划完成时间</w:t>
            </w:r>
          </w:p>
        </w:tc>
      </w:tr>
      <w:tr w:rsidR="00C70F7A" w:rsidRPr="008D7057" w:rsidTr="00930372">
        <w:tc>
          <w:tcPr>
            <w:tcW w:w="8296" w:type="dxa"/>
            <w:gridSpan w:val="2"/>
          </w:tcPr>
          <w:p w:rsidR="00C70F7A" w:rsidRPr="008D7057" w:rsidRDefault="00C70F7A" w:rsidP="00930372">
            <w:pPr>
              <w:pStyle w:val="a4"/>
              <w:spacing w:line="400" w:lineRule="exact"/>
              <w:ind w:firstLine="480"/>
              <w:rPr>
                <w:rFonts w:ascii="仿宋" w:eastAsia="仿宋" w:hAnsi="仿宋"/>
                <w:bCs/>
                <w:sz w:val="24"/>
              </w:rPr>
            </w:pPr>
            <w:r w:rsidRPr="008D7057">
              <w:rPr>
                <w:rFonts w:ascii="仿宋" w:eastAsia="仿宋" w:hAnsi="仿宋" w:hint="eastAsia"/>
                <w:bCs/>
                <w:sz w:val="24"/>
              </w:rPr>
              <w:t>风险管理方面</w:t>
            </w:r>
          </w:p>
        </w:tc>
      </w:tr>
      <w:tr w:rsidR="00C70F7A" w:rsidRPr="008D7057" w:rsidTr="00930372">
        <w:tc>
          <w:tcPr>
            <w:tcW w:w="5949" w:type="dxa"/>
          </w:tcPr>
          <w:p w:rsidR="00C70F7A" w:rsidRPr="008D7057" w:rsidRDefault="00C70F7A" w:rsidP="00930372">
            <w:pPr>
              <w:pStyle w:val="a4"/>
              <w:spacing w:line="400" w:lineRule="exact"/>
              <w:ind w:firstLine="480"/>
              <w:rPr>
                <w:rFonts w:ascii="仿宋" w:eastAsia="仿宋" w:hAnsi="仿宋"/>
                <w:bCs/>
                <w:sz w:val="24"/>
              </w:rPr>
            </w:pPr>
            <w:r w:rsidRPr="008D7057">
              <w:rPr>
                <w:rFonts w:ascii="仿宋" w:eastAsia="仿宋" w:hAnsi="仿宋" w:hint="eastAsia"/>
                <w:bCs/>
                <w:sz w:val="24"/>
              </w:rPr>
              <w:t>1.制定《成都大运会风险管理工作总体方案》</w:t>
            </w:r>
          </w:p>
        </w:tc>
        <w:tc>
          <w:tcPr>
            <w:tcW w:w="2347" w:type="dxa"/>
          </w:tcPr>
          <w:p w:rsidR="00C70F7A" w:rsidRPr="008D7057" w:rsidRDefault="00C70F7A" w:rsidP="00930372">
            <w:pPr>
              <w:pStyle w:val="a4"/>
              <w:spacing w:line="400" w:lineRule="exact"/>
              <w:ind w:firstLineChars="0" w:firstLine="0"/>
              <w:rPr>
                <w:rFonts w:ascii="仿宋" w:eastAsia="仿宋" w:hAnsi="仿宋"/>
                <w:bCs/>
                <w:sz w:val="24"/>
              </w:rPr>
            </w:pPr>
            <w:r w:rsidRPr="008D7057">
              <w:rPr>
                <w:rFonts w:ascii="仿宋" w:eastAsia="仿宋" w:hAnsi="仿宋" w:hint="eastAsia"/>
                <w:bCs/>
                <w:sz w:val="24"/>
              </w:rPr>
              <w:t>2022年2月</w:t>
            </w:r>
          </w:p>
        </w:tc>
      </w:tr>
      <w:tr w:rsidR="00C70F7A" w:rsidRPr="008D7057" w:rsidTr="00930372">
        <w:tc>
          <w:tcPr>
            <w:tcW w:w="5949" w:type="dxa"/>
          </w:tcPr>
          <w:p w:rsidR="00C70F7A" w:rsidRPr="008D7057" w:rsidRDefault="00C70F7A" w:rsidP="00930372">
            <w:pPr>
              <w:pStyle w:val="a4"/>
              <w:spacing w:line="400" w:lineRule="exact"/>
              <w:ind w:firstLine="480"/>
              <w:rPr>
                <w:rFonts w:ascii="仿宋" w:eastAsia="仿宋" w:hAnsi="仿宋"/>
                <w:bCs/>
                <w:sz w:val="24"/>
              </w:rPr>
            </w:pPr>
            <w:r w:rsidRPr="008D7057">
              <w:rPr>
                <w:rFonts w:ascii="仿宋" w:eastAsia="仿宋" w:hAnsi="仿宋" w:hint="eastAsia"/>
                <w:bCs/>
                <w:sz w:val="24"/>
              </w:rPr>
              <w:t>2.识别、评估执委会各部（各业务口）及各场馆赛时运行的风险因素，形成大运会赛时运行风险清单。</w:t>
            </w:r>
          </w:p>
        </w:tc>
        <w:tc>
          <w:tcPr>
            <w:tcW w:w="2347" w:type="dxa"/>
          </w:tcPr>
          <w:p w:rsidR="00C70F7A" w:rsidRPr="008D7057" w:rsidRDefault="00C70F7A" w:rsidP="00930372">
            <w:pPr>
              <w:pStyle w:val="a4"/>
              <w:spacing w:line="400" w:lineRule="exact"/>
              <w:ind w:firstLineChars="0" w:firstLine="0"/>
              <w:rPr>
                <w:rFonts w:ascii="仿宋" w:eastAsia="仿宋" w:hAnsi="仿宋"/>
                <w:bCs/>
                <w:sz w:val="24"/>
              </w:rPr>
            </w:pPr>
            <w:r w:rsidRPr="008D7057">
              <w:rPr>
                <w:rFonts w:ascii="仿宋" w:eastAsia="仿宋" w:hAnsi="仿宋" w:hint="eastAsia"/>
                <w:bCs/>
                <w:sz w:val="24"/>
              </w:rPr>
              <w:t>2022年2月-3月</w:t>
            </w:r>
          </w:p>
        </w:tc>
      </w:tr>
      <w:tr w:rsidR="00C70F7A" w:rsidRPr="008D7057" w:rsidTr="00930372">
        <w:tc>
          <w:tcPr>
            <w:tcW w:w="5949" w:type="dxa"/>
          </w:tcPr>
          <w:p w:rsidR="00C70F7A" w:rsidRPr="008D7057" w:rsidRDefault="00C70F7A" w:rsidP="00930372">
            <w:pPr>
              <w:pStyle w:val="a4"/>
              <w:spacing w:line="400" w:lineRule="exact"/>
              <w:ind w:firstLine="480"/>
              <w:rPr>
                <w:rFonts w:ascii="仿宋" w:eastAsia="仿宋" w:hAnsi="仿宋"/>
                <w:bCs/>
                <w:sz w:val="24"/>
              </w:rPr>
            </w:pPr>
            <w:r w:rsidRPr="008D7057">
              <w:rPr>
                <w:rFonts w:ascii="仿宋" w:eastAsia="仿宋" w:hAnsi="仿宋" w:hint="eastAsia"/>
                <w:bCs/>
                <w:sz w:val="24"/>
              </w:rPr>
              <w:t>3.协助执委会各部（各业务口）及各场馆，编制风险应急预案。</w:t>
            </w:r>
          </w:p>
        </w:tc>
        <w:tc>
          <w:tcPr>
            <w:tcW w:w="2347" w:type="dxa"/>
          </w:tcPr>
          <w:p w:rsidR="00C70F7A" w:rsidRPr="008D7057" w:rsidRDefault="00C70F7A" w:rsidP="00930372">
            <w:pPr>
              <w:pStyle w:val="a4"/>
              <w:spacing w:line="400" w:lineRule="exact"/>
              <w:ind w:firstLineChars="0" w:firstLine="0"/>
              <w:rPr>
                <w:rFonts w:ascii="仿宋" w:eastAsia="仿宋" w:hAnsi="仿宋"/>
                <w:bCs/>
                <w:sz w:val="24"/>
              </w:rPr>
            </w:pPr>
            <w:r w:rsidRPr="008D7057">
              <w:rPr>
                <w:rFonts w:ascii="仿宋" w:eastAsia="仿宋" w:hAnsi="仿宋" w:hint="eastAsia"/>
                <w:bCs/>
                <w:sz w:val="24"/>
              </w:rPr>
              <w:t>2022年2月-3月</w:t>
            </w:r>
          </w:p>
        </w:tc>
      </w:tr>
      <w:tr w:rsidR="00C70F7A" w:rsidRPr="008D7057" w:rsidTr="00930372">
        <w:tc>
          <w:tcPr>
            <w:tcW w:w="5949" w:type="dxa"/>
          </w:tcPr>
          <w:p w:rsidR="00C70F7A" w:rsidRPr="008D7057" w:rsidRDefault="00C70F7A" w:rsidP="00930372">
            <w:pPr>
              <w:pStyle w:val="a4"/>
              <w:spacing w:line="400" w:lineRule="exact"/>
              <w:ind w:firstLine="480"/>
              <w:rPr>
                <w:rFonts w:ascii="仿宋" w:eastAsia="仿宋" w:hAnsi="仿宋"/>
                <w:bCs/>
                <w:sz w:val="24"/>
              </w:rPr>
            </w:pPr>
            <w:r w:rsidRPr="008D7057">
              <w:rPr>
                <w:rFonts w:ascii="仿宋" w:eastAsia="仿宋" w:hAnsi="仿宋" w:hint="eastAsia"/>
                <w:bCs/>
                <w:sz w:val="24"/>
              </w:rPr>
              <w:t>4.编制赛时指挥部编制应急预案。</w:t>
            </w:r>
          </w:p>
        </w:tc>
        <w:tc>
          <w:tcPr>
            <w:tcW w:w="2347" w:type="dxa"/>
          </w:tcPr>
          <w:p w:rsidR="00C70F7A" w:rsidRPr="008D7057" w:rsidRDefault="00C70F7A" w:rsidP="00930372">
            <w:pPr>
              <w:pStyle w:val="a4"/>
              <w:spacing w:line="400" w:lineRule="exact"/>
              <w:ind w:firstLineChars="0" w:firstLine="0"/>
              <w:rPr>
                <w:rFonts w:ascii="仿宋" w:eastAsia="仿宋" w:hAnsi="仿宋"/>
                <w:bCs/>
                <w:sz w:val="24"/>
              </w:rPr>
            </w:pPr>
            <w:r w:rsidRPr="008D7057">
              <w:rPr>
                <w:rFonts w:ascii="仿宋" w:eastAsia="仿宋" w:hAnsi="仿宋" w:hint="eastAsia"/>
                <w:bCs/>
                <w:sz w:val="24"/>
              </w:rPr>
              <w:t>2022年3月</w:t>
            </w:r>
          </w:p>
        </w:tc>
      </w:tr>
      <w:tr w:rsidR="00C70F7A" w:rsidRPr="008D7057" w:rsidTr="00930372">
        <w:tc>
          <w:tcPr>
            <w:tcW w:w="5949" w:type="dxa"/>
          </w:tcPr>
          <w:p w:rsidR="00C70F7A" w:rsidRPr="008D7057" w:rsidRDefault="00C70F7A" w:rsidP="00930372">
            <w:pPr>
              <w:pStyle w:val="a4"/>
              <w:spacing w:line="400" w:lineRule="exact"/>
              <w:ind w:firstLine="480"/>
              <w:rPr>
                <w:rFonts w:ascii="仿宋" w:eastAsia="仿宋" w:hAnsi="仿宋"/>
                <w:bCs/>
                <w:sz w:val="24"/>
              </w:rPr>
            </w:pPr>
            <w:r w:rsidRPr="008D7057">
              <w:rPr>
                <w:rFonts w:ascii="仿宋" w:eastAsia="仿宋" w:hAnsi="仿宋" w:hint="eastAsia"/>
                <w:bCs/>
                <w:sz w:val="24"/>
              </w:rPr>
              <w:t>5.结合综合演练模拟演练应急管理工作。</w:t>
            </w:r>
          </w:p>
        </w:tc>
        <w:tc>
          <w:tcPr>
            <w:tcW w:w="2347" w:type="dxa"/>
          </w:tcPr>
          <w:p w:rsidR="00C70F7A" w:rsidRPr="008D7057" w:rsidRDefault="00C70F7A" w:rsidP="00930372">
            <w:pPr>
              <w:pStyle w:val="a4"/>
              <w:spacing w:line="400" w:lineRule="exact"/>
              <w:ind w:firstLineChars="0" w:firstLine="0"/>
              <w:rPr>
                <w:rFonts w:ascii="仿宋" w:eastAsia="仿宋" w:hAnsi="仿宋"/>
                <w:bCs/>
                <w:sz w:val="24"/>
              </w:rPr>
            </w:pPr>
            <w:r w:rsidRPr="008D7057">
              <w:rPr>
                <w:rFonts w:ascii="仿宋" w:eastAsia="仿宋" w:hAnsi="仿宋" w:hint="eastAsia"/>
                <w:bCs/>
                <w:sz w:val="24"/>
              </w:rPr>
              <w:t>2022年5月</w:t>
            </w:r>
          </w:p>
        </w:tc>
      </w:tr>
      <w:tr w:rsidR="00C70F7A" w:rsidRPr="008D7057" w:rsidTr="00930372">
        <w:tc>
          <w:tcPr>
            <w:tcW w:w="5949" w:type="dxa"/>
          </w:tcPr>
          <w:p w:rsidR="00C70F7A" w:rsidRPr="008D7057" w:rsidRDefault="00C70F7A" w:rsidP="00930372">
            <w:pPr>
              <w:pStyle w:val="a4"/>
              <w:spacing w:line="400" w:lineRule="exact"/>
              <w:ind w:firstLine="480"/>
              <w:rPr>
                <w:rFonts w:ascii="仿宋" w:eastAsia="仿宋" w:hAnsi="仿宋"/>
                <w:bCs/>
                <w:sz w:val="24"/>
              </w:rPr>
            </w:pPr>
            <w:r w:rsidRPr="008D7057">
              <w:rPr>
                <w:rFonts w:ascii="仿宋" w:eastAsia="仿宋" w:hAnsi="仿宋" w:hint="eastAsia"/>
                <w:bCs/>
                <w:sz w:val="24"/>
              </w:rPr>
              <w:t>6.根据工作需要</w:t>
            </w:r>
            <w:proofErr w:type="gramStart"/>
            <w:r w:rsidRPr="008D7057">
              <w:rPr>
                <w:rFonts w:ascii="仿宋" w:eastAsia="仿宋" w:hAnsi="仿宋" w:hint="eastAsia"/>
                <w:bCs/>
                <w:sz w:val="24"/>
              </w:rPr>
              <w:t>适时指导</w:t>
            </w:r>
            <w:proofErr w:type="gramEnd"/>
            <w:r w:rsidRPr="008D7057">
              <w:rPr>
                <w:rFonts w:ascii="仿宋" w:eastAsia="仿宋" w:hAnsi="仿宋" w:hint="eastAsia"/>
                <w:bCs/>
                <w:sz w:val="24"/>
              </w:rPr>
              <w:t>各场馆应急管理工作。</w:t>
            </w:r>
          </w:p>
        </w:tc>
        <w:tc>
          <w:tcPr>
            <w:tcW w:w="2347" w:type="dxa"/>
          </w:tcPr>
          <w:p w:rsidR="00C70F7A" w:rsidRPr="008D7057" w:rsidRDefault="00C70F7A" w:rsidP="00930372">
            <w:pPr>
              <w:pStyle w:val="a4"/>
              <w:spacing w:line="400" w:lineRule="exact"/>
              <w:ind w:firstLineChars="0" w:firstLine="0"/>
              <w:rPr>
                <w:rFonts w:ascii="仿宋" w:eastAsia="仿宋" w:hAnsi="仿宋"/>
                <w:bCs/>
                <w:sz w:val="24"/>
              </w:rPr>
            </w:pPr>
            <w:r w:rsidRPr="008D7057">
              <w:rPr>
                <w:rFonts w:ascii="仿宋" w:eastAsia="仿宋" w:hAnsi="仿宋" w:hint="eastAsia"/>
                <w:bCs/>
                <w:sz w:val="24"/>
              </w:rPr>
              <w:t>2022年2月-7月</w:t>
            </w:r>
          </w:p>
        </w:tc>
      </w:tr>
    </w:tbl>
    <w:p w:rsidR="00C70F7A" w:rsidRPr="008D7057" w:rsidRDefault="00C70F7A" w:rsidP="00C70F7A">
      <w:pPr>
        <w:pStyle w:val="a4"/>
        <w:spacing w:line="400" w:lineRule="exact"/>
        <w:ind w:firstLineChars="0" w:firstLine="0"/>
        <w:rPr>
          <w:rFonts w:ascii="仿宋" w:eastAsia="仿宋" w:hAnsi="仿宋"/>
          <w:bCs/>
          <w:sz w:val="24"/>
        </w:rPr>
      </w:pPr>
    </w:p>
    <w:p w:rsidR="00C70F7A" w:rsidRPr="008D7057" w:rsidRDefault="00C70F7A" w:rsidP="00C70F7A">
      <w:pPr>
        <w:pStyle w:val="a4"/>
        <w:spacing w:line="360" w:lineRule="auto"/>
        <w:ind w:firstLine="480"/>
        <w:rPr>
          <w:rFonts w:ascii="仿宋" w:eastAsia="仿宋" w:hAnsi="仿宋"/>
          <w:sz w:val="24"/>
        </w:rPr>
      </w:pPr>
    </w:p>
    <w:p w:rsidR="00C70F7A" w:rsidRPr="008D7057" w:rsidRDefault="00C70F7A" w:rsidP="00C70F7A">
      <w:pPr>
        <w:pStyle w:val="2"/>
        <w:spacing w:line="400" w:lineRule="exact"/>
        <w:ind w:firstLineChars="98" w:firstLine="236"/>
        <w:rPr>
          <w:rFonts w:ascii="仿宋" w:eastAsia="仿宋" w:hAnsi="仿宋"/>
          <w:sz w:val="24"/>
          <w:szCs w:val="24"/>
        </w:rPr>
      </w:pPr>
      <w:r w:rsidRPr="008D7057">
        <w:rPr>
          <w:rFonts w:ascii="仿宋" w:eastAsia="仿宋" w:hAnsi="仿宋" w:hint="eastAsia"/>
          <w:sz w:val="24"/>
          <w:szCs w:val="24"/>
        </w:rPr>
        <w:t>*四、商务要求</w:t>
      </w:r>
    </w:p>
    <w:p w:rsidR="00C70F7A" w:rsidRPr="008D7057" w:rsidRDefault="00C70F7A" w:rsidP="00C70F7A">
      <w:pPr>
        <w:pStyle w:val="a4"/>
        <w:spacing w:line="360" w:lineRule="auto"/>
        <w:ind w:firstLine="482"/>
        <w:outlineLvl w:val="2"/>
        <w:rPr>
          <w:rFonts w:ascii="仿宋" w:eastAsia="仿宋" w:hAnsi="仿宋"/>
          <w:b/>
          <w:bCs/>
          <w:sz w:val="24"/>
        </w:rPr>
      </w:pPr>
      <w:r w:rsidRPr="008D7057">
        <w:rPr>
          <w:rFonts w:ascii="仿宋" w:eastAsia="仿宋" w:hAnsi="仿宋" w:hint="eastAsia"/>
          <w:b/>
          <w:bCs/>
          <w:sz w:val="24"/>
        </w:rPr>
        <w:t>（一）服务期限：自合同签订起至成都大运会结束</w:t>
      </w:r>
    </w:p>
    <w:p w:rsidR="00C70F7A" w:rsidRPr="008D7057" w:rsidRDefault="00C70F7A" w:rsidP="00C70F7A">
      <w:pPr>
        <w:pStyle w:val="a4"/>
        <w:spacing w:line="360" w:lineRule="auto"/>
        <w:ind w:firstLine="480"/>
        <w:rPr>
          <w:rFonts w:ascii="仿宋" w:eastAsia="仿宋" w:hAnsi="仿宋"/>
          <w:sz w:val="24"/>
        </w:rPr>
      </w:pPr>
      <w:r w:rsidRPr="008D7057">
        <w:rPr>
          <w:rFonts w:ascii="仿宋" w:eastAsia="仿宋" w:hAnsi="仿宋" w:hint="eastAsia"/>
          <w:sz w:val="24"/>
        </w:rPr>
        <w:t>（1）成果提交时限：各项风险管理工作成果应依据既定计划按时完成，并根据成都第31届世界大学生夏季运动会执行委员会的要求调整；</w:t>
      </w:r>
    </w:p>
    <w:p w:rsidR="00C70F7A" w:rsidRPr="008D7057" w:rsidRDefault="00C70F7A" w:rsidP="00C70F7A">
      <w:pPr>
        <w:pStyle w:val="a4"/>
        <w:spacing w:line="360" w:lineRule="auto"/>
        <w:ind w:firstLine="480"/>
        <w:rPr>
          <w:rFonts w:ascii="仿宋" w:eastAsia="仿宋" w:hAnsi="仿宋"/>
          <w:sz w:val="24"/>
        </w:rPr>
      </w:pPr>
      <w:r w:rsidRPr="008D7057">
        <w:rPr>
          <w:rFonts w:ascii="仿宋" w:eastAsia="仿宋" w:hAnsi="仿宋" w:hint="eastAsia"/>
          <w:sz w:val="24"/>
        </w:rPr>
        <w:lastRenderedPageBreak/>
        <w:t>（2）在服务期内，成交人向采购人提供成果修订，组织专家培训指导等一系列后续服务。服务期外，成交人也须持续为成果落地实施提供服务支持。</w:t>
      </w:r>
    </w:p>
    <w:p w:rsidR="00C70F7A" w:rsidRPr="008D7057" w:rsidRDefault="00C70F7A" w:rsidP="00C70F7A">
      <w:pPr>
        <w:pStyle w:val="a4"/>
        <w:spacing w:line="360" w:lineRule="auto"/>
        <w:ind w:firstLine="482"/>
        <w:outlineLvl w:val="2"/>
        <w:rPr>
          <w:rFonts w:ascii="仿宋" w:eastAsia="仿宋" w:hAnsi="仿宋"/>
          <w:b/>
          <w:bCs/>
          <w:sz w:val="24"/>
        </w:rPr>
      </w:pPr>
      <w:r w:rsidRPr="008D7057">
        <w:rPr>
          <w:rFonts w:ascii="仿宋" w:eastAsia="仿宋" w:hAnsi="仿宋" w:hint="eastAsia"/>
          <w:b/>
          <w:bCs/>
          <w:sz w:val="24"/>
        </w:rPr>
        <w:t>（二）付款方式：</w:t>
      </w:r>
    </w:p>
    <w:p w:rsidR="00C70F7A" w:rsidRPr="008D7057" w:rsidRDefault="00C70F7A" w:rsidP="00C70F7A">
      <w:pPr>
        <w:pStyle w:val="a4"/>
        <w:spacing w:line="360" w:lineRule="auto"/>
        <w:ind w:firstLine="480"/>
        <w:rPr>
          <w:rFonts w:ascii="仿宋" w:eastAsia="仿宋" w:hAnsi="仿宋"/>
          <w:sz w:val="24"/>
        </w:rPr>
      </w:pPr>
      <w:r w:rsidRPr="008D7057">
        <w:rPr>
          <w:rFonts w:ascii="仿宋" w:eastAsia="仿宋" w:hAnsi="仿宋" w:hint="eastAsia"/>
          <w:sz w:val="24"/>
        </w:rPr>
        <w:t>（1）签订合同后10个工作日内预付30%的合同金额，验收合格后支付剩余款项。</w:t>
      </w:r>
    </w:p>
    <w:p w:rsidR="00C70F7A" w:rsidRPr="008D7057" w:rsidRDefault="00C70F7A" w:rsidP="00C70F7A">
      <w:pPr>
        <w:pStyle w:val="a4"/>
        <w:spacing w:line="360" w:lineRule="auto"/>
        <w:ind w:firstLine="480"/>
        <w:rPr>
          <w:rFonts w:ascii="仿宋" w:eastAsia="仿宋" w:hAnsi="仿宋"/>
          <w:sz w:val="24"/>
        </w:rPr>
      </w:pPr>
      <w:r w:rsidRPr="008D7057">
        <w:rPr>
          <w:rFonts w:ascii="仿宋" w:eastAsia="仿宋" w:hAnsi="仿宋" w:hint="eastAsia"/>
          <w:sz w:val="24"/>
        </w:rPr>
        <w:t>（2）付款时，供应商应提供符合交付项目清单的正规发票后10个工作日内支付。</w:t>
      </w:r>
    </w:p>
    <w:p w:rsidR="00C70F7A" w:rsidRPr="008D7057" w:rsidRDefault="00C70F7A" w:rsidP="00C70F7A">
      <w:pPr>
        <w:pStyle w:val="a4"/>
        <w:spacing w:line="360" w:lineRule="auto"/>
        <w:ind w:firstLine="482"/>
        <w:outlineLvl w:val="2"/>
        <w:rPr>
          <w:rFonts w:ascii="仿宋" w:eastAsia="仿宋" w:hAnsi="仿宋"/>
          <w:b/>
          <w:bCs/>
          <w:sz w:val="24"/>
        </w:rPr>
      </w:pPr>
      <w:r w:rsidRPr="008D7057">
        <w:rPr>
          <w:rFonts w:ascii="仿宋" w:eastAsia="仿宋" w:hAnsi="仿宋" w:hint="eastAsia"/>
          <w:b/>
          <w:bCs/>
          <w:sz w:val="24"/>
        </w:rPr>
        <w:t>（三）验收</w:t>
      </w:r>
    </w:p>
    <w:p w:rsidR="00C70F7A" w:rsidRPr="008D7057" w:rsidRDefault="00C70F7A" w:rsidP="00C70F7A">
      <w:pPr>
        <w:pStyle w:val="a4"/>
        <w:spacing w:line="360" w:lineRule="auto"/>
        <w:ind w:firstLine="480"/>
        <w:rPr>
          <w:rFonts w:ascii="仿宋" w:eastAsia="仿宋" w:hAnsi="仿宋"/>
          <w:sz w:val="24"/>
        </w:rPr>
      </w:pPr>
      <w:r w:rsidRPr="008D7057">
        <w:rPr>
          <w:rFonts w:ascii="仿宋" w:eastAsia="仿宋" w:hAnsi="仿宋" w:hint="eastAsia"/>
          <w:sz w:val="24"/>
        </w:rPr>
        <w:t>1、本项目由采购人单位内部组织一次性验收。</w:t>
      </w:r>
    </w:p>
    <w:p w:rsidR="00C70F7A" w:rsidRPr="008D7057" w:rsidRDefault="00C70F7A" w:rsidP="00C70F7A">
      <w:pPr>
        <w:pStyle w:val="a4"/>
        <w:spacing w:line="360" w:lineRule="auto"/>
        <w:ind w:firstLine="480"/>
        <w:rPr>
          <w:rFonts w:ascii="仿宋" w:eastAsia="仿宋" w:hAnsi="仿宋"/>
          <w:sz w:val="24"/>
        </w:rPr>
      </w:pPr>
      <w:r w:rsidRPr="008D7057">
        <w:rPr>
          <w:rFonts w:ascii="仿宋" w:eastAsia="仿宋" w:hAnsi="仿宋" w:hint="eastAsia"/>
          <w:sz w:val="24"/>
        </w:rPr>
        <w:t>2、本项目将严格按照《财政部关于进一步加强政府采购需求和履约验收管理的指导意见》（财库〔2016〕205号）等政府采购相关法律法规的要求及专业标准、本项目服务要求和供应商应答等内容，进行验收。</w:t>
      </w:r>
    </w:p>
    <w:p w:rsidR="00C70F7A" w:rsidRPr="008D7057" w:rsidRDefault="00C70F7A" w:rsidP="00C70F7A">
      <w:pPr>
        <w:pStyle w:val="a4"/>
        <w:spacing w:line="360" w:lineRule="auto"/>
        <w:ind w:firstLine="482"/>
        <w:outlineLvl w:val="2"/>
        <w:rPr>
          <w:rFonts w:ascii="仿宋" w:eastAsia="仿宋" w:hAnsi="仿宋"/>
          <w:b/>
          <w:sz w:val="24"/>
        </w:rPr>
      </w:pPr>
      <w:r w:rsidRPr="008D7057">
        <w:rPr>
          <w:rFonts w:ascii="仿宋" w:eastAsia="仿宋" w:hAnsi="仿宋" w:hint="eastAsia"/>
          <w:b/>
          <w:sz w:val="24"/>
        </w:rPr>
        <w:t>（四）其他要求</w:t>
      </w:r>
    </w:p>
    <w:p w:rsidR="00C70F7A" w:rsidRPr="008D7057" w:rsidRDefault="00C70F7A" w:rsidP="00C70F7A">
      <w:pPr>
        <w:pStyle w:val="a4"/>
        <w:spacing w:line="360" w:lineRule="auto"/>
        <w:ind w:firstLine="480"/>
        <w:rPr>
          <w:rFonts w:ascii="仿宋" w:eastAsia="仿宋" w:hAnsi="仿宋"/>
          <w:sz w:val="24"/>
        </w:rPr>
      </w:pPr>
      <w:r w:rsidRPr="008D7057">
        <w:rPr>
          <w:rFonts w:ascii="仿宋" w:eastAsia="仿宋" w:hAnsi="仿宋" w:hint="eastAsia"/>
          <w:sz w:val="24"/>
        </w:rPr>
        <w:t>1</w:t>
      </w:r>
      <w:r w:rsidRPr="008D7057">
        <w:rPr>
          <w:rFonts w:ascii="仿宋" w:eastAsia="仿宋" w:hAnsi="仿宋"/>
          <w:sz w:val="24"/>
        </w:rPr>
        <w:t>.</w:t>
      </w:r>
      <w:r w:rsidRPr="008D7057">
        <w:rPr>
          <w:rFonts w:ascii="仿宋" w:eastAsia="仿宋" w:hAnsi="仿宋" w:hint="eastAsia"/>
          <w:sz w:val="24"/>
        </w:rPr>
        <w:t>本项目报价采取包干价形式，包括与服务工作有关的技术及咨询论证的全部费用及有关工作人员的交通、食宿费用。</w:t>
      </w:r>
    </w:p>
    <w:p w:rsidR="00C70F7A" w:rsidRPr="008D7057" w:rsidRDefault="00C70F7A" w:rsidP="00C70F7A">
      <w:pPr>
        <w:pStyle w:val="a4"/>
        <w:spacing w:line="360" w:lineRule="auto"/>
        <w:ind w:firstLine="480"/>
        <w:rPr>
          <w:rFonts w:ascii="仿宋" w:eastAsia="仿宋" w:hAnsi="仿宋"/>
          <w:sz w:val="24"/>
        </w:rPr>
      </w:pPr>
      <w:r w:rsidRPr="008D7057">
        <w:rPr>
          <w:rFonts w:ascii="仿宋" w:eastAsia="仿宋" w:hAnsi="仿宋" w:hint="eastAsia"/>
          <w:sz w:val="24"/>
        </w:rPr>
        <w:t>2</w:t>
      </w:r>
      <w:r w:rsidRPr="008D7057">
        <w:rPr>
          <w:rFonts w:ascii="仿宋" w:eastAsia="仿宋" w:hAnsi="仿宋"/>
          <w:sz w:val="24"/>
        </w:rPr>
        <w:t>.</w:t>
      </w:r>
      <w:r w:rsidRPr="008D7057">
        <w:rPr>
          <w:rFonts w:ascii="仿宋" w:eastAsia="仿宋" w:hAnsi="仿宋" w:hint="eastAsia"/>
          <w:sz w:val="24"/>
        </w:rPr>
        <w:t>如采购人认为成交人投入的工作人员数量、业务水平、专业配置等不能满足本项目实际工作需要时，有权要求成交人及时调配或者增加符合资格要求的人员，所增加人员的工资、奖金、补贴、加班费、办公费、差旅费、管理费等所有费用已包括在服务报价中。</w:t>
      </w:r>
    </w:p>
    <w:p w:rsidR="00C70F7A" w:rsidRPr="008D7057" w:rsidRDefault="00C70F7A" w:rsidP="00C70F7A">
      <w:pPr>
        <w:pStyle w:val="a4"/>
        <w:spacing w:line="360" w:lineRule="auto"/>
        <w:ind w:firstLine="480"/>
        <w:rPr>
          <w:rFonts w:ascii="仿宋" w:eastAsia="仿宋" w:hAnsi="仿宋"/>
          <w:sz w:val="24"/>
        </w:rPr>
      </w:pPr>
      <w:r w:rsidRPr="008D7057">
        <w:rPr>
          <w:rFonts w:ascii="仿宋" w:eastAsia="仿宋" w:hAnsi="仿宋" w:hint="eastAsia"/>
          <w:sz w:val="24"/>
        </w:rPr>
        <w:t>成交人应确保其派驻人员严格遵守采购人的疫情防控、工作制度等各项管理规定。成交人派驻人员的劳动与安全保障、后勤保障、防疫物资保障等</w:t>
      </w:r>
      <w:proofErr w:type="gramStart"/>
      <w:r w:rsidRPr="008D7057">
        <w:rPr>
          <w:rFonts w:ascii="仿宋" w:eastAsia="仿宋" w:hAnsi="仿宋" w:hint="eastAsia"/>
          <w:sz w:val="24"/>
        </w:rPr>
        <w:t>由成交人</w:t>
      </w:r>
      <w:proofErr w:type="gramEnd"/>
      <w:r w:rsidRPr="008D7057">
        <w:rPr>
          <w:rFonts w:ascii="仿宋" w:eastAsia="仿宋" w:hAnsi="仿宋" w:hint="eastAsia"/>
          <w:sz w:val="24"/>
        </w:rPr>
        <w:t>自行负责，相关费用</w:t>
      </w:r>
      <w:proofErr w:type="gramStart"/>
      <w:r w:rsidRPr="008D7057">
        <w:rPr>
          <w:rFonts w:ascii="仿宋" w:eastAsia="仿宋" w:hAnsi="仿宋" w:hint="eastAsia"/>
          <w:sz w:val="24"/>
        </w:rPr>
        <w:t>由成交人</w:t>
      </w:r>
      <w:proofErr w:type="gramEnd"/>
      <w:r w:rsidRPr="008D7057">
        <w:rPr>
          <w:rFonts w:ascii="仿宋" w:eastAsia="仿宋" w:hAnsi="仿宋" w:hint="eastAsia"/>
          <w:sz w:val="24"/>
        </w:rPr>
        <w:t>自行承担。</w:t>
      </w:r>
    </w:p>
    <w:p w:rsidR="00C70F7A" w:rsidRPr="008D7057" w:rsidRDefault="00C70F7A" w:rsidP="00C70F7A">
      <w:pPr>
        <w:pStyle w:val="a4"/>
        <w:spacing w:line="360" w:lineRule="auto"/>
        <w:ind w:firstLine="480"/>
        <w:rPr>
          <w:rFonts w:ascii="仿宋" w:eastAsia="仿宋" w:hAnsi="仿宋"/>
          <w:sz w:val="24"/>
        </w:rPr>
      </w:pPr>
      <w:r w:rsidRPr="008D7057">
        <w:rPr>
          <w:rFonts w:ascii="仿宋" w:eastAsia="仿宋" w:hAnsi="仿宋" w:hint="eastAsia"/>
          <w:sz w:val="24"/>
        </w:rPr>
        <w:t>3.服务过程中，不符合采购人要求的项目应及时更改。</w:t>
      </w:r>
    </w:p>
    <w:p w:rsidR="00C70F7A" w:rsidRPr="008D7057" w:rsidRDefault="00C70F7A" w:rsidP="00C70F7A">
      <w:pPr>
        <w:pStyle w:val="a4"/>
        <w:spacing w:line="360" w:lineRule="auto"/>
        <w:ind w:firstLine="480"/>
        <w:rPr>
          <w:rFonts w:ascii="仿宋" w:eastAsia="仿宋" w:hAnsi="仿宋"/>
          <w:sz w:val="24"/>
        </w:rPr>
      </w:pPr>
      <w:r w:rsidRPr="008D7057">
        <w:rPr>
          <w:rFonts w:ascii="仿宋" w:eastAsia="仿宋" w:hAnsi="仿宋" w:hint="eastAsia"/>
          <w:sz w:val="24"/>
        </w:rPr>
        <w:t>4.接受采购文件第九章的合同条款内容，如合同条款内容与采购文件其他内容有不一致之处，以采购人解释为准。</w:t>
      </w:r>
      <w:bookmarkEnd w:id="1"/>
    </w:p>
    <w:p w:rsidR="00C70F7A" w:rsidRPr="008D7057" w:rsidRDefault="00C70F7A" w:rsidP="00C70F7A">
      <w:pPr>
        <w:pStyle w:val="a4"/>
        <w:spacing w:line="360" w:lineRule="auto"/>
        <w:ind w:firstLine="480"/>
        <w:rPr>
          <w:rFonts w:ascii="仿宋" w:eastAsia="仿宋" w:hAnsi="仿宋"/>
          <w:sz w:val="24"/>
        </w:rPr>
      </w:pPr>
      <w:r w:rsidRPr="008D7057">
        <w:rPr>
          <w:rFonts w:ascii="仿宋" w:eastAsia="仿宋" w:hAnsi="仿宋" w:hint="eastAsia"/>
          <w:sz w:val="24"/>
        </w:rPr>
        <w:t>5.服务过程中，如赛事有需要，供应商应按采购人要求调整服务。</w:t>
      </w:r>
    </w:p>
    <w:bookmarkEnd w:id="0"/>
    <w:p w:rsidR="00993605" w:rsidRPr="00C70F7A" w:rsidRDefault="00993605" w:rsidP="00C70F7A"/>
    <w:sectPr w:rsidR="00993605" w:rsidRPr="00C70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7A"/>
    <w:rsid w:val="00993605"/>
    <w:rsid w:val="00C7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519D5-30C0-4B6B-A31A-DC566068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F7A"/>
    <w:pPr>
      <w:widowControl w:val="0"/>
      <w:jc w:val="both"/>
    </w:pPr>
    <w:rPr>
      <w:rFonts w:ascii="Times New Roman" w:eastAsia="宋体" w:hAnsi="Times New Roman" w:cs="Times New Roman"/>
      <w:szCs w:val="24"/>
    </w:rPr>
  </w:style>
  <w:style w:type="paragraph" w:styleId="2">
    <w:name w:val="heading 2"/>
    <w:basedOn w:val="a"/>
    <w:next w:val="a"/>
    <w:link w:val="2Char"/>
    <w:qFormat/>
    <w:rsid w:val="00C70F7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F7A"/>
    <w:pPr>
      <w:ind w:firstLineChars="200" w:firstLine="420"/>
    </w:pPr>
    <w:rPr>
      <w:rFonts w:asciiTheme="minorHAnsi" w:eastAsiaTheme="minorEastAsia" w:hAnsiTheme="minorHAnsi" w:cstheme="minorBidi"/>
      <w:szCs w:val="22"/>
    </w:rPr>
  </w:style>
  <w:style w:type="character" w:customStyle="1" w:styleId="2Char">
    <w:name w:val="标题 2 Char"/>
    <w:basedOn w:val="a0"/>
    <w:link w:val="2"/>
    <w:qFormat/>
    <w:rsid w:val="00C70F7A"/>
    <w:rPr>
      <w:rFonts w:ascii="Arial" w:eastAsia="黑体" w:hAnsi="Arial" w:cs="Times New Roman"/>
      <w:b/>
      <w:bCs/>
      <w:sz w:val="32"/>
      <w:szCs w:val="32"/>
    </w:rPr>
  </w:style>
  <w:style w:type="paragraph" w:styleId="a4">
    <w:name w:val="Normal Indent"/>
    <w:basedOn w:val="a"/>
    <w:link w:val="Char"/>
    <w:qFormat/>
    <w:rsid w:val="00C70F7A"/>
    <w:pPr>
      <w:ind w:firstLineChars="200" w:firstLine="420"/>
    </w:pPr>
  </w:style>
  <w:style w:type="paragraph" w:styleId="a5">
    <w:name w:val="Title"/>
    <w:basedOn w:val="a"/>
    <w:next w:val="a"/>
    <w:link w:val="Char0"/>
    <w:uiPriority w:val="10"/>
    <w:qFormat/>
    <w:rsid w:val="00C70F7A"/>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5"/>
    <w:uiPriority w:val="10"/>
    <w:qFormat/>
    <w:rsid w:val="00C70F7A"/>
    <w:rPr>
      <w:rFonts w:asciiTheme="majorHAnsi" w:eastAsia="宋体" w:hAnsiTheme="majorHAnsi" w:cstheme="majorBidi"/>
      <w:b/>
      <w:bCs/>
      <w:sz w:val="32"/>
      <w:szCs w:val="32"/>
    </w:rPr>
  </w:style>
  <w:style w:type="table" w:styleId="a6">
    <w:name w:val="Table Grid"/>
    <w:basedOn w:val="a1"/>
    <w:qFormat/>
    <w:rsid w:val="00C70F7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缩进 Char"/>
    <w:link w:val="a4"/>
    <w:qFormat/>
    <w:rsid w:val="00C70F7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419</Words>
  <Characters>2393</Characters>
  <Application>Microsoft Office Word</Application>
  <DocSecurity>0</DocSecurity>
  <Lines>19</Lines>
  <Paragraphs>5</Paragraphs>
  <ScaleCrop>false</ScaleCrop>
  <Company>微软中国</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2022-02-08T08:15:00Z</dcterms:created>
  <dcterms:modified xsi:type="dcterms:W3CDTF">2022-02-08T08:15:00Z</dcterms:modified>
</cp:coreProperties>
</file>