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5E" w:rsidRDefault="00475F3D">
      <w:pPr>
        <w:pStyle w:val="1"/>
        <w:jc w:val="center"/>
        <w:rPr>
          <w:rFonts w:ascii="仿宋" w:eastAsia="仿宋" w:hAnsi="仿宋"/>
          <w:sz w:val="48"/>
          <w:szCs w:val="48"/>
        </w:rPr>
      </w:pPr>
      <w:r>
        <w:rPr>
          <w:rFonts w:ascii="仿宋" w:eastAsia="仿宋" w:hAnsi="仿宋" w:hint="eastAsia"/>
          <w:sz w:val="48"/>
          <w:szCs w:val="48"/>
        </w:rPr>
        <w:t>更正说明</w:t>
      </w:r>
    </w:p>
    <w:p w:rsidR="00A50D5E" w:rsidRDefault="00475F3D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项目名称：</w:t>
      </w:r>
      <w:r w:rsidR="00246CD9" w:rsidRPr="00246CD9">
        <w:rPr>
          <w:rFonts w:ascii="仿宋" w:eastAsia="仿宋" w:hAnsi="仿宋" w:hint="eastAsia"/>
          <w:bCs/>
          <w:sz w:val="24"/>
          <w:szCs w:val="24"/>
        </w:rPr>
        <w:t>成都市龙泉</w:t>
      </w:r>
      <w:proofErr w:type="gramStart"/>
      <w:r w:rsidR="00246CD9" w:rsidRPr="00246CD9">
        <w:rPr>
          <w:rFonts w:ascii="仿宋" w:eastAsia="仿宋" w:hAnsi="仿宋" w:hint="eastAsia"/>
          <w:bCs/>
          <w:sz w:val="24"/>
          <w:szCs w:val="24"/>
        </w:rPr>
        <w:t>驿</w:t>
      </w:r>
      <w:proofErr w:type="gramEnd"/>
      <w:r w:rsidR="00246CD9" w:rsidRPr="00246CD9">
        <w:rPr>
          <w:rFonts w:ascii="仿宋" w:eastAsia="仿宋" w:hAnsi="仿宋" w:hint="eastAsia"/>
          <w:bCs/>
          <w:sz w:val="24"/>
          <w:szCs w:val="24"/>
        </w:rPr>
        <w:t>区客家小学校光环境改造项目</w:t>
      </w:r>
    </w:p>
    <w:p w:rsidR="00A50D5E" w:rsidRDefault="00475F3D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项目编号：</w:t>
      </w:r>
      <w:r w:rsidR="00246CD9" w:rsidRPr="00246CD9">
        <w:rPr>
          <w:rFonts w:ascii="仿宋" w:eastAsia="仿宋" w:hAnsi="仿宋"/>
          <w:sz w:val="24"/>
          <w:szCs w:val="24"/>
        </w:rPr>
        <w:t>510112202100471</w:t>
      </w:r>
    </w:p>
    <w:p w:rsidR="00A50D5E" w:rsidRDefault="00475F3D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更正事项：</w:t>
      </w:r>
    </w:p>
    <w:p w:rsidR="00A50D5E" w:rsidRDefault="00246CD9">
      <w:pPr>
        <w:spacing w:line="48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</w:t>
      </w:r>
      <w:r w:rsidR="00475F3D">
        <w:rPr>
          <w:rFonts w:ascii="仿宋" w:eastAsia="仿宋" w:hAnsi="仿宋" w:hint="eastAsia"/>
          <w:sz w:val="24"/>
          <w:szCs w:val="24"/>
        </w:rPr>
        <w:t>、招标文件</w:t>
      </w:r>
      <w:bookmarkStart w:id="0" w:name="_Toc81828250"/>
      <w:bookmarkStart w:id="1" w:name="_Toc2122"/>
      <w:r w:rsidR="00475F3D">
        <w:rPr>
          <w:rFonts w:ascii="仿宋" w:eastAsia="仿宋" w:hAnsi="仿宋" w:hint="eastAsia"/>
          <w:sz w:val="24"/>
          <w:szCs w:val="24"/>
        </w:rPr>
        <w:t>第六章</w:t>
      </w:r>
      <w:r w:rsidR="00475F3D">
        <w:rPr>
          <w:rFonts w:ascii="仿宋" w:eastAsia="仿宋" w:hAnsi="仿宋"/>
          <w:sz w:val="24"/>
          <w:szCs w:val="24"/>
        </w:rPr>
        <w:t xml:space="preserve">  </w:t>
      </w:r>
      <w:r w:rsidR="00475F3D">
        <w:rPr>
          <w:rFonts w:ascii="仿宋" w:eastAsia="仿宋" w:hAnsi="仿宋" w:hint="eastAsia"/>
          <w:sz w:val="24"/>
          <w:szCs w:val="24"/>
        </w:rPr>
        <w:t>招标项目技术、服务、政府采购合同内容条款及其他商务要求</w:t>
      </w:r>
      <w:bookmarkEnd w:id="0"/>
      <w:bookmarkEnd w:id="1"/>
      <w:r w:rsidR="00475F3D">
        <w:rPr>
          <w:rFonts w:ascii="仿宋" w:eastAsia="仿宋" w:hAnsi="仿宋" w:hint="eastAsia"/>
          <w:sz w:val="24"/>
          <w:szCs w:val="24"/>
        </w:rPr>
        <w:t>中三、技术参数要求中序号1-</w:t>
      </w:r>
      <w:r w:rsidR="00475F3D">
        <w:rPr>
          <w:rFonts w:asciiTheme="minorEastAsia" w:eastAsia="宋体" w:hAnsiTheme="minorEastAsia" w:cs="Arial" w:hint="eastAsia"/>
          <w:sz w:val="24"/>
          <w:szCs w:val="24"/>
        </w:rPr>
        <w:t xml:space="preserve"> </w:t>
      </w:r>
      <w:r w:rsidR="00475F3D">
        <w:rPr>
          <w:rFonts w:ascii="仿宋" w:eastAsia="仿宋" w:hAnsi="仿宋" w:hint="eastAsia"/>
          <w:sz w:val="24"/>
          <w:szCs w:val="24"/>
        </w:rPr>
        <w:t>LED教室灯的技术参数第1条</w:t>
      </w:r>
      <w:r w:rsidR="00475F3D">
        <w:rPr>
          <w:rFonts w:ascii="仿宋" w:eastAsia="仿宋" w:hAnsi="仿宋" w:hint="eastAsia"/>
          <w:b/>
          <w:sz w:val="24"/>
          <w:szCs w:val="24"/>
        </w:rPr>
        <w:t>由</w:t>
      </w:r>
      <w:r w:rsidR="00475F3D">
        <w:rPr>
          <w:rFonts w:ascii="仿宋" w:eastAsia="仿宋" w:hAnsi="仿宋" w:hint="eastAsia"/>
          <w:sz w:val="24"/>
          <w:szCs w:val="24"/>
        </w:rPr>
        <w:t>“*</w:t>
      </w:r>
      <w:r w:rsidR="00475F3D">
        <w:rPr>
          <w:rFonts w:ascii="仿宋" w:eastAsia="仿宋" w:hAnsi="仿宋"/>
          <w:sz w:val="24"/>
          <w:szCs w:val="24"/>
        </w:rPr>
        <w:t>1、</w:t>
      </w:r>
      <w:proofErr w:type="gramStart"/>
      <w:r w:rsidR="00475F3D">
        <w:rPr>
          <w:rFonts w:ascii="仿宋" w:eastAsia="仿宋" w:hAnsi="仿宋" w:hint="eastAsia"/>
          <w:sz w:val="24"/>
          <w:szCs w:val="24"/>
        </w:rPr>
        <w:t>一</w:t>
      </w:r>
      <w:proofErr w:type="gramEnd"/>
      <w:r w:rsidR="00475F3D">
        <w:rPr>
          <w:rFonts w:ascii="仿宋" w:eastAsia="仿宋" w:hAnsi="仿宋" w:hint="eastAsia"/>
          <w:sz w:val="24"/>
          <w:szCs w:val="24"/>
        </w:rPr>
        <w:t>体式LED灯具</w:t>
      </w:r>
      <w:r w:rsidR="00475F3D">
        <w:rPr>
          <w:rFonts w:ascii="仿宋" w:eastAsia="仿宋" w:hAnsi="仿宋"/>
          <w:sz w:val="24"/>
          <w:szCs w:val="24"/>
        </w:rPr>
        <w:t>应符合 GB 7000.1-2015、GB 7000.201-2008、GB 7000.202-2008 标准，持有有效期内的CCC 认证</w:t>
      </w:r>
      <w:r w:rsidR="00475F3D">
        <w:rPr>
          <w:rFonts w:ascii="仿宋" w:eastAsia="仿宋" w:hAnsi="仿宋" w:hint="eastAsia"/>
          <w:sz w:val="24"/>
          <w:szCs w:val="24"/>
        </w:rPr>
        <w:t>，投标文件中提供CCC认证；”</w:t>
      </w:r>
      <w:r w:rsidR="00475F3D">
        <w:rPr>
          <w:rFonts w:ascii="仿宋" w:eastAsia="仿宋" w:hAnsi="仿宋" w:hint="eastAsia"/>
          <w:b/>
          <w:sz w:val="24"/>
          <w:szCs w:val="24"/>
        </w:rPr>
        <w:t>更正为</w:t>
      </w:r>
      <w:r w:rsidR="00475F3D">
        <w:rPr>
          <w:rFonts w:ascii="仿宋" w:eastAsia="仿宋" w:hAnsi="仿宋" w:hint="eastAsia"/>
          <w:sz w:val="24"/>
          <w:szCs w:val="24"/>
        </w:rPr>
        <w:t>“*</w:t>
      </w:r>
      <w:r w:rsidR="00475F3D">
        <w:rPr>
          <w:rFonts w:ascii="仿宋" w:eastAsia="仿宋" w:hAnsi="仿宋"/>
          <w:sz w:val="24"/>
          <w:szCs w:val="24"/>
        </w:rPr>
        <w:t>1、</w:t>
      </w:r>
      <w:proofErr w:type="gramStart"/>
      <w:r w:rsidR="00475F3D">
        <w:rPr>
          <w:rFonts w:ascii="仿宋" w:eastAsia="仿宋" w:hAnsi="仿宋" w:hint="eastAsia"/>
          <w:sz w:val="24"/>
          <w:szCs w:val="24"/>
        </w:rPr>
        <w:t>一</w:t>
      </w:r>
      <w:proofErr w:type="gramEnd"/>
      <w:r w:rsidR="00475F3D">
        <w:rPr>
          <w:rFonts w:ascii="仿宋" w:eastAsia="仿宋" w:hAnsi="仿宋" w:hint="eastAsia"/>
          <w:sz w:val="24"/>
          <w:szCs w:val="24"/>
        </w:rPr>
        <w:t>体式LED灯具</w:t>
      </w:r>
      <w:r w:rsidR="00475F3D">
        <w:rPr>
          <w:rFonts w:ascii="仿宋" w:eastAsia="仿宋" w:hAnsi="仿宋"/>
          <w:sz w:val="24"/>
          <w:szCs w:val="24"/>
        </w:rPr>
        <w:t>应符合 GB 7000.1-2015</w:t>
      </w:r>
      <w:r w:rsidR="00475F3D">
        <w:rPr>
          <w:rFonts w:ascii="仿宋" w:eastAsia="仿宋" w:hAnsi="仿宋" w:hint="eastAsia"/>
          <w:sz w:val="24"/>
          <w:szCs w:val="24"/>
        </w:rPr>
        <w:t>和</w:t>
      </w:r>
      <w:r w:rsidR="00475F3D">
        <w:rPr>
          <w:rFonts w:ascii="仿宋" w:eastAsia="仿宋" w:hAnsi="仿宋"/>
          <w:sz w:val="24"/>
          <w:szCs w:val="24"/>
        </w:rPr>
        <w:t>GB 7000.201-2008</w:t>
      </w:r>
      <w:r w:rsidR="00475F3D">
        <w:rPr>
          <w:rFonts w:ascii="仿宋" w:eastAsia="仿宋" w:hAnsi="仿宋" w:hint="eastAsia"/>
          <w:sz w:val="24"/>
          <w:szCs w:val="24"/>
        </w:rPr>
        <w:t>或</w:t>
      </w:r>
      <w:r w:rsidR="00475F3D">
        <w:rPr>
          <w:rFonts w:ascii="仿宋" w:eastAsia="仿宋" w:hAnsi="仿宋"/>
          <w:sz w:val="24"/>
          <w:szCs w:val="24"/>
        </w:rPr>
        <w:t>GB 7000.1-2015</w:t>
      </w:r>
      <w:r w:rsidR="00475F3D">
        <w:rPr>
          <w:rFonts w:ascii="仿宋" w:eastAsia="仿宋" w:hAnsi="仿宋" w:hint="eastAsia"/>
          <w:sz w:val="24"/>
          <w:szCs w:val="24"/>
        </w:rPr>
        <w:t>和</w:t>
      </w:r>
      <w:r w:rsidR="00475F3D">
        <w:rPr>
          <w:rFonts w:ascii="仿宋" w:eastAsia="仿宋" w:hAnsi="仿宋"/>
          <w:sz w:val="24"/>
          <w:szCs w:val="24"/>
        </w:rPr>
        <w:t>GB 7000.202-2008 标准，持有有效期内的CCC 认证</w:t>
      </w:r>
      <w:r w:rsidR="00475F3D">
        <w:rPr>
          <w:rFonts w:ascii="仿宋" w:eastAsia="仿宋" w:hAnsi="仿宋" w:hint="eastAsia"/>
          <w:sz w:val="24"/>
          <w:szCs w:val="24"/>
        </w:rPr>
        <w:t>，投标文件中提供CCC认证；”</w:t>
      </w:r>
    </w:p>
    <w:p w:rsidR="002C57BD" w:rsidRDefault="00246CD9">
      <w:pPr>
        <w:spacing w:line="48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</w:t>
      </w:r>
      <w:r w:rsidR="00475F3D">
        <w:rPr>
          <w:rFonts w:ascii="仿宋" w:eastAsia="仿宋" w:hAnsi="仿宋" w:hint="eastAsia"/>
          <w:sz w:val="24"/>
          <w:szCs w:val="24"/>
        </w:rPr>
        <w:t>、招标文件第六章</w:t>
      </w:r>
      <w:r w:rsidR="00475F3D">
        <w:rPr>
          <w:rFonts w:ascii="仿宋" w:eastAsia="仿宋" w:hAnsi="仿宋"/>
          <w:sz w:val="24"/>
          <w:szCs w:val="24"/>
        </w:rPr>
        <w:t xml:space="preserve">  </w:t>
      </w:r>
      <w:r w:rsidR="00475F3D">
        <w:rPr>
          <w:rFonts w:ascii="仿宋" w:eastAsia="仿宋" w:hAnsi="仿宋" w:hint="eastAsia"/>
          <w:sz w:val="24"/>
          <w:szCs w:val="24"/>
        </w:rPr>
        <w:t>招标项目技术、服务、政府采购合同内容条款及其他商务要求中三、技术参数要求中序号2- LED黑板灯的技术参数</w:t>
      </w:r>
    </w:p>
    <w:p w:rsidR="00A50D5E" w:rsidRDefault="002C57BD">
      <w:pPr>
        <w:spacing w:line="48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.</w:t>
      </w:r>
      <w:r w:rsidR="00475F3D">
        <w:rPr>
          <w:rFonts w:ascii="仿宋" w:eastAsia="仿宋" w:hAnsi="仿宋" w:hint="eastAsia"/>
          <w:sz w:val="24"/>
          <w:szCs w:val="24"/>
        </w:rPr>
        <w:t>第1条</w:t>
      </w:r>
      <w:r w:rsidR="00475F3D">
        <w:rPr>
          <w:rFonts w:ascii="仿宋" w:eastAsia="仿宋" w:hAnsi="仿宋" w:hint="eastAsia"/>
          <w:b/>
          <w:sz w:val="24"/>
          <w:szCs w:val="24"/>
        </w:rPr>
        <w:t>由</w:t>
      </w:r>
      <w:r w:rsidR="00475F3D">
        <w:rPr>
          <w:rFonts w:ascii="仿宋" w:eastAsia="仿宋" w:hAnsi="仿宋" w:hint="eastAsia"/>
          <w:sz w:val="24"/>
          <w:szCs w:val="24"/>
        </w:rPr>
        <w:t>“*</w:t>
      </w:r>
      <w:r w:rsidR="00475F3D">
        <w:rPr>
          <w:rFonts w:ascii="仿宋" w:eastAsia="仿宋" w:hAnsi="仿宋"/>
          <w:sz w:val="24"/>
          <w:szCs w:val="24"/>
        </w:rPr>
        <w:t>1、</w:t>
      </w:r>
      <w:proofErr w:type="gramStart"/>
      <w:r w:rsidR="00475F3D">
        <w:rPr>
          <w:rFonts w:ascii="仿宋" w:eastAsia="仿宋" w:hAnsi="仿宋" w:hint="eastAsia"/>
          <w:sz w:val="24"/>
          <w:szCs w:val="24"/>
        </w:rPr>
        <w:t>一</w:t>
      </w:r>
      <w:proofErr w:type="gramEnd"/>
      <w:r w:rsidR="00475F3D">
        <w:rPr>
          <w:rFonts w:ascii="仿宋" w:eastAsia="仿宋" w:hAnsi="仿宋" w:hint="eastAsia"/>
          <w:sz w:val="24"/>
          <w:szCs w:val="24"/>
        </w:rPr>
        <w:t>体式LED灯具</w:t>
      </w:r>
      <w:r w:rsidR="00475F3D">
        <w:rPr>
          <w:rFonts w:ascii="仿宋" w:eastAsia="仿宋" w:hAnsi="仿宋"/>
          <w:sz w:val="24"/>
          <w:szCs w:val="24"/>
        </w:rPr>
        <w:t>应符合 GB 7000.1-2015、GB 7000.201-2008、GB 7000.202-2008 标准，持有有效期内的CCC 认证</w:t>
      </w:r>
      <w:r w:rsidR="00475F3D">
        <w:rPr>
          <w:rFonts w:ascii="仿宋" w:eastAsia="仿宋" w:hAnsi="仿宋" w:hint="eastAsia"/>
          <w:sz w:val="24"/>
          <w:szCs w:val="24"/>
        </w:rPr>
        <w:t>，投标文件中提供CCC认证；”</w:t>
      </w:r>
      <w:r w:rsidR="00475F3D">
        <w:rPr>
          <w:rFonts w:ascii="仿宋" w:eastAsia="仿宋" w:hAnsi="仿宋" w:hint="eastAsia"/>
          <w:b/>
          <w:sz w:val="24"/>
          <w:szCs w:val="24"/>
        </w:rPr>
        <w:t>更正为</w:t>
      </w:r>
      <w:r w:rsidR="00475F3D">
        <w:rPr>
          <w:rFonts w:ascii="仿宋" w:eastAsia="仿宋" w:hAnsi="仿宋" w:hint="eastAsia"/>
          <w:sz w:val="24"/>
          <w:szCs w:val="24"/>
        </w:rPr>
        <w:t>“*</w:t>
      </w:r>
      <w:r w:rsidR="00475F3D">
        <w:rPr>
          <w:rFonts w:ascii="仿宋" w:eastAsia="仿宋" w:hAnsi="仿宋"/>
          <w:sz w:val="24"/>
          <w:szCs w:val="24"/>
        </w:rPr>
        <w:t>1、</w:t>
      </w:r>
      <w:proofErr w:type="gramStart"/>
      <w:r w:rsidR="00475F3D">
        <w:rPr>
          <w:rFonts w:ascii="仿宋" w:eastAsia="仿宋" w:hAnsi="仿宋" w:hint="eastAsia"/>
          <w:sz w:val="24"/>
          <w:szCs w:val="24"/>
        </w:rPr>
        <w:t>一</w:t>
      </w:r>
      <w:proofErr w:type="gramEnd"/>
      <w:r w:rsidR="00475F3D">
        <w:rPr>
          <w:rFonts w:ascii="仿宋" w:eastAsia="仿宋" w:hAnsi="仿宋" w:hint="eastAsia"/>
          <w:sz w:val="24"/>
          <w:szCs w:val="24"/>
        </w:rPr>
        <w:t>体式LED灯具</w:t>
      </w:r>
      <w:r w:rsidR="00475F3D">
        <w:rPr>
          <w:rFonts w:ascii="仿宋" w:eastAsia="仿宋" w:hAnsi="仿宋"/>
          <w:sz w:val="24"/>
          <w:szCs w:val="24"/>
        </w:rPr>
        <w:t>应符合 GB 7000.1-2015</w:t>
      </w:r>
      <w:r w:rsidR="00475F3D">
        <w:rPr>
          <w:rFonts w:ascii="仿宋" w:eastAsia="仿宋" w:hAnsi="仿宋" w:hint="eastAsia"/>
          <w:sz w:val="24"/>
          <w:szCs w:val="24"/>
        </w:rPr>
        <w:t>和</w:t>
      </w:r>
      <w:r w:rsidR="00475F3D">
        <w:rPr>
          <w:rFonts w:ascii="仿宋" w:eastAsia="仿宋" w:hAnsi="仿宋"/>
          <w:sz w:val="24"/>
          <w:szCs w:val="24"/>
        </w:rPr>
        <w:t>GB 7000.201-2008</w:t>
      </w:r>
      <w:r w:rsidR="00475F3D">
        <w:rPr>
          <w:rFonts w:ascii="仿宋" w:eastAsia="仿宋" w:hAnsi="仿宋" w:hint="eastAsia"/>
          <w:sz w:val="24"/>
          <w:szCs w:val="24"/>
        </w:rPr>
        <w:t>或</w:t>
      </w:r>
      <w:r w:rsidR="00475F3D">
        <w:rPr>
          <w:rFonts w:ascii="仿宋" w:eastAsia="仿宋" w:hAnsi="仿宋"/>
          <w:sz w:val="24"/>
          <w:szCs w:val="24"/>
        </w:rPr>
        <w:t>GB 7000.1-2015</w:t>
      </w:r>
      <w:r w:rsidR="00475F3D">
        <w:rPr>
          <w:rFonts w:ascii="仿宋" w:eastAsia="仿宋" w:hAnsi="仿宋" w:hint="eastAsia"/>
          <w:sz w:val="24"/>
          <w:szCs w:val="24"/>
        </w:rPr>
        <w:t>和</w:t>
      </w:r>
      <w:r w:rsidR="00475F3D">
        <w:rPr>
          <w:rFonts w:ascii="仿宋" w:eastAsia="仿宋" w:hAnsi="仿宋"/>
          <w:sz w:val="24"/>
          <w:szCs w:val="24"/>
        </w:rPr>
        <w:t>GB 7000.202-2008 标准，持有有效期内的CCC 认证</w:t>
      </w:r>
      <w:r w:rsidR="00475F3D">
        <w:rPr>
          <w:rFonts w:ascii="仿宋" w:eastAsia="仿宋" w:hAnsi="仿宋" w:hint="eastAsia"/>
          <w:sz w:val="24"/>
          <w:szCs w:val="24"/>
        </w:rPr>
        <w:t>，投标文件中提供CCC认证；”</w:t>
      </w:r>
    </w:p>
    <w:p w:rsidR="00A50D5E" w:rsidRDefault="002C57BD">
      <w:pPr>
        <w:spacing w:line="48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2.</w:t>
      </w:r>
      <w:r w:rsidR="00475F3D">
        <w:rPr>
          <w:rFonts w:ascii="仿宋" w:eastAsia="仿宋" w:hAnsi="仿宋" w:hint="eastAsia"/>
          <w:sz w:val="24"/>
          <w:szCs w:val="24"/>
        </w:rPr>
        <w:t>第2条</w:t>
      </w:r>
      <w:r w:rsidR="00475F3D">
        <w:rPr>
          <w:rFonts w:ascii="仿宋" w:eastAsia="仿宋" w:hAnsi="仿宋" w:hint="eastAsia"/>
          <w:b/>
          <w:sz w:val="24"/>
          <w:szCs w:val="24"/>
        </w:rPr>
        <w:t>由</w:t>
      </w:r>
      <w:r w:rsidR="00475F3D">
        <w:rPr>
          <w:rFonts w:ascii="仿宋" w:eastAsia="仿宋" w:hAnsi="仿宋" w:hint="eastAsia"/>
          <w:sz w:val="24"/>
          <w:szCs w:val="24"/>
        </w:rPr>
        <w:t>“</w:t>
      </w:r>
      <w:r w:rsidR="00475F3D">
        <w:rPr>
          <w:rFonts w:ascii="仿宋" w:eastAsia="仿宋" w:hAnsi="仿宋"/>
          <w:sz w:val="24"/>
          <w:szCs w:val="24"/>
        </w:rPr>
        <w:t>2</w:t>
      </w:r>
      <w:r w:rsidR="00475F3D">
        <w:rPr>
          <w:rFonts w:ascii="仿宋" w:eastAsia="仿宋" w:hAnsi="仿宋" w:hint="eastAsia"/>
          <w:sz w:val="24"/>
          <w:szCs w:val="24"/>
        </w:rPr>
        <w:t>、功率(30W-40W)，尺寸长度≥1200mm；LED教室灯为格栅防眩光结构灯</w:t>
      </w:r>
      <w:r w:rsidR="00475F3D">
        <w:rPr>
          <w:rFonts w:ascii="仿宋" w:eastAsia="仿宋" w:hAnsi="仿宋"/>
          <w:sz w:val="24"/>
          <w:szCs w:val="24"/>
        </w:rPr>
        <w:t>具的壳体</w:t>
      </w:r>
      <w:r w:rsidR="00475F3D">
        <w:rPr>
          <w:rFonts w:ascii="仿宋" w:eastAsia="仿宋" w:hAnsi="仿宋" w:hint="eastAsia"/>
          <w:sz w:val="24"/>
          <w:szCs w:val="24"/>
        </w:rPr>
        <w:t>；</w:t>
      </w:r>
      <w:r w:rsidR="00475F3D">
        <w:rPr>
          <w:rFonts w:ascii="仿宋" w:eastAsia="仿宋" w:hAnsi="仿宋"/>
          <w:sz w:val="24"/>
          <w:szCs w:val="24"/>
        </w:rPr>
        <w:t>灯具的壳体材料应采用厚度不小于 0.4mm 的铝型材等轻型、坚固金属材料，并经除油剂除油，进行防锈、磷化处理后静电喷塑；灯具的</w:t>
      </w:r>
      <w:r w:rsidR="00475F3D">
        <w:rPr>
          <w:rFonts w:ascii="仿宋" w:eastAsia="仿宋" w:hAnsi="仿宋"/>
          <w:sz w:val="24"/>
          <w:szCs w:val="24"/>
        </w:rPr>
        <w:lastRenderedPageBreak/>
        <w:t>外形应平整、无凹陷、毛刺，焊缝无透光现象，喷塑后表面均匀、光洁，无流挂现象</w:t>
      </w:r>
      <w:r w:rsidR="00475F3D">
        <w:rPr>
          <w:rFonts w:ascii="仿宋" w:eastAsia="仿宋" w:hAnsi="仿宋" w:hint="eastAsia"/>
          <w:sz w:val="24"/>
          <w:szCs w:val="24"/>
        </w:rPr>
        <w:t>；</w:t>
      </w:r>
      <w:r w:rsidR="00475F3D">
        <w:rPr>
          <w:rFonts w:ascii="仿宋" w:eastAsia="仿宋" w:hAnsi="仿宋"/>
          <w:sz w:val="24"/>
          <w:szCs w:val="24"/>
        </w:rPr>
        <w:t>反射器其反射率须达到 85%以上</w:t>
      </w:r>
      <w:r w:rsidR="00475F3D">
        <w:rPr>
          <w:rFonts w:ascii="仿宋" w:eastAsia="仿宋" w:hAnsi="仿宋" w:hint="eastAsia"/>
          <w:sz w:val="24"/>
          <w:szCs w:val="24"/>
        </w:rPr>
        <w:t>；</w:t>
      </w:r>
      <w:r w:rsidR="00475F3D">
        <w:rPr>
          <w:rFonts w:ascii="仿宋" w:eastAsia="仿宋" w:hAnsi="仿宋"/>
          <w:sz w:val="24"/>
          <w:szCs w:val="24"/>
        </w:rPr>
        <w:t>格栅灯具的反光格栅应具有深度散射性能，表面镀铬，光洁明亮。（格栅材质可选用 铝型材，冷轧板高反射静电喷塑，塑料（ABS）表面镀铬等）。</w:t>
      </w:r>
      <w:r w:rsidR="00475F3D">
        <w:rPr>
          <w:rFonts w:ascii="仿宋" w:eastAsia="仿宋" w:hAnsi="仿宋" w:hint="eastAsia"/>
          <w:sz w:val="24"/>
          <w:szCs w:val="24"/>
        </w:rPr>
        <w:t>”</w:t>
      </w:r>
      <w:r w:rsidR="00475F3D">
        <w:rPr>
          <w:rFonts w:ascii="仿宋" w:eastAsia="仿宋" w:hAnsi="仿宋" w:hint="eastAsia"/>
          <w:b/>
          <w:sz w:val="24"/>
          <w:szCs w:val="24"/>
        </w:rPr>
        <w:t>更正为</w:t>
      </w:r>
      <w:r w:rsidR="00475F3D">
        <w:rPr>
          <w:rFonts w:ascii="仿宋" w:eastAsia="仿宋" w:hAnsi="仿宋" w:hint="eastAsia"/>
          <w:sz w:val="24"/>
          <w:szCs w:val="24"/>
        </w:rPr>
        <w:t>“</w:t>
      </w:r>
      <w:r w:rsidR="00475F3D">
        <w:rPr>
          <w:rFonts w:ascii="仿宋" w:eastAsia="仿宋" w:hAnsi="仿宋"/>
          <w:sz w:val="24"/>
          <w:szCs w:val="24"/>
        </w:rPr>
        <w:t>2</w:t>
      </w:r>
      <w:r w:rsidR="00475F3D">
        <w:rPr>
          <w:rFonts w:ascii="仿宋" w:eastAsia="仿宋" w:hAnsi="仿宋" w:hint="eastAsia"/>
          <w:sz w:val="24"/>
          <w:szCs w:val="24"/>
        </w:rPr>
        <w:t>、功率(30W-40W)，尺寸长度≥1200mm；LED黑板灯为格栅防眩光结构灯</w:t>
      </w:r>
      <w:r w:rsidR="00475F3D">
        <w:rPr>
          <w:rFonts w:ascii="仿宋" w:eastAsia="仿宋" w:hAnsi="仿宋"/>
          <w:sz w:val="24"/>
          <w:szCs w:val="24"/>
        </w:rPr>
        <w:t>具的壳体</w:t>
      </w:r>
      <w:r w:rsidR="00475F3D">
        <w:rPr>
          <w:rFonts w:ascii="仿宋" w:eastAsia="仿宋" w:hAnsi="仿宋" w:hint="eastAsia"/>
          <w:sz w:val="24"/>
          <w:szCs w:val="24"/>
        </w:rPr>
        <w:t>；</w:t>
      </w:r>
      <w:r w:rsidR="00475F3D">
        <w:rPr>
          <w:rFonts w:ascii="仿宋" w:eastAsia="仿宋" w:hAnsi="仿宋"/>
          <w:sz w:val="24"/>
          <w:szCs w:val="24"/>
        </w:rPr>
        <w:t>灯具的壳体材料应采用厚度不小于 0.4mm 的铝型材等轻型、坚固金属材料，并经除油剂除油，进行防锈、磷化处理后静电喷塑；灯具的外形应平整、无凹陷、毛刺，焊缝无透光现象，喷塑后表面均匀、光洁，无流挂现象</w:t>
      </w:r>
      <w:r w:rsidR="00475F3D">
        <w:rPr>
          <w:rFonts w:ascii="仿宋" w:eastAsia="仿宋" w:hAnsi="仿宋" w:hint="eastAsia"/>
          <w:sz w:val="24"/>
          <w:szCs w:val="24"/>
        </w:rPr>
        <w:t>；</w:t>
      </w:r>
      <w:r w:rsidR="00475F3D">
        <w:rPr>
          <w:rFonts w:ascii="仿宋" w:eastAsia="仿宋" w:hAnsi="仿宋"/>
          <w:sz w:val="24"/>
          <w:szCs w:val="24"/>
        </w:rPr>
        <w:t>反射器其反射率须达到 85%以上</w:t>
      </w:r>
      <w:r w:rsidR="00475F3D">
        <w:rPr>
          <w:rFonts w:ascii="仿宋" w:eastAsia="仿宋" w:hAnsi="仿宋" w:hint="eastAsia"/>
          <w:sz w:val="24"/>
          <w:szCs w:val="24"/>
        </w:rPr>
        <w:t>；</w:t>
      </w:r>
      <w:r w:rsidR="00475F3D">
        <w:rPr>
          <w:rFonts w:ascii="仿宋" w:eastAsia="仿宋" w:hAnsi="仿宋"/>
          <w:sz w:val="24"/>
          <w:szCs w:val="24"/>
        </w:rPr>
        <w:t>格栅灯具的反光格栅应具有深度散射性能，表面镀铬，光洁明亮。（格栅材质可选用 铝型材，冷轧板高反射静电喷塑，塑料（ABS）表面镀铬等）。</w:t>
      </w:r>
      <w:r w:rsidR="00475F3D">
        <w:rPr>
          <w:rFonts w:ascii="仿宋" w:eastAsia="仿宋" w:hAnsi="仿宋" w:hint="eastAsia"/>
          <w:sz w:val="24"/>
          <w:szCs w:val="24"/>
        </w:rPr>
        <w:t>”</w:t>
      </w:r>
    </w:p>
    <w:p w:rsidR="002C57BD" w:rsidRDefault="002C57BD">
      <w:pPr>
        <w:spacing w:line="480" w:lineRule="auto"/>
        <w:ind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.第</w:t>
      </w:r>
      <w:r>
        <w:rPr>
          <w:rFonts w:ascii="仿宋" w:eastAsia="仿宋" w:hAnsi="仿宋" w:hint="eastAsia"/>
          <w:sz w:val="24"/>
          <w:szCs w:val="24"/>
        </w:rPr>
        <w:t>9条由“</w:t>
      </w:r>
      <w:r w:rsidRPr="002C57BD">
        <w:rPr>
          <w:rFonts w:ascii="仿宋" w:eastAsia="仿宋" w:hAnsi="仿宋"/>
          <w:sz w:val="24"/>
          <w:szCs w:val="24"/>
        </w:rPr>
        <w:t>9</w:t>
      </w:r>
      <w:r w:rsidRPr="002C57BD">
        <w:rPr>
          <w:rFonts w:ascii="仿宋" w:eastAsia="仿宋" w:hAnsi="仿宋" w:hint="eastAsia"/>
          <w:sz w:val="24"/>
          <w:szCs w:val="24"/>
        </w:rPr>
        <w:t>、教室内防止频闪效应和闪烁现象</w:t>
      </w:r>
      <w:r w:rsidRPr="002C57BD">
        <w:rPr>
          <w:rFonts w:ascii="仿宋" w:eastAsia="仿宋" w:hAnsi="仿宋"/>
          <w:sz w:val="24"/>
          <w:szCs w:val="24"/>
        </w:rPr>
        <w:t>，</w:t>
      </w:r>
      <w:r w:rsidRPr="002C57BD">
        <w:rPr>
          <w:rFonts w:ascii="仿宋" w:eastAsia="仿宋" w:hAnsi="仿宋" w:hint="eastAsia"/>
          <w:sz w:val="24"/>
          <w:szCs w:val="24"/>
        </w:rPr>
        <w:t>LED教室灯频闪质量特征认证结果为无显著影响或无频闪危害；</w:t>
      </w:r>
      <w:r>
        <w:rPr>
          <w:rFonts w:ascii="仿宋" w:eastAsia="仿宋" w:hAnsi="仿宋" w:hint="eastAsia"/>
          <w:sz w:val="24"/>
          <w:szCs w:val="24"/>
        </w:rPr>
        <w:t>”更正为“</w:t>
      </w:r>
      <w:r w:rsidRPr="002C57BD">
        <w:rPr>
          <w:rFonts w:ascii="仿宋" w:eastAsia="仿宋" w:hAnsi="仿宋"/>
          <w:sz w:val="24"/>
          <w:szCs w:val="24"/>
        </w:rPr>
        <w:t>9</w:t>
      </w:r>
      <w:r w:rsidRPr="002C57BD">
        <w:rPr>
          <w:rFonts w:ascii="仿宋" w:eastAsia="仿宋" w:hAnsi="仿宋" w:hint="eastAsia"/>
          <w:sz w:val="24"/>
          <w:szCs w:val="24"/>
        </w:rPr>
        <w:t>、教室内防止频闪效应和闪烁现象</w:t>
      </w:r>
      <w:r w:rsidRPr="002C57BD">
        <w:rPr>
          <w:rFonts w:ascii="仿宋" w:eastAsia="仿宋" w:hAnsi="仿宋"/>
          <w:sz w:val="24"/>
          <w:szCs w:val="24"/>
        </w:rPr>
        <w:t>，</w:t>
      </w:r>
      <w:r w:rsidRPr="002C57BD">
        <w:rPr>
          <w:rFonts w:ascii="仿宋" w:eastAsia="仿宋" w:hAnsi="仿宋" w:hint="eastAsia"/>
          <w:sz w:val="24"/>
          <w:szCs w:val="24"/>
        </w:rPr>
        <w:t>LED</w:t>
      </w:r>
      <w:r>
        <w:rPr>
          <w:rFonts w:ascii="仿宋" w:eastAsia="仿宋" w:hAnsi="仿宋" w:hint="eastAsia"/>
          <w:sz w:val="24"/>
          <w:szCs w:val="24"/>
        </w:rPr>
        <w:t>黑板</w:t>
      </w:r>
      <w:r w:rsidRPr="002C57BD">
        <w:rPr>
          <w:rFonts w:ascii="仿宋" w:eastAsia="仿宋" w:hAnsi="仿宋" w:hint="eastAsia"/>
          <w:sz w:val="24"/>
          <w:szCs w:val="24"/>
        </w:rPr>
        <w:t>灯频闪质量特征认证结果为无显著影响或无频闪危害；</w:t>
      </w:r>
      <w:r>
        <w:rPr>
          <w:rFonts w:ascii="仿宋" w:eastAsia="仿宋" w:hAnsi="仿宋" w:hint="eastAsia"/>
          <w:sz w:val="24"/>
          <w:szCs w:val="24"/>
        </w:rPr>
        <w:t>”</w:t>
      </w:r>
    </w:p>
    <w:p w:rsidR="00475F3D" w:rsidRDefault="00C7448A">
      <w:pPr>
        <w:spacing w:line="48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</w:t>
      </w:r>
      <w:r w:rsidR="00475F3D">
        <w:rPr>
          <w:rFonts w:ascii="仿宋" w:eastAsia="仿宋" w:hAnsi="仿宋" w:hint="eastAsia"/>
          <w:sz w:val="24"/>
          <w:szCs w:val="24"/>
        </w:rPr>
        <w:t>、招标文件第七章评标办法4.3.3综合评分明细表中序号2-技术指标符合性中的：</w:t>
      </w:r>
    </w:p>
    <w:p w:rsidR="00A50D5E" w:rsidRDefault="00475F3D">
      <w:pPr>
        <w:spacing w:line="480" w:lineRule="auto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bCs/>
          <w:sz w:val="24"/>
          <w:szCs w:val="24"/>
        </w:rPr>
        <w:t>评审标准</w:t>
      </w:r>
      <w:r>
        <w:rPr>
          <w:rFonts w:ascii="仿宋" w:eastAsia="仿宋" w:hAnsi="仿宋" w:hint="eastAsia"/>
          <w:b/>
          <w:sz w:val="24"/>
          <w:szCs w:val="24"/>
        </w:rPr>
        <w:t>由</w:t>
      </w:r>
      <w:r>
        <w:rPr>
          <w:rFonts w:ascii="仿宋" w:eastAsia="仿宋" w:hAnsi="仿宋" w:hint="eastAsia"/>
          <w:bCs/>
          <w:sz w:val="24"/>
          <w:szCs w:val="24"/>
        </w:rPr>
        <w:t>“投标人所投本项目的产品技术参数满足招标技术参数要求的，按以下原则得分：1、参数得分=（供应商满足参数条款的数量÷参数条款的总数量）×</w:t>
      </w:r>
      <w:r w:rsidR="00246CD9">
        <w:rPr>
          <w:rFonts w:ascii="仿宋" w:eastAsia="仿宋" w:hAnsi="仿宋"/>
          <w:bCs/>
          <w:sz w:val="24"/>
          <w:szCs w:val="24"/>
        </w:rPr>
        <w:t>30</w:t>
      </w:r>
      <w:r>
        <w:rPr>
          <w:rFonts w:ascii="仿宋" w:eastAsia="仿宋" w:hAnsi="仿宋" w:hint="eastAsia"/>
          <w:bCs/>
          <w:sz w:val="24"/>
          <w:szCs w:val="24"/>
        </w:rPr>
        <w:t>分。</w:t>
      </w:r>
      <w:r>
        <w:rPr>
          <w:rFonts w:ascii="仿宋" w:eastAsia="仿宋" w:hAnsi="仿宋"/>
          <w:bCs/>
          <w:sz w:val="24"/>
          <w:szCs w:val="24"/>
        </w:rPr>
        <w:t>2</w:t>
      </w:r>
      <w:r>
        <w:rPr>
          <w:rFonts w:ascii="仿宋" w:eastAsia="仿宋" w:hAnsi="仿宋" w:hint="eastAsia"/>
          <w:bCs/>
          <w:sz w:val="24"/>
          <w:szCs w:val="24"/>
        </w:rPr>
        <w:t>、完全满足技术指标的得</w:t>
      </w:r>
      <w:r w:rsidR="00246CD9">
        <w:rPr>
          <w:rFonts w:ascii="仿宋" w:eastAsia="仿宋" w:hAnsi="仿宋"/>
          <w:bCs/>
          <w:sz w:val="24"/>
          <w:szCs w:val="24"/>
        </w:rPr>
        <w:t>30</w:t>
      </w:r>
      <w:r>
        <w:rPr>
          <w:rFonts w:ascii="仿宋" w:eastAsia="仿宋" w:hAnsi="仿宋" w:hint="eastAsia"/>
          <w:bCs/>
          <w:sz w:val="24"/>
          <w:szCs w:val="24"/>
        </w:rPr>
        <w:t>分。注：实质性要求不参与评分。”</w:t>
      </w:r>
      <w:r>
        <w:rPr>
          <w:rFonts w:ascii="仿宋" w:eastAsia="仿宋" w:hAnsi="仿宋" w:hint="eastAsia"/>
          <w:b/>
          <w:sz w:val="24"/>
          <w:szCs w:val="24"/>
        </w:rPr>
        <w:t>更正为</w:t>
      </w:r>
      <w:r>
        <w:rPr>
          <w:rFonts w:ascii="仿宋" w:eastAsia="仿宋" w:hAnsi="仿宋" w:hint="eastAsia"/>
          <w:sz w:val="24"/>
          <w:szCs w:val="24"/>
        </w:rPr>
        <w:t>“</w:t>
      </w:r>
      <w:r>
        <w:rPr>
          <w:rFonts w:ascii="仿宋" w:eastAsia="仿宋" w:hAnsi="仿宋" w:hint="eastAsia"/>
          <w:bCs/>
          <w:sz w:val="24"/>
          <w:szCs w:val="24"/>
        </w:rPr>
        <w:t>投标人所投本项目的产品技术参数满足招标技术参数要求的，按以下原则得分：1、参数得分=（供应商满足参数条款的数量÷参数条款的总数量）×</w:t>
      </w:r>
      <w:r w:rsidR="00BE5103">
        <w:rPr>
          <w:rFonts w:ascii="仿宋" w:eastAsia="仿宋" w:hAnsi="仿宋"/>
          <w:bCs/>
          <w:sz w:val="24"/>
          <w:szCs w:val="24"/>
        </w:rPr>
        <w:t>3</w:t>
      </w:r>
      <w:r w:rsidR="00246CD9">
        <w:rPr>
          <w:rFonts w:ascii="仿宋" w:eastAsia="仿宋" w:hAnsi="仿宋"/>
          <w:bCs/>
          <w:sz w:val="24"/>
          <w:szCs w:val="24"/>
        </w:rPr>
        <w:t>6</w:t>
      </w:r>
      <w:r>
        <w:rPr>
          <w:rFonts w:ascii="仿宋" w:eastAsia="仿宋" w:hAnsi="仿宋" w:hint="eastAsia"/>
          <w:bCs/>
          <w:sz w:val="24"/>
          <w:szCs w:val="24"/>
        </w:rPr>
        <w:t>分。</w:t>
      </w:r>
      <w:r>
        <w:rPr>
          <w:rFonts w:ascii="仿宋" w:eastAsia="仿宋" w:hAnsi="仿宋"/>
          <w:bCs/>
          <w:sz w:val="24"/>
          <w:szCs w:val="24"/>
        </w:rPr>
        <w:t>2</w:t>
      </w:r>
      <w:r>
        <w:rPr>
          <w:rFonts w:ascii="仿宋" w:eastAsia="仿宋" w:hAnsi="仿宋" w:hint="eastAsia"/>
          <w:bCs/>
          <w:sz w:val="24"/>
          <w:szCs w:val="24"/>
        </w:rPr>
        <w:t>、完全满足技术指标的得</w:t>
      </w:r>
      <w:r w:rsidR="00BE5103">
        <w:rPr>
          <w:rFonts w:ascii="仿宋" w:eastAsia="仿宋" w:hAnsi="仿宋"/>
          <w:bCs/>
          <w:sz w:val="24"/>
          <w:szCs w:val="24"/>
        </w:rPr>
        <w:t>3</w:t>
      </w:r>
      <w:r w:rsidR="00246CD9">
        <w:rPr>
          <w:rFonts w:ascii="仿宋" w:eastAsia="仿宋" w:hAnsi="仿宋"/>
          <w:bCs/>
          <w:sz w:val="24"/>
          <w:szCs w:val="24"/>
        </w:rPr>
        <w:t>6</w:t>
      </w:r>
      <w:r>
        <w:rPr>
          <w:rFonts w:ascii="仿宋" w:eastAsia="仿宋" w:hAnsi="仿宋" w:hint="eastAsia"/>
          <w:bCs/>
          <w:sz w:val="24"/>
          <w:szCs w:val="24"/>
        </w:rPr>
        <w:t>分。注：实质性要求不参与评分。”</w:t>
      </w:r>
    </w:p>
    <w:p w:rsidR="00475F3D" w:rsidRPr="00B441CA" w:rsidRDefault="00475F3D">
      <w:pPr>
        <w:spacing w:line="480" w:lineRule="auto"/>
        <w:ind w:firstLine="480"/>
        <w:rPr>
          <w:rFonts w:ascii="仿宋" w:eastAsia="仿宋" w:hAnsi="仿宋"/>
          <w:bCs/>
          <w:sz w:val="24"/>
          <w:szCs w:val="24"/>
        </w:rPr>
      </w:pPr>
      <w:r w:rsidRPr="00B441CA">
        <w:rPr>
          <w:rFonts w:ascii="仿宋" w:eastAsia="仿宋" w:hAnsi="仿宋" w:hint="eastAsia"/>
          <w:bCs/>
          <w:sz w:val="24"/>
          <w:szCs w:val="24"/>
        </w:rPr>
        <w:t>2</w:t>
      </w:r>
      <w:r w:rsidRPr="00B441CA">
        <w:rPr>
          <w:rFonts w:ascii="仿宋" w:eastAsia="仿宋" w:hAnsi="仿宋"/>
          <w:bCs/>
          <w:sz w:val="24"/>
          <w:szCs w:val="24"/>
        </w:rPr>
        <w:t>.</w:t>
      </w:r>
      <w:r w:rsidRPr="00B441CA">
        <w:rPr>
          <w:rFonts w:asciiTheme="minorEastAsia" w:hAnsiTheme="minorEastAsia" w:cs="宋体" w:hint="eastAsia"/>
          <w:bCs/>
          <w:color w:val="000000" w:themeColor="text1"/>
          <w:szCs w:val="21"/>
        </w:rPr>
        <w:t xml:space="preserve"> </w:t>
      </w:r>
      <w:r w:rsidRPr="00B441CA">
        <w:rPr>
          <w:rFonts w:ascii="仿宋" w:eastAsia="仿宋" w:hAnsi="仿宋" w:hint="eastAsia"/>
          <w:bCs/>
          <w:sz w:val="24"/>
          <w:szCs w:val="24"/>
        </w:rPr>
        <w:t>分值由“</w:t>
      </w:r>
      <w:r w:rsidR="00246CD9">
        <w:rPr>
          <w:rFonts w:ascii="仿宋" w:eastAsia="仿宋" w:hAnsi="仿宋"/>
          <w:bCs/>
          <w:sz w:val="24"/>
          <w:szCs w:val="24"/>
        </w:rPr>
        <w:t>30</w:t>
      </w:r>
      <w:r w:rsidRPr="00B441CA">
        <w:rPr>
          <w:rFonts w:ascii="仿宋" w:eastAsia="仿宋" w:hAnsi="仿宋"/>
          <w:bCs/>
          <w:sz w:val="24"/>
          <w:szCs w:val="24"/>
        </w:rPr>
        <w:t>分</w:t>
      </w:r>
      <w:r w:rsidRPr="00B441CA">
        <w:rPr>
          <w:rFonts w:ascii="仿宋" w:eastAsia="仿宋" w:hAnsi="仿宋" w:hint="eastAsia"/>
          <w:bCs/>
          <w:sz w:val="24"/>
          <w:szCs w:val="24"/>
        </w:rPr>
        <w:t>”更正为“3</w:t>
      </w:r>
      <w:r w:rsidR="00246CD9">
        <w:rPr>
          <w:rFonts w:ascii="仿宋" w:eastAsia="仿宋" w:hAnsi="仿宋"/>
          <w:bCs/>
          <w:sz w:val="24"/>
          <w:szCs w:val="24"/>
        </w:rPr>
        <w:t>6</w:t>
      </w:r>
      <w:r w:rsidRPr="00B441CA">
        <w:rPr>
          <w:rFonts w:ascii="仿宋" w:eastAsia="仿宋" w:hAnsi="仿宋"/>
          <w:bCs/>
          <w:sz w:val="24"/>
          <w:szCs w:val="24"/>
        </w:rPr>
        <w:t>分</w:t>
      </w:r>
      <w:r w:rsidRPr="00B441CA">
        <w:rPr>
          <w:rFonts w:ascii="仿宋" w:eastAsia="仿宋" w:hAnsi="仿宋" w:hint="eastAsia"/>
          <w:bCs/>
          <w:sz w:val="24"/>
          <w:szCs w:val="24"/>
        </w:rPr>
        <w:t>”；</w:t>
      </w:r>
    </w:p>
    <w:p w:rsidR="00475F3D" w:rsidRDefault="00C7448A">
      <w:pPr>
        <w:spacing w:line="480" w:lineRule="auto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lastRenderedPageBreak/>
        <w:t>四</w:t>
      </w:r>
      <w:r w:rsidR="00475F3D">
        <w:rPr>
          <w:rFonts w:ascii="仿宋" w:eastAsia="仿宋" w:hAnsi="仿宋" w:hint="eastAsia"/>
          <w:bCs/>
          <w:sz w:val="24"/>
          <w:szCs w:val="24"/>
        </w:rPr>
        <w:t>、招标文件第七章评标办法4.3.3综合评分明细表中序号2-产品质量评价中的：</w:t>
      </w:r>
    </w:p>
    <w:p w:rsidR="00BE5103" w:rsidRPr="00BE5103" w:rsidRDefault="00475F3D" w:rsidP="00BE5103">
      <w:pPr>
        <w:spacing w:line="480" w:lineRule="auto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1</w:t>
      </w:r>
      <w:r>
        <w:rPr>
          <w:rFonts w:ascii="仿宋" w:eastAsia="仿宋" w:hAnsi="仿宋"/>
          <w:bCs/>
          <w:sz w:val="24"/>
          <w:szCs w:val="24"/>
        </w:rPr>
        <w:t>.</w:t>
      </w:r>
      <w:r>
        <w:rPr>
          <w:rFonts w:ascii="仿宋" w:eastAsia="仿宋" w:hAnsi="仿宋" w:hint="eastAsia"/>
          <w:bCs/>
          <w:sz w:val="24"/>
          <w:szCs w:val="24"/>
        </w:rPr>
        <w:t>评审标准</w:t>
      </w:r>
      <w:r>
        <w:rPr>
          <w:rFonts w:ascii="仿宋" w:eastAsia="仿宋" w:hAnsi="仿宋" w:hint="eastAsia"/>
          <w:b/>
          <w:sz w:val="24"/>
          <w:szCs w:val="24"/>
        </w:rPr>
        <w:t>由</w:t>
      </w:r>
      <w:r>
        <w:rPr>
          <w:rFonts w:ascii="仿宋" w:eastAsia="仿宋" w:hAnsi="仿宋" w:hint="eastAsia"/>
          <w:bCs/>
          <w:sz w:val="24"/>
          <w:szCs w:val="24"/>
        </w:rPr>
        <w:t>“</w:t>
      </w:r>
      <w:r w:rsidR="00BE5103" w:rsidRPr="00BE5103">
        <w:rPr>
          <w:rFonts w:ascii="仿宋" w:eastAsia="仿宋" w:hAnsi="仿宋" w:hint="eastAsia"/>
          <w:bCs/>
          <w:sz w:val="24"/>
          <w:szCs w:val="24"/>
        </w:rPr>
        <w:t>1、所投产品LED教室灯、LED黑板灯依据《GB/T 5700-2008 》《GB/T 13379-2008》要求满足安装使用时间或在役时间≥3年的，每有一个产品满足的得3分，满分6分；</w:t>
      </w:r>
    </w:p>
    <w:p w:rsidR="00BE5103" w:rsidRPr="00BE5103" w:rsidRDefault="00BE5103" w:rsidP="00BE5103">
      <w:pPr>
        <w:spacing w:line="480" w:lineRule="auto"/>
        <w:ind w:firstLine="480"/>
        <w:rPr>
          <w:rFonts w:ascii="仿宋" w:eastAsia="仿宋" w:hAnsi="仿宋"/>
          <w:bCs/>
          <w:sz w:val="24"/>
          <w:szCs w:val="24"/>
        </w:rPr>
      </w:pPr>
      <w:r w:rsidRPr="00BE5103">
        <w:rPr>
          <w:rFonts w:ascii="仿宋" w:eastAsia="仿宋" w:hAnsi="仿宋" w:hint="eastAsia"/>
          <w:bCs/>
          <w:sz w:val="24"/>
          <w:szCs w:val="24"/>
        </w:rPr>
        <w:t>2、所投产品LED教室灯、LED黑板</w:t>
      </w:r>
      <w:proofErr w:type="gramStart"/>
      <w:r w:rsidRPr="00BE5103">
        <w:rPr>
          <w:rFonts w:ascii="仿宋" w:eastAsia="仿宋" w:hAnsi="仿宋" w:hint="eastAsia"/>
          <w:bCs/>
          <w:sz w:val="24"/>
          <w:szCs w:val="24"/>
        </w:rPr>
        <w:t>灯依据</w:t>
      </w:r>
      <w:proofErr w:type="gramEnd"/>
      <w:r w:rsidRPr="00BE5103">
        <w:rPr>
          <w:rFonts w:ascii="仿宋" w:eastAsia="仿宋" w:hAnsi="仿宋" w:hint="eastAsia"/>
          <w:bCs/>
          <w:sz w:val="24"/>
          <w:szCs w:val="24"/>
        </w:rPr>
        <w:t>《GB/T 5700-2008 》《GB/T 13379-2008》要求通过光环境或教室照明类认证的，每有一个产品满足的得3分，满分6分；</w:t>
      </w:r>
    </w:p>
    <w:p w:rsidR="00BE5103" w:rsidRPr="00BE5103" w:rsidRDefault="00BE5103" w:rsidP="00BE5103">
      <w:pPr>
        <w:spacing w:line="480" w:lineRule="auto"/>
        <w:ind w:firstLine="480"/>
        <w:rPr>
          <w:rFonts w:ascii="仿宋" w:eastAsia="仿宋" w:hAnsi="仿宋"/>
          <w:bCs/>
          <w:sz w:val="24"/>
          <w:szCs w:val="24"/>
        </w:rPr>
      </w:pPr>
      <w:r w:rsidRPr="00BE5103">
        <w:rPr>
          <w:rFonts w:ascii="仿宋" w:eastAsia="仿宋" w:hAnsi="仿宋" w:hint="eastAsia"/>
          <w:bCs/>
          <w:sz w:val="24"/>
          <w:szCs w:val="24"/>
        </w:rPr>
        <w:t>注：以上每项均须提供第三方认证机构出具的认证证书（产品型号及依据须在同一份证书上体现，分开提供无效）及全国认证认可信息公共服务平台证书状态为“有效”的查询证明复印件；认证结果不符合或提供材料不齐全不得分。</w:t>
      </w:r>
      <w:r w:rsidR="00475F3D">
        <w:rPr>
          <w:rFonts w:ascii="仿宋" w:eastAsia="仿宋" w:hAnsi="仿宋" w:hint="eastAsia"/>
          <w:bCs/>
          <w:sz w:val="24"/>
          <w:szCs w:val="24"/>
        </w:rPr>
        <w:t>”</w:t>
      </w:r>
      <w:r w:rsidR="00475F3D">
        <w:rPr>
          <w:rFonts w:ascii="仿宋" w:eastAsia="仿宋" w:hAnsi="仿宋" w:hint="eastAsia"/>
          <w:b/>
          <w:sz w:val="24"/>
          <w:szCs w:val="24"/>
        </w:rPr>
        <w:t>更正为</w:t>
      </w:r>
      <w:r w:rsidR="00475F3D">
        <w:rPr>
          <w:rFonts w:ascii="仿宋" w:eastAsia="仿宋" w:hAnsi="仿宋" w:hint="eastAsia"/>
          <w:bCs/>
          <w:sz w:val="24"/>
          <w:szCs w:val="24"/>
        </w:rPr>
        <w:t>“</w:t>
      </w:r>
      <w:r w:rsidRPr="00BE5103">
        <w:rPr>
          <w:rFonts w:ascii="仿宋" w:eastAsia="仿宋" w:hAnsi="仿宋" w:hint="eastAsia"/>
          <w:bCs/>
          <w:sz w:val="24"/>
          <w:szCs w:val="24"/>
        </w:rPr>
        <w:t>所投产品LED教室灯、LED黑板灯依据《GB/T 5700-2008 》《GB/T 13379-2008》要求通过光环境或教室照明类认证的，每有一个产品满足的得3分，满分6分；</w:t>
      </w:r>
    </w:p>
    <w:p w:rsidR="00A50D5E" w:rsidRDefault="00BE5103" w:rsidP="00BE5103">
      <w:pPr>
        <w:spacing w:line="480" w:lineRule="auto"/>
        <w:ind w:firstLine="480"/>
        <w:rPr>
          <w:rFonts w:ascii="仿宋" w:eastAsia="仿宋" w:hAnsi="仿宋"/>
          <w:bCs/>
          <w:sz w:val="24"/>
          <w:szCs w:val="24"/>
        </w:rPr>
      </w:pPr>
      <w:r w:rsidRPr="00BE5103">
        <w:rPr>
          <w:rFonts w:ascii="仿宋" w:eastAsia="仿宋" w:hAnsi="仿宋" w:hint="eastAsia"/>
          <w:bCs/>
          <w:sz w:val="24"/>
          <w:szCs w:val="24"/>
        </w:rPr>
        <w:t>注：以上每项均须提供第三方认证机构出具的认证证书（产品型号及依据须在同一份证书上体现，分开提供无效）及全国认证认可信息公共服务平台证书状态为“有效”的查询证明复印件；认证结果不符合或提供材料不齐全不得分。</w:t>
      </w:r>
      <w:r w:rsidR="00475F3D">
        <w:rPr>
          <w:rFonts w:ascii="仿宋" w:eastAsia="仿宋" w:hAnsi="仿宋" w:hint="eastAsia"/>
          <w:bCs/>
          <w:sz w:val="24"/>
          <w:szCs w:val="24"/>
        </w:rPr>
        <w:t>”</w:t>
      </w:r>
    </w:p>
    <w:p w:rsidR="00475F3D" w:rsidRPr="00B441CA" w:rsidRDefault="00475F3D">
      <w:pPr>
        <w:spacing w:line="480" w:lineRule="auto"/>
        <w:ind w:firstLine="480"/>
        <w:rPr>
          <w:rFonts w:ascii="仿宋" w:eastAsia="仿宋" w:hAnsi="仿宋"/>
          <w:bCs/>
          <w:sz w:val="24"/>
          <w:szCs w:val="24"/>
        </w:rPr>
      </w:pPr>
      <w:r w:rsidRPr="00B441CA">
        <w:rPr>
          <w:rFonts w:ascii="仿宋" w:eastAsia="仿宋" w:hAnsi="仿宋" w:hint="eastAsia"/>
          <w:bCs/>
          <w:sz w:val="24"/>
          <w:szCs w:val="24"/>
        </w:rPr>
        <w:t>2</w:t>
      </w:r>
      <w:r w:rsidRPr="00B441CA">
        <w:rPr>
          <w:rFonts w:ascii="仿宋" w:eastAsia="仿宋" w:hAnsi="仿宋"/>
          <w:bCs/>
          <w:sz w:val="24"/>
          <w:szCs w:val="24"/>
        </w:rPr>
        <w:t>.</w:t>
      </w:r>
      <w:r w:rsidRPr="00B441CA">
        <w:rPr>
          <w:rFonts w:ascii="仿宋" w:eastAsia="仿宋" w:hAnsi="仿宋" w:hint="eastAsia"/>
          <w:bCs/>
          <w:sz w:val="24"/>
          <w:szCs w:val="24"/>
        </w:rPr>
        <w:t xml:space="preserve"> 分值由“</w:t>
      </w:r>
      <w:r w:rsidR="00BE5103" w:rsidRPr="00B441CA">
        <w:rPr>
          <w:rFonts w:ascii="仿宋" w:eastAsia="仿宋" w:hAnsi="仿宋"/>
          <w:bCs/>
          <w:sz w:val="24"/>
          <w:szCs w:val="24"/>
        </w:rPr>
        <w:t>12</w:t>
      </w:r>
      <w:r w:rsidRPr="00B441CA">
        <w:rPr>
          <w:rFonts w:ascii="仿宋" w:eastAsia="仿宋" w:hAnsi="仿宋"/>
          <w:bCs/>
          <w:sz w:val="24"/>
          <w:szCs w:val="24"/>
        </w:rPr>
        <w:t>分</w:t>
      </w:r>
      <w:r w:rsidRPr="00B441CA">
        <w:rPr>
          <w:rFonts w:ascii="仿宋" w:eastAsia="仿宋" w:hAnsi="仿宋" w:hint="eastAsia"/>
          <w:bCs/>
          <w:sz w:val="24"/>
          <w:szCs w:val="24"/>
        </w:rPr>
        <w:t>”更正为“</w:t>
      </w:r>
      <w:r w:rsidR="00BE5103" w:rsidRPr="00B441CA">
        <w:rPr>
          <w:rFonts w:ascii="仿宋" w:eastAsia="仿宋" w:hAnsi="仿宋"/>
          <w:bCs/>
          <w:sz w:val="24"/>
          <w:szCs w:val="24"/>
        </w:rPr>
        <w:t>6</w:t>
      </w:r>
      <w:r w:rsidRPr="00B441CA">
        <w:rPr>
          <w:rFonts w:ascii="仿宋" w:eastAsia="仿宋" w:hAnsi="仿宋"/>
          <w:bCs/>
          <w:sz w:val="24"/>
          <w:szCs w:val="24"/>
        </w:rPr>
        <w:t>分</w:t>
      </w:r>
      <w:r w:rsidRPr="00B441CA">
        <w:rPr>
          <w:rFonts w:ascii="仿宋" w:eastAsia="仿宋" w:hAnsi="仿宋" w:hint="eastAsia"/>
          <w:bCs/>
          <w:sz w:val="24"/>
          <w:szCs w:val="24"/>
        </w:rPr>
        <w:t>”</w:t>
      </w:r>
    </w:p>
    <w:p w:rsidR="00A50D5E" w:rsidRDefault="00C7448A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五</w:t>
      </w:r>
      <w:bookmarkStart w:id="2" w:name="_GoBack"/>
      <w:bookmarkEnd w:id="2"/>
      <w:r w:rsidR="00475F3D">
        <w:rPr>
          <w:rFonts w:ascii="仿宋" w:eastAsia="仿宋" w:hAnsi="仿宋" w:hint="eastAsia"/>
          <w:sz w:val="24"/>
          <w:szCs w:val="24"/>
        </w:rPr>
        <w:t>、其余不变。</w:t>
      </w:r>
    </w:p>
    <w:p w:rsidR="00A50D5E" w:rsidRDefault="00A50D5E">
      <w:pPr>
        <w:pStyle w:val="a9"/>
        <w:spacing w:line="480" w:lineRule="auto"/>
        <w:ind w:left="420" w:firstLine="480"/>
        <w:jc w:val="right"/>
        <w:rPr>
          <w:rFonts w:ascii="仿宋" w:eastAsia="仿宋" w:hAnsi="仿宋"/>
          <w:bCs/>
          <w:sz w:val="24"/>
          <w:szCs w:val="24"/>
        </w:rPr>
      </w:pPr>
    </w:p>
    <w:p w:rsidR="00A50D5E" w:rsidRDefault="00246CD9">
      <w:pPr>
        <w:pStyle w:val="a9"/>
        <w:spacing w:line="480" w:lineRule="auto"/>
        <w:ind w:left="420" w:firstLine="480"/>
        <w:jc w:val="right"/>
        <w:rPr>
          <w:rFonts w:ascii="仿宋" w:eastAsia="仿宋" w:hAnsi="仿宋"/>
          <w:sz w:val="24"/>
          <w:szCs w:val="24"/>
        </w:rPr>
      </w:pPr>
      <w:r w:rsidRPr="00246CD9">
        <w:rPr>
          <w:rFonts w:ascii="仿宋" w:eastAsia="仿宋" w:hAnsi="仿宋" w:hint="eastAsia"/>
          <w:bCs/>
          <w:sz w:val="24"/>
          <w:szCs w:val="24"/>
        </w:rPr>
        <w:t>成都市龙泉</w:t>
      </w:r>
      <w:proofErr w:type="gramStart"/>
      <w:r w:rsidRPr="00246CD9">
        <w:rPr>
          <w:rFonts w:ascii="仿宋" w:eastAsia="仿宋" w:hAnsi="仿宋" w:hint="eastAsia"/>
          <w:bCs/>
          <w:sz w:val="24"/>
          <w:szCs w:val="24"/>
        </w:rPr>
        <w:t>驿</w:t>
      </w:r>
      <w:proofErr w:type="gramEnd"/>
      <w:r w:rsidRPr="00246CD9">
        <w:rPr>
          <w:rFonts w:ascii="仿宋" w:eastAsia="仿宋" w:hAnsi="仿宋" w:hint="eastAsia"/>
          <w:bCs/>
          <w:sz w:val="24"/>
          <w:szCs w:val="24"/>
        </w:rPr>
        <w:t>区客家小学校</w:t>
      </w:r>
    </w:p>
    <w:p w:rsidR="00A50D5E" w:rsidRDefault="00475F3D" w:rsidP="00B65112">
      <w:pPr>
        <w:pStyle w:val="a9"/>
        <w:spacing w:line="480" w:lineRule="auto"/>
        <w:ind w:left="420" w:firstLine="48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2022年01月0</w:t>
      </w:r>
      <w:r>
        <w:rPr>
          <w:rFonts w:ascii="仿宋" w:eastAsia="仿宋" w:hAnsi="仿宋" w:hint="eastAsia"/>
          <w:sz w:val="24"/>
          <w:szCs w:val="24"/>
        </w:rPr>
        <w:t>6日</w:t>
      </w:r>
    </w:p>
    <w:sectPr w:rsidR="00A50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8F"/>
    <w:rsid w:val="00034C66"/>
    <w:rsid w:val="00066DA9"/>
    <w:rsid w:val="00070B0B"/>
    <w:rsid w:val="000C336F"/>
    <w:rsid w:val="001206D2"/>
    <w:rsid w:val="00122506"/>
    <w:rsid w:val="00132451"/>
    <w:rsid w:val="001A77E9"/>
    <w:rsid w:val="001C106A"/>
    <w:rsid w:val="001D6A4F"/>
    <w:rsid w:val="00246CD9"/>
    <w:rsid w:val="002961F9"/>
    <w:rsid w:val="002A518F"/>
    <w:rsid w:val="002C57BD"/>
    <w:rsid w:val="002C676B"/>
    <w:rsid w:val="002E6D33"/>
    <w:rsid w:val="002F0645"/>
    <w:rsid w:val="003845A2"/>
    <w:rsid w:val="003A30AB"/>
    <w:rsid w:val="003C23EB"/>
    <w:rsid w:val="003C2DA3"/>
    <w:rsid w:val="003D56FB"/>
    <w:rsid w:val="00400E2E"/>
    <w:rsid w:val="00406E9F"/>
    <w:rsid w:val="00423D1A"/>
    <w:rsid w:val="004414F2"/>
    <w:rsid w:val="004544FD"/>
    <w:rsid w:val="00475F3D"/>
    <w:rsid w:val="004C261F"/>
    <w:rsid w:val="00500BE8"/>
    <w:rsid w:val="00564E5F"/>
    <w:rsid w:val="0059473B"/>
    <w:rsid w:val="005A5518"/>
    <w:rsid w:val="005B5955"/>
    <w:rsid w:val="005B6E8F"/>
    <w:rsid w:val="005D3D85"/>
    <w:rsid w:val="00642993"/>
    <w:rsid w:val="006E4736"/>
    <w:rsid w:val="00740C0D"/>
    <w:rsid w:val="0079358B"/>
    <w:rsid w:val="007D6604"/>
    <w:rsid w:val="007D7690"/>
    <w:rsid w:val="007F09E7"/>
    <w:rsid w:val="007F0A28"/>
    <w:rsid w:val="00843C6F"/>
    <w:rsid w:val="00844BD5"/>
    <w:rsid w:val="00896DD2"/>
    <w:rsid w:val="008B4946"/>
    <w:rsid w:val="008B5672"/>
    <w:rsid w:val="008E0CBC"/>
    <w:rsid w:val="008E44C2"/>
    <w:rsid w:val="008F2943"/>
    <w:rsid w:val="00911E6B"/>
    <w:rsid w:val="009734AA"/>
    <w:rsid w:val="009918E1"/>
    <w:rsid w:val="009931B2"/>
    <w:rsid w:val="009B23E6"/>
    <w:rsid w:val="009C0602"/>
    <w:rsid w:val="009E606D"/>
    <w:rsid w:val="009F0730"/>
    <w:rsid w:val="00A50D5E"/>
    <w:rsid w:val="00A6245C"/>
    <w:rsid w:val="00A70B2C"/>
    <w:rsid w:val="00AB4788"/>
    <w:rsid w:val="00B02196"/>
    <w:rsid w:val="00B3752B"/>
    <w:rsid w:val="00B441CA"/>
    <w:rsid w:val="00B65112"/>
    <w:rsid w:val="00B92426"/>
    <w:rsid w:val="00BA29E5"/>
    <w:rsid w:val="00BE5103"/>
    <w:rsid w:val="00BF23D6"/>
    <w:rsid w:val="00BF7912"/>
    <w:rsid w:val="00C01BDB"/>
    <w:rsid w:val="00C22664"/>
    <w:rsid w:val="00C272FB"/>
    <w:rsid w:val="00C37100"/>
    <w:rsid w:val="00C55F56"/>
    <w:rsid w:val="00C66E83"/>
    <w:rsid w:val="00C7448A"/>
    <w:rsid w:val="00CA45AD"/>
    <w:rsid w:val="00CF7802"/>
    <w:rsid w:val="00D00C15"/>
    <w:rsid w:val="00D15D72"/>
    <w:rsid w:val="00D34CC4"/>
    <w:rsid w:val="00D55411"/>
    <w:rsid w:val="00D84EAA"/>
    <w:rsid w:val="00DD2AC1"/>
    <w:rsid w:val="00DD5E30"/>
    <w:rsid w:val="00E07545"/>
    <w:rsid w:val="00E62E6E"/>
    <w:rsid w:val="00E706AC"/>
    <w:rsid w:val="00E94696"/>
    <w:rsid w:val="00EB496D"/>
    <w:rsid w:val="00EC6753"/>
    <w:rsid w:val="00F8145B"/>
    <w:rsid w:val="00F90F91"/>
    <w:rsid w:val="00FA006B"/>
    <w:rsid w:val="27F35B05"/>
    <w:rsid w:val="46176A91"/>
    <w:rsid w:val="5F29496F"/>
    <w:rsid w:val="7E56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8A20F-849F-4B6A-9E7A-2B5180B3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B5DF4D-F7DB-4FD1-97BD-2C10242D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</dc:creator>
  <cp:lastModifiedBy>匿名</cp:lastModifiedBy>
  <cp:revision>88</cp:revision>
  <cp:lastPrinted>2021-10-08T04:57:00Z</cp:lastPrinted>
  <dcterms:created xsi:type="dcterms:W3CDTF">2021-09-30T04:29:00Z</dcterms:created>
  <dcterms:modified xsi:type="dcterms:W3CDTF">2022-01-06T03:43:00Z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70BD112A729F48E29151290028B16008</vt:lpwstr>
  </property>
</Properties>
</file>