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27" w:rsidRDefault="00657027" w:rsidP="00657027">
      <w:pPr>
        <w:keepNext/>
        <w:keepLines/>
        <w:spacing w:before="260" w:after="260" w:line="400" w:lineRule="exact"/>
        <w:ind w:firstLineChars="98" w:firstLine="236"/>
        <w:outlineLvl w:val="1"/>
        <w:rPr>
          <w:rFonts w:ascii="仿宋" w:eastAsia="仿宋" w:hAnsi="仿宋"/>
          <w:b/>
          <w:bCs/>
          <w:sz w:val="24"/>
        </w:rPr>
      </w:pPr>
      <w:bookmarkStart w:id="0" w:name="_Toc217446094"/>
      <w:r>
        <w:rPr>
          <w:rFonts w:ascii="仿宋" w:eastAsia="仿宋" w:hAnsi="仿宋" w:hint="eastAsia"/>
          <w:b/>
          <w:bCs/>
          <w:sz w:val="24"/>
        </w:rPr>
        <w:t>前提：本章中标注“*”的条款为本项目的实质性要求条款，投标人不满足或未按照要求提供技术支持资料的，将在符合性审查时按照无效投标处理（针对投标产品的“*”号条款技术参数，投标人应提供技术支持资料，技术支持资料指：投标产品生产厂家公开发布的印刷资料、说明书或检测机构出具的检测报告等资料；针对以上所有资料，须加盖投标人公章（鲜章））；标注“★”得条款为重点扣分条款，不满足或未按照要求提供技术支持资料的作重点扣分处理，具体详见第七章“综合评分明细表”。</w:t>
      </w:r>
    </w:p>
    <w:p w:rsidR="00657027" w:rsidRDefault="00657027" w:rsidP="00657027">
      <w:pPr>
        <w:keepNext/>
        <w:keepLines/>
        <w:spacing w:before="260" w:after="260" w:line="400" w:lineRule="exact"/>
        <w:ind w:firstLineChars="98" w:firstLine="236"/>
        <w:outlineLvl w:val="1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 项目概述</w:t>
      </w:r>
      <w:bookmarkEnd w:id="0"/>
      <w:r>
        <w:rPr>
          <w:rFonts w:ascii="仿宋" w:eastAsia="仿宋" w:hAnsi="仿宋" w:hint="eastAsia"/>
          <w:b/>
          <w:bCs/>
          <w:sz w:val="24"/>
        </w:rPr>
        <w:t>、采购标的及所属行业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25"/>
        <w:gridCol w:w="1923"/>
        <w:gridCol w:w="1215"/>
        <w:gridCol w:w="1080"/>
        <w:gridCol w:w="1241"/>
        <w:gridCol w:w="1074"/>
      </w:tblGrid>
      <w:tr w:rsidR="00657027" w:rsidTr="005F627D">
        <w:trPr>
          <w:trHeight w:val="744"/>
        </w:trPr>
        <w:tc>
          <w:tcPr>
            <w:tcW w:w="738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1" w:name="_Toc217446095"/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品目号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数量（台/套/个）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最高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限价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是否允许采购进口产品</w:t>
            </w:r>
          </w:p>
        </w:tc>
        <w:tc>
          <w:tcPr>
            <w:tcW w:w="1074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所属行业</w:t>
            </w:r>
          </w:p>
        </w:tc>
      </w:tr>
      <w:tr w:rsidR="00657027" w:rsidTr="005F627D">
        <w:trPr>
          <w:trHeight w:val="615"/>
        </w:trPr>
        <w:tc>
          <w:tcPr>
            <w:tcW w:w="738" w:type="dxa"/>
            <w:vMerge w:val="restart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01-01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内窥镜摄像系统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74" w:type="dxa"/>
            <w:vMerge w:val="restart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工业</w:t>
            </w:r>
          </w:p>
        </w:tc>
      </w:tr>
      <w:tr w:rsidR="00657027" w:rsidTr="005F627D">
        <w:trPr>
          <w:trHeight w:val="615"/>
        </w:trPr>
        <w:tc>
          <w:tcPr>
            <w:tcW w:w="738" w:type="dxa"/>
            <w:vMerge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01-02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肌电图诱发电位仪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74" w:type="dxa"/>
            <w:vMerge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57027" w:rsidTr="005F627D">
        <w:trPr>
          <w:trHeight w:val="615"/>
        </w:trPr>
        <w:tc>
          <w:tcPr>
            <w:tcW w:w="738" w:type="dxa"/>
            <w:vMerge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01-03</w:t>
            </w:r>
          </w:p>
        </w:tc>
        <w:tc>
          <w:tcPr>
            <w:tcW w:w="1923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全自动糖化血红蛋白分析仪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74" w:type="dxa"/>
            <w:vMerge/>
            <w:shd w:val="clear" w:color="000000" w:fill="FFFFFF"/>
            <w:vAlign w:val="center"/>
          </w:tcPr>
          <w:p w:rsidR="00657027" w:rsidRDefault="00657027" w:rsidP="005F627D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657027" w:rsidRDefault="00657027" w:rsidP="00657027">
      <w:pPr>
        <w:keepNext/>
        <w:keepLines/>
        <w:spacing w:before="260" w:after="260" w:line="400" w:lineRule="exact"/>
        <w:ind w:firstLineChars="98" w:firstLine="236"/>
        <w:outlineLvl w:val="1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二、商务要求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*（一）交货期及地点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1.交货期：合同签订后</w:t>
      </w:r>
      <w:r>
        <w:rPr>
          <w:rFonts w:ascii="仿宋" w:eastAsia="仿宋" w:hAnsi="仿宋"/>
          <w:bCs/>
          <w:sz w:val="24"/>
        </w:rPr>
        <w:t>30日</w:t>
      </w:r>
      <w:r>
        <w:rPr>
          <w:rFonts w:ascii="仿宋" w:eastAsia="仿宋" w:hAnsi="仿宋" w:hint="eastAsia"/>
          <w:bCs/>
          <w:sz w:val="24"/>
        </w:rPr>
        <w:t>内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2.交货地点: 成都市成华区</w:t>
      </w:r>
      <w:r>
        <w:rPr>
          <w:rFonts w:ascii="仿宋" w:eastAsia="仿宋" w:hAnsi="仿宋"/>
          <w:bCs/>
          <w:sz w:val="24"/>
        </w:rPr>
        <w:t>第三人民医院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*（二）付款方法和条件：签定合同后，验收完成后，收到供应商合法合规发票的前提下支付全额合同款。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（三）质保期：</w:t>
      </w:r>
    </w:p>
    <w:p w:rsidR="00657027" w:rsidRDefault="00657027" w:rsidP="00657027">
      <w:pPr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 xml:space="preserve">1、整机设备质保期为 </w:t>
      </w:r>
      <w:r>
        <w:rPr>
          <w:rFonts w:ascii="仿宋" w:eastAsia="仿宋" w:hAnsi="仿宋"/>
          <w:bCs/>
          <w:sz w:val="24"/>
        </w:rPr>
        <w:t>3</w:t>
      </w:r>
      <w:r>
        <w:rPr>
          <w:rFonts w:ascii="仿宋" w:eastAsia="仿宋" w:hAnsi="仿宋" w:hint="eastAsia"/>
          <w:bCs/>
          <w:sz w:val="24"/>
        </w:rPr>
        <w:t>年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2、质保期内供应商应负责设备维修及抢修，</w:t>
      </w:r>
      <w:r>
        <w:rPr>
          <w:rFonts w:ascii="仿宋" w:eastAsia="仿宋" w:hAnsi="仿宋"/>
          <w:bCs/>
          <w:sz w:val="24"/>
        </w:rPr>
        <w:t>非人为因素发生的质量问题</w:t>
      </w:r>
      <w:r>
        <w:rPr>
          <w:rFonts w:ascii="仿宋" w:eastAsia="仿宋" w:hAnsi="仿宋" w:hint="eastAsia"/>
          <w:bCs/>
          <w:sz w:val="24"/>
        </w:rPr>
        <w:t>提供</w:t>
      </w:r>
      <w:r>
        <w:rPr>
          <w:rFonts w:ascii="仿宋" w:eastAsia="仿宋" w:hAnsi="仿宋"/>
          <w:bCs/>
          <w:sz w:val="24"/>
        </w:rPr>
        <w:t>维修，无法维修</w:t>
      </w:r>
      <w:r>
        <w:rPr>
          <w:rFonts w:ascii="仿宋" w:eastAsia="仿宋" w:hAnsi="仿宋" w:hint="eastAsia"/>
          <w:bCs/>
          <w:sz w:val="24"/>
        </w:rPr>
        <w:t>及时</w:t>
      </w:r>
      <w:r>
        <w:rPr>
          <w:rFonts w:ascii="仿宋" w:eastAsia="仿宋" w:hAnsi="仿宋"/>
          <w:bCs/>
          <w:sz w:val="24"/>
        </w:rPr>
        <w:t>更换</w:t>
      </w:r>
      <w:r>
        <w:rPr>
          <w:rFonts w:ascii="仿宋" w:eastAsia="仿宋" w:hAnsi="仿宋" w:hint="eastAsia"/>
          <w:bCs/>
          <w:sz w:val="24"/>
        </w:rPr>
        <w:t>，采购人不再另行支付费用。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3、供应商保证年开机率大于95％（365天/年计算），若≤95％则相应延长保修</w:t>
      </w:r>
      <w:r>
        <w:rPr>
          <w:rFonts w:ascii="仿宋" w:eastAsia="仿宋" w:hAnsi="仿宋" w:hint="eastAsia"/>
          <w:bCs/>
          <w:sz w:val="24"/>
        </w:rPr>
        <w:lastRenderedPageBreak/>
        <w:t>期。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（四）交货时应提供以下技术资料（如涉及）·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1、原产地证明书(由制造厂家签发)；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2、提供主机及配套设备的安装图纸及说明；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3、提供主机及配套设备使用说明书、维护手册；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4、备件手册、零件及易损件的图纸及相关资料；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5、其它相关技术资料。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（五）安装调试及验收：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1、供应商负责设备安装、调试。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2、货物到达生产现场后，供应商接到采购人通知后3日内到达现场组织安装、调试，达到正常运行要求，保证采购人正常使用。所需的费用包括在投标总价格中。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、供应商应就设备的安装、调试、操作、维修、保养等对采购人维修技术人员进行培训。设备安装调试完毕后，供应商应对采购人操作人员进行现场培训，直至采购人的技术人员能独立操作，同时能完成一般常见故障的维修工作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4、全自动糖化血红蛋白分析仪：设备验收后需进行：1</w:t>
      </w:r>
      <w:r>
        <w:rPr>
          <w:rFonts w:ascii="仿宋" w:eastAsia="仿宋" w:hAnsi="仿宋"/>
          <w:bCs/>
          <w:sz w:val="24"/>
        </w:rPr>
        <w:t>.</w:t>
      </w:r>
      <w:r>
        <w:rPr>
          <w:rFonts w:ascii="仿宋" w:eastAsia="仿宋" w:hAnsi="仿宋" w:hint="eastAsia"/>
          <w:bCs/>
          <w:sz w:val="24"/>
        </w:rPr>
        <w:t>装机性能验证2.设备质控 3.设备校准。性能验证应出具性能验证报告，性能验证、质控、校准所需试剂由供应商提供。质保期内，每季度定期巡检。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（六）售后服务：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1、提供有关资料及售后服务承诺。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2、备件送达期限：在设备的使用寿命期内，供应商应保证国内不超过7天，国外不超过21天。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3、终身零配件供应：供应商应保证设备停产后的备件供应保证10年，并以优惠</w:t>
      </w:r>
      <w:r>
        <w:rPr>
          <w:rFonts w:ascii="仿宋" w:eastAsia="仿宋" w:hAnsi="仿宋" w:hint="eastAsia"/>
          <w:bCs/>
          <w:sz w:val="24"/>
        </w:rPr>
        <w:lastRenderedPageBreak/>
        <w:t>的价格提供该设备所需的维修零配件。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4、供应商在国内应有24小时电话维修系统，并列出工程师名单、联系电话、通讯地址及备件库地址和备件的详细目录。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>5</w:t>
      </w:r>
      <w:r>
        <w:rPr>
          <w:rFonts w:ascii="仿宋" w:eastAsia="仿宋" w:hAnsi="仿宋" w:hint="eastAsia"/>
          <w:bCs/>
          <w:sz w:val="24"/>
        </w:rPr>
        <w:t>、肌电图诱发电位仪：软件终身提供升级服务。</w:t>
      </w:r>
    </w:p>
    <w:p w:rsidR="00657027" w:rsidRDefault="00657027" w:rsidP="00657027">
      <w:pPr>
        <w:spacing w:line="50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bCs/>
          <w:sz w:val="24"/>
        </w:rPr>
        <w:t>6</w:t>
      </w:r>
      <w:r>
        <w:rPr>
          <w:rFonts w:ascii="仿宋" w:eastAsia="仿宋" w:hAnsi="仿宋" w:hint="eastAsia"/>
          <w:bCs/>
          <w:sz w:val="24"/>
        </w:rPr>
        <w:t>、质保期后，供应商应向用户提供及时的、优质的、价格优惠的技术服务和备品备件供应。</w:t>
      </w:r>
    </w:p>
    <w:p w:rsidR="00657027" w:rsidRDefault="00657027" w:rsidP="00657027">
      <w:pPr>
        <w:spacing w:line="400" w:lineRule="exact"/>
        <w:ind w:firstLineChars="200" w:firstLine="480"/>
        <w:rPr>
          <w:rFonts w:ascii="仿宋" w:eastAsia="仿宋" w:hAnsi="仿宋"/>
          <w:bCs/>
          <w:sz w:val="24"/>
        </w:rPr>
      </w:pPr>
    </w:p>
    <w:p w:rsidR="00657027" w:rsidRDefault="00657027" w:rsidP="00657027">
      <w:pPr>
        <w:keepNext/>
        <w:keepLines/>
        <w:spacing w:before="260" w:after="260" w:line="400" w:lineRule="exact"/>
        <w:ind w:firstLineChars="98" w:firstLine="236"/>
        <w:outlineLvl w:val="1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三、技术、服务要求</w:t>
      </w:r>
      <w:bookmarkEnd w:id="1"/>
    </w:p>
    <w:p w:rsidR="00657027" w:rsidRDefault="00657027" w:rsidP="00657027">
      <w:pPr>
        <w:spacing w:line="400" w:lineRule="exact"/>
        <w:ind w:firstLineChars="200" w:firstLine="482"/>
        <w:outlineLvl w:val="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01-01</w:t>
      </w:r>
      <w:r>
        <w:rPr>
          <w:rFonts w:ascii="仿宋" w:eastAsia="仿宋" w:hAnsi="仿宋" w:hint="eastAsia"/>
          <w:b/>
          <w:bCs/>
          <w:sz w:val="24"/>
        </w:rPr>
        <w:tab/>
        <w:t>内窥镜摄像系统</w:t>
      </w:r>
    </w:p>
    <w:p w:rsidR="00657027" w:rsidRDefault="00657027" w:rsidP="00657027">
      <w:pPr>
        <w:spacing w:line="400" w:lineRule="exact"/>
        <w:ind w:firstLine="20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（一）内窥镜摄像系统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图像传感器：≥1/3英寸CMOS传感器；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图像水平分辨率：≥650线；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白平衡：自动白平衡；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★无线信道：无线传输；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充电时间：≤2小时；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电池类型：3.7V，≥2600Mah；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★信号传输：设备自带wifi，可无线传输视频信号；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输入功率：20VA；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设备连续运行时间：≥4小时以上；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（二）便携光源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灯泡特征：LED灯，发光寿命≥2万小时；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充电时间：≤2小时；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电池类型：3.7V，≥2600Mah；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供电方式：内部电源类；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额定电压和频率：充电适配器： AC 100-240V  50/60Hz，可充电锂电池：DC3.7V；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输入功率：20VA；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★控制方式：软件控制；可以无极变光：（需提供产品技术证明材料）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（三）无线内窥镜摄像系统配置清单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无线内窥镜摄像机：一台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光学接口：一个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便携冷光源：一个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无线显示器终端：一台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充电器：两个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电池：三个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防水收纳包：一台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工作站及数据处理及输出系统：便携式工作站：一套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便携式工作站配置：性能不低于酷睿i5-1135G7/16GB/512GB；操作系统Windows 10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处理器：性能不低于Intel Core i5-1135G7(0.9GHz/L3 8M)；核心/线程四核心/八线程；处理器主频2.4GHz；最高频率4.2GHz；三级缓存L3 8M；内存容量≥16GB；内存类型DDR4；内存频率3200MHz；最大支持内存最大支持≥32GB；存储设备；硬盘类型SSD固态硬盘；硬盘容量≥512GB SSD；显示屏：屏幕尺寸≥15.6英寸；分辨率：≥1920×1080，显示比例：16:9。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手推车：一个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平板电脑一个，内存≥64G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耳镜一个 、0°鼻镜一个、70°鼻镜一个</w:t>
      </w:r>
    </w:p>
    <w:p w:rsidR="00657027" w:rsidRDefault="00657027" w:rsidP="00657027">
      <w:pPr>
        <w:spacing w:line="400" w:lineRule="exact"/>
        <w:ind w:firstLineChars="200" w:firstLine="482"/>
        <w:outlineLvl w:val="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01-02</w:t>
      </w:r>
      <w:r>
        <w:rPr>
          <w:rFonts w:ascii="仿宋" w:eastAsia="仿宋" w:hAnsi="仿宋" w:hint="eastAsia"/>
          <w:b/>
          <w:bCs/>
          <w:sz w:val="24"/>
        </w:rPr>
        <w:tab/>
        <w:t>肌电图诱发电位仪</w:t>
      </w:r>
    </w:p>
    <w:p w:rsidR="00657027" w:rsidRDefault="00657027" w:rsidP="00657027">
      <w:pPr>
        <w:spacing w:line="400" w:lineRule="exact"/>
        <w:ind w:firstLine="20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（一）总体要求：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★具备原装一体化设计台式系统和专用控制键盘，内置听觉、视觉和电刺激模块；能够完成神经电图、肌电图、诱发电位等检测项目；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（二）设备技术规格及配置要求</w:t>
      </w:r>
    </w:p>
    <w:p w:rsidR="00657027" w:rsidRDefault="00657027" w:rsidP="00657027">
      <w:pPr>
        <w:spacing w:line="400" w:lineRule="exact"/>
        <w:ind w:firstLine="20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一）硬件技术规格</w:t>
      </w:r>
    </w:p>
    <w:p w:rsidR="00657027" w:rsidRDefault="00657027" w:rsidP="00657027">
      <w:pPr>
        <w:spacing w:line="400" w:lineRule="exact"/>
        <w:ind w:firstLine="20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（1）放大器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★</w:t>
      </w:r>
      <w:r>
        <w:rPr>
          <w:rFonts w:ascii="仿宋" w:eastAsia="仿宋" w:hAnsi="仿宋" w:hint="eastAsia"/>
          <w:bCs/>
          <w:sz w:val="24"/>
        </w:rPr>
        <w:t>外置独立放大器，拒绝放大器集成听、视、电刺激模块，减少干扰；通道数≥6通道，放大器内置标准5芯DIN插孔≥3个；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★输入阻抗：≥1000MΩ；噪声水平：≤0.4uV；共模抑制比：≥120dB；低通滤波：20Hz-20KHz；高通滤波：0.01Hz-3KHz；内置阻抗测试，放大器面板LED直观显示阻抗测试结果；内置定标信号：内置扬声器开关；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（2）电刺激器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刺激频率：0.01Hz～200Hz；刺激时限：0.04～1ms；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刺激分辨率：0.1mA/0.01mA；输出极性：正相、负相、交替、双相；输出模式：单、交替、突发、串、冲撞；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（3）听觉刺激器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刺激器输出：标准声学耳机1套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刺激极性：疏音、密音、交替音；刺激波形：喀喇音、纯音、爆发音、Pips、半正弦、正弦；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（4）视觉刺激器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刺激模式：棋盘格翻转、水平条栅、垂直条栅；刺激视野：全视野、半视野、1/4视野；注视点：2种以上，可移动；刺激格大小：3x4，6x8，12x16，24x32，48x64，96x128；背景色：黑、灰；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刺激输出：视觉刺激器；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二）医用专业工作站系统要求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医用专业工作站主机：不低于酷睿i7，3.0 GHz，≥8G内存，硬盘≥500G，光驱刻录机；键盘、鼠标；液晶显示屏；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性能不低于Windows 10操作系统；主机内置监听扬声器和音量控制； 内置专用控制键盘，具备刺激输出调节及数字输入键盘功能。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三）软件功能要求</w:t>
      </w:r>
    </w:p>
    <w:p w:rsidR="00657027" w:rsidRDefault="00657027" w:rsidP="00657027">
      <w:pPr>
        <w:spacing w:line="400" w:lineRule="exact"/>
        <w:ind w:firstLine="200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（1）神经电图功能包括：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运动传导速度测定、感觉传导速度测定、微移定位、F-波、H-反射、 重复频率电刺激、瞬目反射、植物神经电反应；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（2）肌电图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定量肌电图分析：静息电位、单MUP、多MUP自动及手动分析、干扰相(重收缩)自动分析；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全自动运动单位电位的高速提取，一次可提取六个不同的MUP（提供图片或彩页证明）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★原始肌电信号及声音同步存储和回放再分析功能，每块肌肉可存储多个片段，每个片段可连续记录不低于15分钟原始的肌电图波形和声音信号，可同步回放和再分析处理。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（3）诱发电位包括: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体感诱发电位（上肢体感、下肢体感、脊髓诱发、三叉神经体感等）、听觉诱发电位（脑干诱发电位、耳蜗电图、40Hz、客观测听等）、 视觉诱发电位、事件相关电位（P300等）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（4）全中文病历管理和中文报告生成系统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全中文软件系统，包括中文菜单、神经肌肉名称和帮助系统，可多语言选择。全中文报告系统(包括中文神经、肌肉名称)，可根据需要自定义报告格式，表格、数据、图形自动进入中文报告系统，不需要手工输入数据或屏幕抓图粘贴完成中文报告。报告结果可转入办公软件读取分析。</w:t>
      </w:r>
    </w:p>
    <w:p w:rsidR="00657027" w:rsidRDefault="00657027" w:rsidP="00657027">
      <w:pPr>
        <w:spacing w:line="400" w:lineRule="exact"/>
        <w:ind w:left="284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（5</w:t>
      </w:r>
      <w:r>
        <w:rPr>
          <w:rFonts w:ascii="仿宋" w:eastAsia="仿宋" w:hAnsi="仿宋"/>
          <w:b/>
          <w:bCs/>
          <w:sz w:val="24"/>
        </w:rPr>
        <w:t>）</w:t>
      </w:r>
      <w:r>
        <w:rPr>
          <w:rFonts w:ascii="仿宋" w:eastAsia="仿宋" w:hAnsi="仿宋" w:hint="eastAsia"/>
          <w:b/>
          <w:bCs/>
          <w:sz w:val="24"/>
        </w:rPr>
        <w:t>配置</w:t>
      </w:r>
      <w:r>
        <w:rPr>
          <w:rFonts w:ascii="仿宋" w:eastAsia="仿宋" w:hAnsi="仿宋"/>
          <w:b/>
          <w:bCs/>
          <w:sz w:val="24"/>
        </w:rPr>
        <w:t>要求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主机一套：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系统软件1套，内置听觉、视觉及电刺激模块软件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内置专用控制键盘1个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内置扬声器1个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液晶显示器1个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报告输出系统（喷墨</w:t>
      </w:r>
      <w:r>
        <w:rPr>
          <w:rFonts w:ascii="仿宋" w:eastAsia="仿宋" w:hAnsi="仿宋"/>
          <w:bCs/>
          <w:sz w:val="24"/>
        </w:rPr>
        <w:t>输出方式</w:t>
      </w:r>
      <w:r>
        <w:rPr>
          <w:rFonts w:ascii="仿宋" w:eastAsia="仿宋" w:hAnsi="仿宋" w:hint="eastAsia"/>
          <w:bCs/>
          <w:sz w:val="24"/>
        </w:rPr>
        <w:t>）1个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仪器推车1个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医用隔离电源1个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放大器支臂1个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6 通道 EMG/ EP 放大器 1个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附加通道软件升级功能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神经电图软件1套，具备功能：标准肌电图运动传导，F-波；感觉传导，MEP；H-反射，瞬目反射；重频神经刺激 (衰减试验)；交感皮肤反应 (植物神经功能评价)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定量肌电图软件1套，具备功能：插入电位，自发电位；全自动运动单位电位采集分析；半自动MUAP分析；手工MUAP分析；干扰相，智能数据评估和诊断引导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体感诱发电位软件1套，具备功能：上肢体感；下肢体感；脊髓体感；用户定义体感诱发检查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视觉诱发电位软件1套，具备功能：模式翻转视诱发；闪光眼罩视诱发；视网膜电图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视诱发刺激器显示器1个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听觉诱发电位软件1套，具备功能：脑干诱发（脑干反应）；客观测听；耳蜗电图；40 Hz 测定；中、长潜伏期诱发电位等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事件相关电位软件1套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震颤分析软件1套，具备功能：多导肌电图监测软件、震颤分析软件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配件：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P300反应按键1个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标准声学耳机1个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脑干（肌电）导联线（针电极匹配电缆）1个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运动传感器2个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单头鳄鱼夹电极12个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一次性同芯圆针配套线缆1套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电缆（三头夹）1套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凝胶1套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导电膏1套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测量卷尺1个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一次性同芯圆针电极11套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马鞍式刺激电极1套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指环电极1套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接地表面电极1套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一次性吸附表面电极15套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无创脑电电极，盘状，10根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无创脑电电极配件，夹子状，10根</w:t>
      </w:r>
    </w:p>
    <w:p w:rsidR="00657027" w:rsidRDefault="00657027" w:rsidP="00657027">
      <w:pPr>
        <w:spacing w:line="400" w:lineRule="exact"/>
        <w:ind w:left="680"/>
        <w:rPr>
          <w:rFonts w:ascii="仿宋" w:eastAsia="仿宋" w:hAnsi="仿宋"/>
          <w:bCs/>
          <w:sz w:val="24"/>
        </w:rPr>
      </w:pPr>
    </w:p>
    <w:p w:rsidR="00657027" w:rsidRDefault="00657027" w:rsidP="00657027">
      <w:pPr>
        <w:spacing w:line="400" w:lineRule="exact"/>
        <w:ind w:firstLineChars="200" w:firstLine="482"/>
        <w:outlineLvl w:val="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01-03</w:t>
      </w:r>
      <w:r>
        <w:rPr>
          <w:rFonts w:ascii="仿宋" w:eastAsia="仿宋" w:hAnsi="仿宋" w:hint="eastAsia"/>
          <w:b/>
          <w:bCs/>
          <w:sz w:val="24"/>
        </w:rPr>
        <w:tab/>
        <w:t>全自动糖化血红蛋白分析仪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★全自动分析仪。自动原始管进样，分析系统可实现分离、结果分析完全自动化。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原理：应用离子交换高效液相色谱（HPLC）原理。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★检测速度： 50秒/样本以内。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样本容量：一次最大能装载50个样本，最多可同时放置100个样本。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仪器可检测项目应包括HbA1c和HbF。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能避免肾病对检测结果的干扰。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★不需要更换过滤膜，每根层析柱至少能检测6000个以上样本。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CV值在1%以内。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带有急诊槽，可临时插入急需处理的样本。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分析柱加热模块，具备控制分析柱恒温能力。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需具备自动识别样品管条形码功能，并且搭载了内置条码扫描仪。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检测器：LED 光源；5年内不需要更换光源。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lastRenderedPageBreak/>
        <w:t>样本处理：可原始样品管上机，原始样品管和稀释的样品管仪器可自动识别；仪器自动稀释；样品管帽穿刺。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测定范围：HbAlc：NGSP值：3-20%  IFCC值：14-191mmol/mol。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自带屏幕显示器，能够显示试剂剩余量和色谱图。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★有样本自动混匀功能。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机器有自动报警和错误提示功能；仪器带自我诊断功能。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能使用样本杯测定以应对样本量少的情况。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采用双波长比色法。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具备样本数据保存及查询能力。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能对样本进行特定的编号；对急诊样本也能进行特定的编号。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报告内容详尽，包括样品色谱图，各种检测成分（峰成分，保留时间，相对百分比，出峰面积等），分析的数据和时间。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★仪器能同时报告IFCC结果和NGSP结果。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★卫生部临床检验中心糖化血红蛋白室间质评项目中分组数量大于50家。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★供应商负责双向lis接口。</w:t>
      </w:r>
    </w:p>
    <w:p w:rsidR="00657027" w:rsidRDefault="00657027" w:rsidP="00657027">
      <w:pPr>
        <w:numPr>
          <w:ilvl w:val="0"/>
          <w:numId w:val="1"/>
        </w:numPr>
        <w:spacing w:line="4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数据处理及输出系统：包含UPS*1、工作站*1(不低于酷睿i9，3.0 GHz，≥16G内存，硬盘固态≥500G，光驱刻录机；键盘＋鼠标一套；≥24英寸液晶显示屏；性能不低于Windows 10专业版操作系统，双网卡，10/100/1000M自适应网卡)、输出设备*1</w:t>
      </w:r>
    </w:p>
    <w:p w:rsidR="00657027" w:rsidRDefault="00657027" w:rsidP="00657027">
      <w:pPr>
        <w:pStyle w:val="a5"/>
        <w:spacing w:line="400" w:lineRule="exact"/>
        <w:ind w:firstLine="482"/>
        <w:rPr>
          <w:rFonts w:ascii="仿宋" w:eastAsia="仿宋" w:hAnsi="仿宋"/>
          <w:b/>
          <w:bCs/>
          <w:sz w:val="24"/>
        </w:rPr>
      </w:pPr>
    </w:p>
    <w:p w:rsidR="00657027" w:rsidRDefault="00657027" w:rsidP="00657027">
      <w:pPr>
        <w:pStyle w:val="1"/>
        <w:spacing w:line="400" w:lineRule="exact"/>
        <w:jc w:val="center"/>
        <w:rPr>
          <w:rFonts w:ascii="仿宋" w:eastAsia="仿宋" w:hAnsi="仿宋"/>
          <w:sz w:val="36"/>
          <w:szCs w:val="36"/>
        </w:rPr>
        <w:sectPr w:rsidR="0065702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36184" w:rsidRPr="00657027" w:rsidRDefault="00657027">
      <w:bookmarkStart w:id="2" w:name="_GoBack"/>
      <w:bookmarkEnd w:id="2"/>
    </w:p>
    <w:sectPr w:rsidR="00236184" w:rsidRPr="0065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27" w:rsidRDefault="00657027" w:rsidP="00657027">
      <w:pPr>
        <w:spacing w:after="0" w:line="240" w:lineRule="auto"/>
      </w:pPr>
      <w:r>
        <w:separator/>
      </w:r>
    </w:p>
  </w:endnote>
  <w:endnote w:type="continuationSeparator" w:id="0">
    <w:p w:rsidR="00657027" w:rsidRDefault="00657027" w:rsidP="0065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27" w:rsidRDefault="00657027" w:rsidP="00657027">
      <w:pPr>
        <w:spacing w:after="0" w:line="240" w:lineRule="auto"/>
      </w:pPr>
      <w:r>
        <w:separator/>
      </w:r>
    </w:p>
  </w:footnote>
  <w:footnote w:type="continuationSeparator" w:id="0">
    <w:p w:rsidR="00657027" w:rsidRDefault="00657027" w:rsidP="00657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F55FF"/>
    <w:multiLevelType w:val="multilevel"/>
    <w:tmpl w:val="770F55FF"/>
    <w:lvl w:ilvl="0">
      <w:start w:val="1"/>
      <w:numFmt w:val="decimal"/>
      <w:lvlText w:val="%1."/>
      <w:lvlJc w:val="left"/>
      <w:pPr>
        <w:ind w:left="680" w:hanging="39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39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40" w:hanging="39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20" w:hanging="396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400" w:hanging="39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80" w:hanging="396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760" w:hanging="396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440" w:hanging="396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120" w:hanging="39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B3"/>
    <w:rsid w:val="00657027"/>
    <w:rsid w:val="00721C9D"/>
    <w:rsid w:val="008F37B3"/>
    <w:rsid w:val="009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C18C91-20B5-443E-9F2E-4207AF97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27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6570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0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02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657027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Normal Indent"/>
    <w:basedOn w:val="a"/>
    <w:qFormat/>
    <w:rsid w:val="00657027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698</Words>
  <Characters>3983</Characters>
  <Application>Microsoft Office Word</Application>
  <DocSecurity>0</DocSecurity>
  <Lines>33</Lines>
  <Paragraphs>9</Paragraphs>
  <ScaleCrop>false</ScaleCrop>
  <Company>微软中国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王师沁</dc:creator>
  <cp:keywords/>
  <dc:description/>
  <cp:lastModifiedBy>王师沁</cp:lastModifiedBy>
  <cp:revision>2</cp:revision>
  <dcterms:created xsi:type="dcterms:W3CDTF">2021-09-23T07:30:00Z</dcterms:created>
  <dcterms:modified xsi:type="dcterms:W3CDTF">2021-09-23T07:31:00Z</dcterms:modified>
</cp:coreProperties>
</file>