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C9C" w:rsidRPr="00BC1C9C" w:rsidRDefault="00BC1C9C" w:rsidP="00BC1C9C">
      <w:pPr>
        <w:keepNext/>
        <w:keepLines/>
        <w:spacing w:line="578" w:lineRule="auto"/>
        <w:jc w:val="center"/>
        <w:outlineLvl w:val="0"/>
        <w:rPr>
          <w:rFonts w:ascii="仿宋" w:eastAsia="仿宋" w:hAnsi="仿宋" w:cs="Times New Roman"/>
          <w:b/>
          <w:bCs/>
          <w:color w:val="000000"/>
          <w:kern w:val="44"/>
          <w:sz w:val="36"/>
          <w:szCs w:val="36"/>
        </w:rPr>
      </w:pPr>
      <w:r w:rsidRPr="00BC1C9C">
        <w:rPr>
          <w:rFonts w:ascii="仿宋" w:eastAsia="仿宋" w:hAnsi="仿宋" w:cs="Times New Roman" w:hint="eastAsia"/>
          <w:b/>
          <w:bCs/>
          <w:color w:val="000000"/>
          <w:kern w:val="44"/>
          <w:sz w:val="36"/>
          <w:szCs w:val="36"/>
        </w:rPr>
        <w:t>招标项目技术、服务、政府采购合同内容条款及其他商务要求</w:t>
      </w:r>
    </w:p>
    <w:p w:rsidR="00BC1C9C" w:rsidRPr="00BC1C9C" w:rsidRDefault="00BC1C9C" w:rsidP="00BC1C9C">
      <w:pPr>
        <w:keepNext/>
        <w:keepLines/>
        <w:spacing w:line="400" w:lineRule="exact"/>
        <w:ind w:firstLineChars="98" w:firstLine="236"/>
        <w:outlineLvl w:val="1"/>
        <w:rPr>
          <w:rFonts w:ascii="仿宋" w:eastAsia="仿宋" w:hAnsi="仿宋" w:cs="Times New Roman"/>
          <w:b/>
          <w:bCs/>
          <w:color w:val="000000"/>
          <w:sz w:val="24"/>
          <w:szCs w:val="24"/>
        </w:rPr>
      </w:pPr>
      <w:bookmarkStart w:id="0" w:name="_Toc217446094"/>
      <w:r w:rsidRPr="00BC1C9C">
        <w:rPr>
          <w:rFonts w:ascii="仿宋" w:eastAsia="仿宋" w:hAnsi="仿宋" w:cs="Times New Roman" w:hint="eastAsia"/>
          <w:b/>
          <w:bCs/>
          <w:color w:val="000000"/>
          <w:sz w:val="24"/>
          <w:szCs w:val="24"/>
        </w:rPr>
        <w:t>前提：本章中标注“★</w:t>
      </w:r>
      <w:r w:rsidRPr="00BC1C9C">
        <w:rPr>
          <w:rFonts w:ascii="仿宋" w:eastAsia="仿宋" w:hAnsi="仿宋" w:cs="Times New Roman"/>
          <w:b/>
          <w:bCs/>
          <w:color w:val="000000"/>
          <w:sz w:val="24"/>
          <w:szCs w:val="24"/>
        </w:rPr>
        <w:t>”的条款为本项目的实质性条款，投标人不满足的，将按照无效投标处理。</w:t>
      </w:r>
    </w:p>
    <w:p w:rsidR="00BC1C9C" w:rsidRPr="00BC1C9C" w:rsidRDefault="00BC1C9C" w:rsidP="00BC1C9C">
      <w:pPr>
        <w:keepNext/>
        <w:keepLines/>
        <w:spacing w:line="400" w:lineRule="exact"/>
        <w:ind w:firstLineChars="98" w:firstLine="236"/>
        <w:outlineLvl w:val="1"/>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一、</w:t>
      </w:r>
      <w:r w:rsidRPr="00BC1C9C">
        <w:rPr>
          <w:rFonts w:ascii="仿宋" w:eastAsia="仿宋" w:hAnsi="仿宋" w:cs="Times New Roman"/>
          <w:b/>
          <w:bCs/>
          <w:color w:val="000000"/>
          <w:sz w:val="24"/>
          <w:szCs w:val="24"/>
        </w:rPr>
        <w:t xml:space="preserve"> </w:t>
      </w:r>
      <w:r w:rsidRPr="00BC1C9C">
        <w:rPr>
          <w:rFonts w:ascii="仿宋" w:eastAsia="仿宋" w:hAnsi="仿宋" w:cs="Times New Roman" w:hint="eastAsia"/>
          <w:b/>
          <w:bCs/>
          <w:color w:val="000000"/>
          <w:sz w:val="24"/>
          <w:szCs w:val="24"/>
        </w:rPr>
        <w:t>项目概述</w:t>
      </w:r>
      <w:bookmarkEnd w:id="0"/>
    </w:p>
    <w:p w:rsidR="00BC1C9C" w:rsidRPr="00BC1C9C" w:rsidRDefault="00BC1C9C" w:rsidP="00BC1C9C">
      <w:pPr>
        <w:spacing w:line="400" w:lineRule="exact"/>
        <w:ind w:firstLineChars="200" w:firstLine="480"/>
        <w:outlineLvl w:val="2"/>
        <w:rPr>
          <w:rFonts w:ascii="仿宋" w:eastAsia="仿宋" w:hAnsi="仿宋" w:cs="Times New Roman"/>
          <w:bCs/>
          <w:color w:val="000000"/>
          <w:sz w:val="24"/>
          <w:szCs w:val="24"/>
        </w:rPr>
      </w:pPr>
      <w:bookmarkStart w:id="1" w:name="_Toc217446095"/>
      <w:r w:rsidRPr="00BC1C9C">
        <w:rPr>
          <w:rFonts w:ascii="仿宋" w:eastAsia="仿宋" w:hAnsi="仿宋" w:cs="Times New Roman" w:hint="eastAsia"/>
          <w:bCs/>
          <w:color w:val="000000"/>
          <w:sz w:val="24"/>
          <w:szCs w:val="24"/>
        </w:rPr>
        <w:t>（一）项目</w:t>
      </w:r>
      <w:r w:rsidRPr="00BC1C9C">
        <w:rPr>
          <w:rFonts w:ascii="仿宋" w:eastAsia="仿宋" w:hAnsi="仿宋" w:cs="Times New Roman"/>
          <w:bCs/>
          <w:color w:val="000000"/>
          <w:sz w:val="24"/>
          <w:szCs w:val="24"/>
        </w:rPr>
        <w:t>概况</w:t>
      </w:r>
      <w:r w:rsidRPr="00BC1C9C">
        <w:rPr>
          <w:rFonts w:ascii="仿宋" w:eastAsia="仿宋" w:hAnsi="仿宋" w:cs="Times New Roman" w:hint="eastAsia"/>
          <w:bCs/>
          <w:color w:val="000000"/>
          <w:sz w:val="24"/>
          <w:szCs w:val="24"/>
        </w:rPr>
        <w:t>：</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根据最高人民法院《关于加快推进人民法院司法警务信息化、智能化建设的意见》和关于实现警务指挥、警务管理两个系统实质化运行指示以及成都中院关于智慧警务的批示要求，结合成都法院的实际，在2020年度系统集成服务项目关于智慧警务系统集成的基础上进行升级建设。</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根据成都中院信息系统运行实际，分别</w:t>
      </w:r>
      <w:proofErr w:type="gramStart"/>
      <w:r w:rsidRPr="00BC1C9C">
        <w:rPr>
          <w:rFonts w:ascii="仿宋" w:eastAsia="仿宋" w:hAnsi="仿宋" w:cs="Times New Roman" w:hint="eastAsia"/>
          <w:bCs/>
          <w:color w:val="000000"/>
          <w:sz w:val="24"/>
          <w:szCs w:val="24"/>
        </w:rPr>
        <w:t>在内网</w:t>
      </w:r>
      <w:proofErr w:type="gramEnd"/>
      <w:r w:rsidRPr="00BC1C9C">
        <w:rPr>
          <w:rFonts w:ascii="仿宋" w:eastAsia="仿宋" w:hAnsi="仿宋" w:cs="Times New Roman" w:hint="eastAsia"/>
          <w:bCs/>
          <w:color w:val="000000"/>
          <w:sz w:val="24"/>
          <w:szCs w:val="24"/>
        </w:rPr>
        <w:t>和外网增加兼容可无缝切换的网络安全准入措施，在核心机房增补虚拟化专用机、智能分析专用机、存储柜、存储专用硬盘、并为新安装设备进行必要的机柜整理，整理同时对一</w:t>
      </w:r>
      <w:proofErr w:type="gramStart"/>
      <w:r w:rsidRPr="00BC1C9C">
        <w:rPr>
          <w:rFonts w:ascii="仿宋" w:eastAsia="仿宋" w:hAnsi="仿宋" w:cs="Times New Roman" w:hint="eastAsia"/>
          <w:bCs/>
          <w:color w:val="000000"/>
          <w:sz w:val="24"/>
          <w:szCs w:val="24"/>
        </w:rPr>
        <w:t>楼核心</w:t>
      </w:r>
      <w:proofErr w:type="gramEnd"/>
      <w:r w:rsidRPr="00BC1C9C">
        <w:rPr>
          <w:rFonts w:ascii="仿宋" w:eastAsia="仿宋" w:hAnsi="仿宋" w:cs="Times New Roman" w:hint="eastAsia"/>
          <w:bCs/>
          <w:color w:val="000000"/>
          <w:sz w:val="24"/>
          <w:szCs w:val="24"/>
        </w:rPr>
        <w:t>机房的所有机柜进行配电和光缆跳</w:t>
      </w:r>
      <w:proofErr w:type="gramStart"/>
      <w:r w:rsidRPr="00BC1C9C">
        <w:rPr>
          <w:rFonts w:ascii="仿宋" w:eastAsia="仿宋" w:hAnsi="仿宋" w:cs="Times New Roman" w:hint="eastAsia"/>
          <w:bCs/>
          <w:color w:val="000000"/>
          <w:sz w:val="24"/>
          <w:szCs w:val="24"/>
        </w:rPr>
        <w:t>纤</w:t>
      </w:r>
      <w:proofErr w:type="gramEnd"/>
      <w:r w:rsidRPr="00BC1C9C">
        <w:rPr>
          <w:rFonts w:ascii="仿宋" w:eastAsia="仿宋" w:hAnsi="仿宋" w:cs="Times New Roman" w:hint="eastAsia"/>
          <w:bCs/>
          <w:color w:val="000000"/>
          <w:sz w:val="24"/>
          <w:szCs w:val="24"/>
        </w:rPr>
        <w:t>增补改造。</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1.1  成都中院已建信息系统现状</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2017年，成都中院安装了浪潮品牌AS5300G2型号的存储柜，未全满安装硬盘，目前使用正常并承载重要业务信息系统，经多年使用陆续增补存储硬盘后，还有16块3.5英寸硬盘空位需要增补。</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2019年，成都中院安装了戴</w:t>
      </w:r>
      <w:proofErr w:type="gramStart"/>
      <w:r w:rsidRPr="00BC1C9C">
        <w:rPr>
          <w:rFonts w:ascii="仿宋" w:eastAsia="仿宋" w:hAnsi="仿宋" w:cs="Times New Roman" w:hint="eastAsia"/>
          <w:bCs/>
          <w:color w:val="000000"/>
          <w:sz w:val="24"/>
          <w:szCs w:val="24"/>
        </w:rPr>
        <w:t>尔品牌</w:t>
      </w:r>
      <w:proofErr w:type="gramEnd"/>
      <w:r w:rsidRPr="00BC1C9C">
        <w:rPr>
          <w:rFonts w:ascii="仿宋" w:eastAsia="仿宋" w:hAnsi="仿宋" w:cs="Times New Roman" w:hint="eastAsia"/>
          <w:bCs/>
          <w:color w:val="000000"/>
          <w:sz w:val="24"/>
          <w:szCs w:val="24"/>
        </w:rPr>
        <w:t>SC7020型号的存储机，搭配使用了戴</w:t>
      </w:r>
      <w:proofErr w:type="gramStart"/>
      <w:r w:rsidRPr="00BC1C9C">
        <w:rPr>
          <w:rFonts w:ascii="仿宋" w:eastAsia="仿宋" w:hAnsi="仿宋" w:cs="Times New Roman" w:hint="eastAsia"/>
          <w:bCs/>
          <w:color w:val="000000"/>
          <w:sz w:val="24"/>
          <w:szCs w:val="24"/>
        </w:rPr>
        <w:t>尔品牌</w:t>
      </w:r>
      <w:proofErr w:type="gramEnd"/>
      <w:r w:rsidRPr="00BC1C9C">
        <w:rPr>
          <w:rFonts w:ascii="仿宋" w:eastAsia="仿宋" w:hAnsi="仿宋" w:cs="Times New Roman" w:hint="eastAsia"/>
          <w:bCs/>
          <w:color w:val="000000"/>
          <w:sz w:val="24"/>
          <w:szCs w:val="24"/>
        </w:rPr>
        <w:t>SC420型号的存储柜，未全满安装硬盘，目前使用正常并承载重要业务信息系统，经多年使用陆续增补存储硬盘后，还有12块2.5英寸硬盘空位需要增补；搭配使用了戴</w:t>
      </w:r>
      <w:proofErr w:type="gramStart"/>
      <w:r w:rsidRPr="00BC1C9C">
        <w:rPr>
          <w:rFonts w:ascii="仿宋" w:eastAsia="仿宋" w:hAnsi="仿宋" w:cs="Times New Roman" w:hint="eastAsia"/>
          <w:bCs/>
          <w:color w:val="000000"/>
          <w:sz w:val="24"/>
          <w:szCs w:val="24"/>
        </w:rPr>
        <w:t>尔品牌</w:t>
      </w:r>
      <w:proofErr w:type="gramEnd"/>
      <w:r w:rsidRPr="00BC1C9C">
        <w:rPr>
          <w:rFonts w:ascii="仿宋" w:eastAsia="仿宋" w:hAnsi="仿宋" w:cs="Times New Roman" w:hint="eastAsia"/>
          <w:bCs/>
          <w:color w:val="000000"/>
          <w:sz w:val="24"/>
          <w:szCs w:val="24"/>
        </w:rPr>
        <w:t>SC460型号的存储柜，未全满安装硬盘，目前使用正常并承载重要业务信息系统，经多年使用陆续增补存储硬盘后，还有72块3.5英寸硬盘空位需要增补。</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2019年，成都中院安装了戴</w:t>
      </w:r>
      <w:proofErr w:type="gramStart"/>
      <w:r w:rsidRPr="00BC1C9C">
        <w:rPr>
          <w:rFonts w:ascii="仿宋" w:eastAsia="仿宋" w:hAnsi="仿宋" w:cs="Times New Roman" w:hint="eastAsia"/>
          <w:bCs/>
          <w:color w:val="000000"/>
          <w:sz w:val="24"/>
          <w:szCs w:val="24"/>
        </w:rPr>
        <w:t>尔品牌</w:t>
      </w:r>
      <w:proofErr w:type="gramEnd"/>
      <w:r w:rsidRPr="00BC1C9C">
        <w:rPr>
          <w:rFonts w:ascii="仿宋" w:eastAsia="仿宋" w:hAnsi="仿宋" w:cs="Times New Roman" w:hint="eastAsia"/>
          <w:bCs/>
          <w:color w:val="000000"/>
          <w:sz w:val="24"/>
          <w:szCs w:val="24"/>
        </w:rPr>
        <w:t>Poweedge R940XA型高性能虚拟化专用机和华三品牌虚拟化软件搭配组成应用虚拟化平台，用于运行重要业务信息系统（不含数据库本身，需要访问数据库和</w:t>
      </w:r>
      <w:proofErr w:type="gramStart"/>
      <w:r w:rsidRPr="00BC1C9C">
        <w:rPr>
          <w:rFonts w:ascii="仿宋" w:eastAsia="仿宋" w:hAnsi="仿宋" w:cs="Times New Roman" w:hint="eastAsia"/>
          <w:bCs/>
          <w:color w:val="000000"/>
          <w:sz w:val="24"/>
          <w:szCs w:val="24"/>
        </w:rPr>
        <w:t>存储机</w:t>
      </w:r>
      <w:proofErr w:type="gramEnd"/>
      <w:r w:rsidRPr="00BC1C9C">
        <w:rPr>
          <w:rFonts w:ascii="仿宋" w:eastAsia="仿宋" w:hAnsi="仿宋" w:cs="Times New Roman" w:hint="eastAsia"/>
          <w:bCs/>
          <w:color w:val="000000"/>
          <w:sz w:val="24"/>
          <w:szCs w:val="24"/>
        </w:rPr>
        <w:t>或存储柜），经多年使用陆续增补后，还需要增加虚拟化专用机和虚拟化软件，扩展应用虚拟化平台。虚拟化专用机使用了英特尔</w:t>
      </w:r>
      <w:r w:rsidRPr="00BC1C9C">
        <w:rPr>
          <w:rFonts w:ascii="宋体" w:eastAsia="宋体" w:hAnsi="宋体" w:cs="宋体" w:hint="eastAsia"/>
          <w:bCs/>
          <w:color w:val="000000"/>
          <w:sz w:val="24"/>
          <w:szCs w:val="24"/>
        </w:rPr>
        <w:t>®</w:t>
      </w:r>
      <w:r w:rsidRPr="00BC1C9C">
        <w:rPr>
          <w:rFonts w:ascii="仿宋" w:eastAsia="仿宋" w:hAnsi="仿宋" w:cs="Times New Roman" w:hint="eastAsia"/>
          <w:bCs/>
          <w:color w:val="000000"/>
          <w:sz w:val="24"/>
          <w:szCs w:val="24"/>
        </w:rPr>
        <w:t>至强</w:t>
      </w:r>
      <w:r w:rsidRPr="00BC1C9C">
        <w:rPr>
          <w:rFonts w:ascii="宋体" w:eastAsia="宋体" w:hAnsi="宋体" w:cs="宋体" w:hint="eastAsia"/>
          <w:bCs/>
          <w:color w:val="000000"/>
          <w:sz w:val="24"/>
          <w:szCs w:val="24"/>
        </w:rPr>
        <w:t>®</w:t>
      </w:r>
      <w:r w:rsidRPr="00BC1C9C">
        <w:rPr>
          <w:rFonts w:ascii="仿宋" w:eastAsia="仿宋" w:hAnsi="仿宋" w:cs="Times New Roman" w:hint="eastAsia"/>
          <w:bCs/>
          <w:color w:val="000000"/>
          <w:sz w:val="24"/>
          <w:szCs w:val="24"/>
        </w:rPr>
        <w:t>金牌6254系列可扩展处理器，单颗3.1G，18C36T，24.75M缓存，四颗CPU同时部署在一台服务器中，支持虚拟化部署。</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2019年，成都中院安装了</w:t>
      </w:r>
      <w:proofErr w:type="gramStart"/>
      <w:r w:rsidRPr="00BC1C9C">
        <w:rPr>
          <w:rFonts w:ascii="仿宋" w:eastAsia="仿宋" w:hAnsi="仿宋" w:cs="Times New Roman" w:hint="eastAsia"/>
          <w:bCs/>
          <w:color w:val="000000"/>
          <w:sz w:val="24"/>
          <w:szCs w:val="24"/>
        </w:rPr>
        <w:t>网神品牌</w:t>
      </w:r>
      <w:proofErr w:type="gramEnd"/>
      <w:r w:rsidRPr="00BC1C9C">
        <w:rPr>
          <w:rFonts w:ascii="仿宋" w:eastAsia="仿宋" w:hAnsi="仿宋" w:cs="Times New Roman" w:hint="eastAsia"/>
          <w:bCs/>
          <w:color w:val="000000"/>
          <w:sz w:val="24"/>
          <w:szCs w:val="24"/>
        </w:rPr>
        <w:t>天擎型号的网络安全软件系统，对内</w:t>
      </w:r>
      <w:proofErr w:type="gramStart"/>
      <w:r w:rsidRPr="00BC1C9C">
        <w:rPr>
          <w:rFonts w:ascii="仿宋" w:eastAsia="仿宋" w:hAnsi="仿宋" w:cs="Times New Roman" w:hint="eastAsia"/>
          <w:bCs/>
          <w:color w:val="000000"/>
          <w:sz w:val="24"/>
          <w:szCs w:val="24"/>
        </w:rPr>
        <w:t>网实施</w:t>
      </w:r>
      <w:proofErr w:type="gramEnd"/>
      <w:r w:rsidRPr="00BC1C9C">
        <w:rPr>
          <w:rFonts w:ascii="仿宋" w:eastAsia="仿宋" w:hAnsi="仿宋" w:cs="Times New Roman" w:hint="eastAsia"/>
          <w:bCs/>
          <w:color w:val="000000"/>
          <w:sz w:val="24"/>
          <w:szCs w:val="24"/>
        </w:rPr>
        <w:t>完成了病毒查杀、安全U</w:t>
      </w:r>
      <w:proofErr w:type="gramStart"/>
      <w:r w:rsidRPr="00BC1C9C">
        <w:rPr>
          <w:rFonts w:ascii="仿宋" w:eastAsia="仿宋" w:hAnsi="仿宋" w:cs="Times New Roman" w:hint="eastAsia"/>
          <w:bCs/>
          <w:color w:val="000000"/>
          <w:sz w:val="24"/>
          <w:szCs w:val="24"/>
        </w:rPr>
        <w:t>盘访问</w:t>
      </w:r>
      <w:proofErr w:type="gramEnd"/>
      <w:r w:rsidRPr="00BC1C9C">
        <w:rPr>
          <w:rFonts w:ascii="仿宋" w:eastAsia="仿宋" w:hAnsi="仿宋" w:cs="Times New Roman" w:hint="eastAsia"/>
          <w:bCs/>
          <w:color w:val="000000"/>
          <w:sz w:val="24"/>
          <w:szCs w:val="24"/>
        </w:rPr>
        <w:t>和用户绑定等网络安全措施。同时，中院还还装了网神牌防火墙、网络行为管控、</w:t>
      </w:r>
      <w:proofErr w:type="gramStart"/>
      <w:r w:rsidRPr="00BC1C9C">
        <w:rPr>
          <w:rFonts w:ascii="仿宋" w:eastAsia="仿宋" w:hAnsi="仿宋" w:cs="Times New Roman" w:hint="eastAsia"/>
          <w:bCs/>
          <w:color w:val="000000"/>
          <w:sz w:val="24"/>
          <w:szCs w:val="24"/>
        </w:rPr>
        <w:t>保垒机等</w:t>
      </w:r>
      <w:proofErr w:type="gramEnd"/>
      <w:r w:rsidRPr="00BC1C9C">
        <w:rPr>
          <w:rFonts w:ascii="仿宋" w:eastAsia="仿宋" w:hAnsi="仿宋" w:cs="Times New Roman" w:hint="eastAsia"/>
          <w:bCs/>
          <w:color w:val="000000"/>
          <w:sz w:val="24"/>
          <w:szCs w:val="24"/>
        </w:rPr>
        <w:t>多台网络安全设备，并且为</w:t>
      </w:r>
      <w:proofErr w:type="gramStart"/>
      <w:r w:rsidRPr="00BC1C9C">
        <w:rPr>
          <w:rFonts w:ascii="仿宋" w:eastAsia="仿宋" w:hAnsi="仿宋" w:cs="Times New Roman" w:hint="eastAsia"/>
          <w:bCs/>
          <w:color w:val="000000"/>
          <w:sz w:val="24"/>
          <w:szCs w:val="24"/>
        </w:rPr>
        <w:t>达到</w:t>
      </w:r>
      <w:r w:rsidRPr="00BC1C9C">
        <w:rPr>
          <w:rFonts w:ascii="仿宋" w:eastAsia="仿宋" w:hAnsi="仿宋" w:cs="Times New Roman" w:hint="eastAsia"/>
          <w:bCs/>
          <w:color w:val="000000"/>
          <w:sz w:val="24"/>
          <w:szCs w:val="24"/>
        </w:rPr>
        <w:lastRenderedPageBreak/>
        <w:t>等保</w:t>
      </w:r>
      <w:proofErr w:type="gramEnd"/>
      <w:r w:rsidRPr="00BC1C9C">
        <w:rPr>
          <w:rFonts w:ascii="仿宋" w:eastAsia="仿宋" w:hAnsi="仿宋" w:cs="Times New Roman" w:hint="eastAsia"/>
          <w:bCs/>
          <w:color w:val="000000"/>
          <w:sz w:val="24"/>
          <w:szCs w:val="24"/>
        </w:rPr>
        <w:t>2.0版三级标准完成</w:t>
      </w:r>
      <w:proofErr w:type="gramStart"/>
      <w:r w:rsidRPr="00BC1C9C">
        <w:rPr>
          <w:rFonts w:ascii="仿宋" w:eastAsia="仿宋" w:hAnsi="仿宋" w:cs="Times New Roman" w:hint="eastAsia"/>
          <w:bCs/>
          <w:color w:val="000000"/>
          <w:sz w:val="24"/>
          <w:szCs w:val="24"/>
        </w:rPr>
        <w:t>了等保测评</w:t>
      </w:r>
      <w:proofErr w:type="gramEnd"/>
      <w:r w:rsidRPr="00BC1C9C">
        <w:rPr>
          <w:rFonts w:ascii="仿宋" w:eastAsia="仿宋" w:hAnsi="仿宋" w:cs="Times New Roman" w:hint="eastAsia"/>
          <w:bCs/>
          <w:color w:val="000000"/>
          <w:sz w:val="24"/>
          <w:szCs w:val="24"/>
        </w:rPr>
        <w:t>。下一步，为了进一步强化网络安全措施，还需要安装网络安全准入系统平台，并一同达到基础网络架构</w:t>
      </w:r>
      <w:proofErr w:type="gramStart"/>
      <w:r w:rsidRPr="00BC1C9C">
        <w:rPr>
          <w:rFonts w:ascii="仿宋" w:eastAsia="仿宋" w:hAnsi="仿宋" w:cs="Times New Roman" w:hint="eastAsia"/>
          <w:bCs/>
          <w:color w:val="000000"/>
          <w:sz w:val="24"/>
          <w:szCs w:val="24"/>
        </w:rPr>
        <w:t>的等保</w:t>
      </w:r>
      <w:proofErr w:type="gramEnd"/>
      <w:r w:rsidRPr="00BC1C9C">
        <w:rPr>
          <w:rFonts w:ascii="仿宋" w:eastAsia="仿宋" w:hAnsi="仿宋" w:cs="Times New Roman" w:hint="eastAsia"/>
          <w:bCs/>
          <w:color w:val="000000"/>
          <w:sz w:val="24"/>
          <w:szCs w:val="24"/>
        </w:rPr>
        <w:t>2.0版三级标准。</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2020年，成都中院安装了智慧警务系列系统，包含了智能分析平台和相关系统软件服务端和客户端，其中智能分析机和控制终端使用了英特尔</w:t>
      </w:r>
      <w:r w:rsidRPr="00BC1C9C">
        <w:rPr>
          <w:rFonts w:ascii="宋体" w:eastAsia="宋体" w:hAnsi="宋体" w:cs="宋体" w:hint="eastAsia"/>
          <w:bCs/>
          <w:color w:val="000000"/>
          <w:sz w:val="24"/>
          <w:szCs w:val="24"/>
        </w:rPr>
        <w:t>®</w:t>
      </w:r>
      <w:r w:rsidRPr="00BC1C9C">
        <w:rPr>
          <w:rFonts w:ascii="仿宋" w:eastAsia="仿宋" w:hAnsi="仿宋" w:cs="Times New Roman" w:hint="eastAsia"/>
          <w:bCs/>
          <w:color w:val="000000"/>
          <w:sz w:val="24"/>
          <w:szCs w:val="24"/>
        </w:rPr>
        <w:t>至强</w:t>
      </w:r>
      <w:r w:rsidRPr="00BC1C9C">
        <w:rPr>
          <w:rFonts w:ascii="宋体" w:eastAsia="宋体" w:hAnsi="宋体" w:cs="宋体" w:hint="eastAsia"/>
          <w:bCs/>
          <w:color w:val="000000"/>
          <w:sz w:val="24"/>
          <w:szCs w:val="24"/>
        </w:rPr>
        <w:t>®</w:t>
      </w:r>
      <w:r w:rsidRPr="00BC1C9C">
        <w:rPr>
          <w:rFonts w:ascii="仿宋" w:eastAsia="仿宋" w:hAnsi="仿宋" w:cs="Times New Roman" w:hint="eastAsia"/>
          <w:bCs/>
          <w:color w:val="000000"/>
          <w:sz w:val="24"/>
          <w:szCs w:val="24"/>
        </w:rPr>
        <w:t>系列可扩展处理器，每颗10C/20T，兼容两颗CPU同时部署，主频≥2.1GHZ，使用了专业显卡，性能与NVIDIA Tesla T4相当的性能</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1.2  建设目标</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通过智慧警务建设，实现警务保障、安全检查、配合强制执行、信访维稳、警衔晋升、装备管理等司法警务工作的网上运行和网上管理，实现对警务工作的智能辅助和自动预警，实现所有数据的自动统计和趋势分析，实现对所有突发事件的统一指挥。整合各项警务数据资源，实现相关部门信息</w:t>
      </w:r>
      <w:proofErr w:type="gramStart"/>
      <w:r w:rsidRPr="00BC1C9C">
        <w:rPr>
          <w:rFonts w:ascii="仿宋" w:eastAsia="仿宋" w:hAnsi="仿宋" w:cs="Times New Roman" w:hint="eastAsia"/>
          <w:bCs/>
          <w:color w:val="000000"/>
          <w:sz w:val="24"/>
          <w:szCs w:val="24"/>
        </w:rPr>
        <w:t>交互和</w:t>
      </w:r>
      <w:proofErr w:type="gramEnd"/>
      <w:r w:rsidRPr="00BC1C9C">
        <w:rPr>
          <w:rFonts w:ascii="仿宋" w:eastAsia="仿宋" w:hAnsi="仿宋" w:cs="Times New Roman" w:hint="eastAsia"/>
          <w:bCs/>
          <w:color w:val="000000"/>
          <w:sz w:val="24"/>
          <w:szCs w:val="24"/>
        </w:rPr>
        <w:t>信息共享。与警务管理平台（含法警管理系统和人员来访系统）优化升级的系统进行充分、完整的数据对接，完成智慧警务全部建设内容。</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通过硬件增补建设，实现成都中院下一步增加的各类信息系统拥有充足的应用运行和存储资源。</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通过网络安全准入建设，实现配合现有的网络安全系统，在病毒查杀、安全U</w:t>
      </w:r>
      <w:proofErr w:type="gramStart"/>
      <w:r w:rsidRPr="00BC1C9C">
        <w:rPr>
          <w:rFonts w:ascii="仿宋" w:eastAsia="仿宋" w:hAnsi="仿宋" w:cs="Times New Roman" w:hint="eastAsia"/>
          <w:bCs/>
          <w:color w:val="000000"/>
          <w:sz w:val="24"/>
          <w:szCs w:val="24"/>
        </w:rPr>
        <w:t>盘访问</w:t>
      </w:r>
      <w:proofErr w:type="gramEnd"/>
      <w:r w:rsidRPr="00BC1C9C">
        <w:rPr>
          <w:rFonts w:ascii="仿宋" w:eastAsia="仿宋" w:hAnsi="仿宋" w:cs="Times New Roman" w:hint="eastAsia"/>
          <w:bCs/>
          <w:color w:val="000000"/>
          <w:sz w:val="24"/>
          <w:szCs w:val="24"/>
        </w:rPr>
        <w:t>和用户绑定的基础上无缝连接互通互操作，将网络安全准入措施准确定位到个人，同时配置兼容内</w:t>
      </w:r>
      <w:proofErr w:type="gramStart"/>
      <w:r w:rsidRPr="00BC1C9C">
        <w:rPr>
          <w:rFonts w:ascii="仿宋" w:eastAsia="仿宋" w:hAnsi="仿宋" w:cs="Times New Roman" w:hint="eastAsia"/>
          <w:bCs/>
          <w:color w:val="000000"/>
          <w:sz w:val="24"/>
          <w:szCs w:val="24"/>
        </w:rPr>
        <w:t>网措施</w:t>
      </w:r>
      <w:proofErr w:type="gramEnd"/>
      <w:r w:rsidRPr="00BC1C9C">
        <w:rPr>
          <w:rFonts w:ascii="仿宋" w:eastAsia="仿宋" w:hAnsi="仿宋" w:cs="Times New Roman" w:hint="eastAsia"/>
          <w:bCs/>
          <w:color w:val="000000"/>
          <w:sz w:val="24"/>
          <w:szCs w:val="24"/>
        </w:rPr>
        <w:t>的外网网络安全准入系统平台，确保所有人员无感切换内外网</w:t>
      </w:r>
      <w:proofErr w:type="gramStart"/>
      <w:r w:rsidRPr="00BC1C9C">
        <w:rPr>
          <w:rFonts w:ascii="仿宋" w:eastAsia="仿宋" w:hAnsi="仿宋" w:cs="Times New Roman" w:hint="eastAsia"/>
          <w:bCs/>
          <w:color w:val="000000"/>
          <w:sz w:val="24"/>
          <w:szCs w:val="24"/>
        </w:rPr>
        <w:t>使用仍</w:t>
      </w:r>
      <w:proofErr w:type="gramEnd"/>
      <w:r w:rsidRPr="00BC1C9C">
        <w:rPr>
          <w:rFonts w:ascii="仿宋" w:eastAsia="仿宋" w:hAnsi="仿宋" w:cs="Times New Roman" w:hint="eastAsia"/>
          <w:bCs/>
          <w:color w:val="000000"/>
          <w:sz w:val="24"/>
          <w:szCs w:val="24"/>
        </w:rPr>
        <w:t>能够确保同一套系统管控到位。</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1.3  建设原则</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充分利用成都法院现有的软硬件系统实现统一性、共享性、智能性、可扩展性。</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统一性。统一软件兼容性应用，统一硬件通用性配置，实现软件硬件高度统一，纵向横向高度一致。</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共享性。减消横向系统瓶颈、打通纵向层级阻断，实现资源共享和上级法院与下级法院数据共享。</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智能性。充分利用人工智能技术，实现“四个自动”，即身份自动核对、信息自动登记、轨迹自动跟踪、异常自动报警。</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灵活性。智慧警务需提供统一</w:t>
      </w:r>
      <w:proofErr w:type="gramStart"/>
      <w:r w:rsidRPr="00BC1C9C">
        <w:rPr>
          <w:rFonts w:ascii="仿宋" w:eastAsia="仿宋" w:hAnsi="仿宋" w:cs="Times New Roman" w:hint="eastAsia"/>
          <w:bCs/>
          <w:color w:val="000000"/>
          <w:sz w:val="24"/>
          <w:szCs w:val="24"/>
        </w:rPr>
        <w:t>且公开</w:t>
      </w:r>
      <w:proofErr w:type="gramEnd"/>
      <w:r w:rsidRPr="00BC1C9C">
        <w:rPr>
          <w:rFonts w:ascii="仿宋" w:eastAsia="仿宋" w:hAnsi="仿宋" w:cs="Times New Roman" w:hint="eastAsia"/>
          <w:bCs/>
          <w:color w:val="000000"/>
          <w:sz w:val="24"/>
          <w:szCs w:val="24"/>
        </w:rPr>
        <w:t>的数据接口，满足市中院统一对接和基层法院自行对接的多种推广方式。</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1.4  建设规模</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本次项目的建设规模覆盖成都中院本级。</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1.</w:t>
      </w:r>
      <w:r w:rsidRPr="00BC1C9C">
        <w:rPr>
          <w:rFonts w:ascii="仿宋" w:eastAsia="仿宋" w:hAnsi="仿宋" w:cs="Times New Roman"/>
          <w:bCs/>
          <w:color w:val="000000"/>
          <w:sz w:val="24"/>
          <w:szCs w:val="24"/>
        </w:rPr>
        <w:t>5</w:t>
      </w:r>
      <w:r w:rsidRPr="00BC1C9C">
        <w:rPr>
          <w:rFonts w:ascii="仿宋" w:eastAsia="仿宋" w:hAnsi="仿宋" w:cs="Times New Roman" w:hint="eastAsia"/>
          <w:bCs/>
          <w:color w:val="000000"/>
          <w:sz w:val="24"/>
          <w:szCs w:val="24"/>
        </w:rPr>
        <w:t xml:space="preserve">  建设依据</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lastRenderedPageBreak/>
        <w:t>1.《国家政务信息化项目建设管理办法》，国办发[2019]57号</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2.《人民法院信息化标准》（FYB_T_50000）体系表及引用的所有标准</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3.国家或行业批准发布的相关规范，以最新标准及引用标准为准：</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（1）国家标准及城市联网监控报警系统设计方面：</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《公共安全视频监控联网系统信息传输、交换、控制技术要求》（GB/T 28181）</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《城市监控报警联网系统技术标准》（GA/T 669）</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（2）安防视频监控系统设计方面：</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《公安视频图像分析系统》（GA/T 1399）</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《安防监控视频实时智能分析设备技术要求》（GB/T  30147）</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《视频安防监控系统技术要求》（GA/T 367）</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《民用闭路监视电视系统工程技术规范》(GB50198)</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《安全防范系统通用图形符号》（GA/T 74）</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《道路交通安全违法行为图像取证技术规范》（GA/T 832）</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《机动车号牌图像自动识别技术规范》（GA/833）</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《综合布线系统工程设计规范》（GB/T 50311）</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《入侵报警系统工程设计规范》（GB50394）</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《入侵探测器》（GB10408）</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《出入口控制系统工程设计规范》（GB50396）</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《电视视频通道测试方法》（GB3659）</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《彩色电视图像质量主观评价方法》（GB7401）</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《信息技术开放系统互连网络层安全协议》（GB/T 17963）</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《计算机信息系统安全》（GA216）</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《计算机软件开发规范》（GB8566）</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《安全防范工程程序与要求》（GA/T 75）</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《安全防范工程技术规范》(GB 50348)</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《电子计算机机房设计规范》(GB50174）</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《建筑物防雷设计规范》(GB50057)</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《建筑物电子信息系统防雷技术规范》(GB50343)</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《安全防范系统雷电浪涌防护技术要求》(GA/T 670)</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《民用建筑电气设计规范》(JGJ/T16)</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《安全防范系统验收规则》（GA308）</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《中国电气装置安装工程施工及验收规范》（GBJ232）</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《建筑与建筑群综合布线系统工程验收规范》 (GB/T 50312)</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《通信局（站）防雷与接地工程设计规范》（GB50689）</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lastRenderedPageBreak/>
        <w:t>《通信工程建设环境保护技术暂行规定》（YD5039）</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《通信管道与通道工程设计规范》（GB50373）</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《电信工程制图与图形符号规定》（YD/T5015）</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《架空光（电）缆通信杆路工程设计规范》（YD5148）</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《本地通信线路工程设计规范》（YD5137）</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《本地通信线路工程及施工验收规范》（YD/T5138）</w:t>
      </w:r>
    </w:p>
    <w:p w:rsidR="00BC1C9C" w:rsidRPr="00BC1C9C" w:rsidRDefault="00BC1C9C" w:rsidP="00BC1C9C">
      <w:pPr>
        <w:spacing w:line="400" w:lineRule="exact"/>
        <w:ind w:firstLineChars="175" w:firstLine="422"/>
        <w:outlineLvl w:val="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（二）功能需求</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1.警务指挥平台升级</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通过智慧警务一期中建设，我院已实现了法警业务流程网上办理，事务移动办理，画面大屏展示等核心功能。</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通过警务指挥平台，大屏能够展示监控、科技法庭、囚车等画面，并能展示法警、访客的基础数据。我院法警业务通过信息化的手段，法警管理的水平得到了极大的提升。但随着法警各类信息化系统的深入使用和人民法院对于智能化管理要求的不断提高。传统的业务管理、数据展示已无法满足法院日常工作的需求，应当充分利用人工智能、大数据思维，使系统更加智能化、便捷化，为我院法警业务管理提供全方位的趋势分析、决策支持。</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1.1访客地图升级</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我院现已建成的警务指挥平台，已根据法院实际情况，制作了公共区域的简易线条地图。通过本次升级建设，将警务指挥平台中访客地图部分进行全面升级，使系统能够更加直接、直观的展示访客在法院的位置，访客在法院的全轨迹。</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访客轨迹地图升级的版本至少包含中院3840×1080版，中院1920×1080版，基层法院3840×1080版，基层法院1920×1080版4个版本。</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1.1.1显示效果升级</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将平面线条地图和访客轨迹、访客形象、访客点位等画面进行全面升级，制作立体地图，访客轨迹、访客形象更加美观、直观。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BC1C9C" w:rsidRPr="00BC1C9C" w:rsidTr="000C79E5">
        <w:tc>
          <w:tcPr>
            <w:tcW w:w="8522" w:type="dxa"/>
            <w:vAlign w:val="center"/>
          </w:tcPr>
          <w:p w:rsidR="00BC1C9C" w:rsidRPr="00BC1C9C" w:rsidRDefault="00BC1C9C" w:rsidP="00BC1C9C">
            <w:pPr>
              <w:adjustRightInd w:val="0"/>
              <w:spacing w:line="360" w:lineRule="auto"/>
              <w:jc w:val="center"/>
              <w:textAlignment w:val="baseline"/>
              <w:rPr>
                <w:rFonts w:ascii="宋体" w:eastAsia="宋体" w:hAnsi="宋体" w:cs="宋体"/>
                <w:bCs/>
                <w:color w:val="000000"/>
                <w:kern w:val="0"/>
                <w:sz w:val="34"/>
              </w:rPr>
            </w:pPr>
            <w:r w:rsidRPr="00BC1C9C">
              <w:rPr>
                <w:rFonts w:ascii="宋体" w:eastAsia="宋体" w:hAnsi="Calibri" w:cs="Times New Roman"/>
                <w:noProof/>
                <w:color w:val="000000"/>
                <w:kern w:val="0"/>
                <w:sz w:val="34"/>
              </w:rPr>
              <w:lastRenderedPageBreak/>
              <w:drawing>
                <wp:inline distT="0" distB="0" distL="0" distR="0" wp14:anchorId="6DCD4D6F" wp14:editId="78207AEE">
                  <wp:extent cx="3006725" cy="3145790"/>
                  <wp:effectExtent l="0" t="0" r="3175" b="0"/>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725" cy="3145790"/>
                          </a:xfrm>
                          <a:prstGeom prst="rect">
                            <a:avLst/>
                          </a:prstGeom>
                          <a:noFill/>
                          <a:ln>
                            <a:noFill/>
                          </a:ln>
                        </pic:spPr>
                      </pic:pic>
                    </a:graphicData>
                  </a:graphic>
                </wp:inline>
              </w:drawing>
            </w:r>
          </w:p>
        </w:tc>
      </w:tr>
      <w:tr w:rsidR="00BC1C9C" w:rsidRPr="00BC1C9C" w:rsidTr="000C79E5">
        <w:tc>
          <w:tcPr>
            <w:tcW w:w="8522" w:type="dxa"/>
            <w:vAlign w:val="center"/>
          </w:tcPr>
          <w:p w:rsidR="00BC1C9C" w:rsidRPr="00BC1C9C" w:rsidRDefault="00BC1C9C" w:rsidP="00BC1C9C">
            <w:pPr>
              <w:adjustRightInd w:val="0"/>
              <w:spacing w:line="360" w:lineRule="auto"/>
              <w:jc w:val="center"/>
              <w:textAlignment w:val="baseline"/>
              <w:rPr>
                <w:rFonts w:ascii="宋体" w:eastAsia="宋体" w:hAnsi="宋体" w:cs="宋体"/>
                <w:bCs/>
                <w:color w:val="000000"/>
                <w:kern w:val="0"/>
                <w:sz w:val="34"/>
              </w:rPr>
            </w:pPr>
            <w:r w:rsidRPr="00BC1C9C">
              <w:rPr>
                <w:rFonts w:ascii="宋体" w:eastAsia="宋体" w:hAnsi="宋体" w:cs="宋体" w:hint="eastAsia"/>
                <w:bCs/>
                <w:color w:val="000000"/>
                <w:kern w:val="0"/>
                <w:sz w:val="34"/>
              </w:rPr>
              <w:t>现有样式</w:t>
            </w:r>
          </w:p>
        </w:tc>
      </w:tr>
      <w:tr w:rsidR="00BC1C9C" w:rsidRPr="00BC1C9C" w:rsidTr="000C79E5">
        <w:tc>
          <w:tcPr>
            <w:tcW w:w="8522" w:type="dxa"/>
            <w:vAlign w:val="center"/>
          </w:tcPr>
          <w:p w:rsidR="00BC1C9C" w:rsidRPr="00BC1C9C" w:rsidRDefault="00BC1C9C" w:rsidP="00BC1C9C">
            <w:pPr>
              <w:adjustRightInd w:val="0"/>
              <w:spacing w:line="360" w:lineRule="auto"/>
              <w:jc w:val="center"/>
              <w:textAlignment w:val="baseline"/>
              <w:rPr>
                <w:rFonts w:ascii="宋体" w:eastAsia="宋体" w:hAnsi="宋体" w:cs="宋体"/>
                <w:bCs/>
                <w:color w:val="000000"/>
                <w:kern w:val="0"/>
                <w:sz w:val="34"/>
              </w:rPr>
            </w:pPr>
            <w:r w:rsidRPr="00BC1C9C">
              <w:rPr>
                <w:rFonts w:ascii="宋体" w:eastAsia="宋体" w:hAnsi="Calibri" w:cs="Times New Roman"/>
                <w:noProof/>
                <w:color w:val="000000"/>
                <w:kern w:val="0"/>
                <w:sz w:val="34"/>
              </w:rPr>
              <w:drawing>
                <wp:inline distT="0" distB="0" distL="0" distR="0" wp14:anchorId="1118F3FA" wp14:editId="05546683">
                  <wp:extent cx="5266690" cy="2055495"/>
                  <wp:effectExtent l="0" t="0" r="0" b="1905"/>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690" cy="2055495"/>
                          </a:xfrm>
                          <a:prstGeom prst="rect">
                            <a:avLst/>
                          </a:prstGeom>
                          <a:noFill/>
                          <a:ln>
                            <a:noFill/>
                          </a:ln>
                        </pic:spPr>
                      </pic:pic>
                    </a:graphicData>
                  </a:graphic>
                </wp:inline>
              </w:drawing>
            </w:r>
          </w:p>
        </w:tc>
      </w:tr>
      <w:tr w:rsidR="00BC1C9C" w:rsidRPr="00BC1C9C" w:rsidTr="000C79E5">
        <w:tc>
          <w:tcPr>
            <w:tcW w:w="8522" w:type="dxa"/>
            <w:vAlign w:val="center"/>
          </w:tcPr>
          <w:p w:rsidR="00BC1C9C" w:rsidRPr="00BC1C9C" w:rsidRDefault="00BC1C9C" w:rsidP="00BC1C9C">
            <w:pPr>
              <w:adjustRightInd w:val="0"/>
              <w:spacing w:line="360" w:lineRule="auto"/>
              <w:jc w:val="center"/>
              <w:textAlignment w:val="baseline"/>
              <w:rPr>
                <w:rFonts w:ascii="宋体" w:eastAsia="宋体" w:hAnsi="宋体" w:cs="宋体"/>
                <w:bCs/>
                <w:color w:val="000000"/>
                <w:kern w:val="0"/>
                <w:sz w:val="34"/>
              </w:rPr>
            </w:pPr>
            <w:r w:rsidRPr="00BC1C9C">
              <w:rPr>
                <w:rFonts w:ascii="宋体" w:eastAsia="宋体" w:hAnsi="宋体" w:cs="宋体" w:hint="eastAsia"/>
                <w:bCs/>
                <w:color w:val="000000"/>
                <w:kern w:val="0"/>
                <w:sz w:val="34"/>
              </w:rPr>
              <w:t>升级参考样式</w:t>
            </w:r>
          </w:p>
        </w:tc>
      </w:tr>
    </w:tbl>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1.1.2地图数量增加</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法警指挥平台现在已将我院三个办公区公共区域部分制作地图，需要再通过本次建设，扩大地图区域，将我院其它外部访客有可能涉及到闯入的公共区域纳入地图，使区域闯入预警、访客轨迹等更加完善，杜绝安全盲点。本次对升级后的地图数量预计为20-30张。</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1.2定制化报表升级</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我院现已建成的法警指挥平台，已建设有通用的查询功能10个，通用数据统计报表11个。但随着全市法院共同的深入使用和法警业务模式的变更，以及每个法院不同的实际业务需求不同，对数据的查询、统计要求也不一致。通过本次升级建设，实现以下目标：</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lastRenderedPageBreak/>
        <w:t>1.2.1中院定制报表开发</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从业务和管理角度出发，中院根据系统在使用过程中发现的统计和管理需求，再次定制新开发和调整统计报表。报表数据根据实际需求为准，统计报表数量不超过20个。</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1.2.2基层法院定制报表开发</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中院根据各类法警相关系统在使用过程中，搜集和汇总基层法院提出的报表统计需求，统一进行分析梳理后，集中开发一批适用于基层法院的数据统计报表。统计报表以实际深化设计为准，数量不超过20个。</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1.2.3自定义查询工具</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根据法警的核心业务，设计法警业务数据的自定义查询工具。用户可以随意组织和选择各类查询项、关联条件，自定义展示数据，并根据查询结果自动导出表格。</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通过自定义查询工具的开发，能够满足各法院对于本院法警数据的基础查询要求。</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1.3数据分析全面升级</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运用大数据思维，整合所有法警相关系统、数据，在现有数据展示的基础上，全面提升法警指挥平台的智能化水平、数据分析水平。采用系统自动监督模式，对业务数据自动巡查、自动分析、自动预警。</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1.3.1法警数据自动分析预警</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对法警基础信息、业务信息实现智能化监督升级，形成多维的数据分析报告。综合分析法警的任务数量、完成情况、分布情况、法警个人业绩、法警个人基础信息、法警教育培训等数据进行智能分析。</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1.3.2智能巡查</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建立智能巡查指标库，系统定时自动对所有数据进行智能巡查巡检。</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1.3.3智能预警</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根据智能巡查结果，智能分析数据，如任务分配不合理、超时完成任务等实现静默监督，自动分析，一旦出现达到或者按照现有趋势，有可能达到预警阈值的，在警务指挥平台中自动预警提示。</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2.访客管理系统升级</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我院已建有来访人员管理系统，但随着中院的访客业务需求管理增加，现有功能已无法满足工作需要。通过本次升级建设，将来访人员管理系统升级为访客管理系统，并进行功能进行升级，主要升级的内容包括：</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2.1增加违禁物品管理</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增加违禁物品管理，将安检过程中发现的违禁物品按类型进行登记，并关联</w:t>
      </w:r>
      <w:r w:rsidRPr="00BC1C9C">
        <w:rPr>
          <w:rFonts w:ascii="仿宋" w:eastAsia="仿宋" w:hAnsi="仿宋" w:cs="Times New Roman" w:hint="eastAsia"/>
          <w:bCs/>
          <w:color w:val="000000"/>
          <w:sz w:val="24"/>
          <w:szCs w:val="24"/>
        </w:rPr>
        <w:lastRenderedPageBreak/>
        <w:t>相应的访客信息管理。</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自动对违禁物品相关信息、趋势进行统计分析，通过对违禁物品的统计，分析法院安保信息。</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2.2增加访客分析功能</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在访客系统中增加数据分析功能，形成可视化的智能分析页面和数据统计报表，使安检处工作人员可直接在访客系统中统计和查询、分析访客数据。</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3.智能分析系统升级</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成都中院的安防需要的是一个全方位的系统。在这个系统中有视频监控功能、人脸人别、人员定位、巡更、报警功能等，所有这些可以让司法警察实时了解法院内部及周界情况，对违规、突发事件起预防和制止作用。</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智能视频监控系统在安防应用升级中成为首选，它的工作原理就是给视频监控系统装上“大脑”，使其具备“人脑思维”，成功代替值守人员对视频画面进行24小时全年无休监控分析，并</w:t>
      </w:r>
      <w:proofErr w:type="gramStart"/>
      <w:r w:rsidRPr="00BC1C9C">
        <w:rPr>
          <w:rFonts w:ascii="仿宋" w:eastAsia="仿宋" w:hAnsi="仿宋" w:cs="Times New Roman" w:hint="eastAsia"/>
          <w:bCs/>
          <w:color w:val="000000"/>
          <w:sz w:val="24"/>
          <w:szCs w:val="24"/>
        </w:rPr>
        <w:t>作出</w:t>
      </w:r>
      <w:proofErr w:type="gramEnd"/>
      <w:r w:rsidRPr="00BC1C9C">
        <w:rPr>
          <w:rFonts w:ascii="仿宋" w:eastAsia="仿宋" w:hAnsi="仿宋" w:cs="Times New Roman" w:hint="eastAsia"/>
          <w:bCs/>
          <w:color w:val="000000"/>
          <w:sz w:val="24"/>
          <w:szCs w:val="24"/>
        </w:rPr>
        <w:t>提前预警报警等动作。</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3.1技术特点</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智能分析系统需要采用背景建模、行为模式识别算法和人工智能算法等多领域的技术，对视频输入进行一系列处理，从视频流中提取监控场景中的运动目标信息如目标位置及尺寸、运动轨迹、目标类型等；用户在客户端设置报警规则，事件检测模块判断是否有规定事件发生，若有事件发生则产生报警信号；当有报警发生时，报警处理模块抓拍当前视频的无损图像，并且更新索引文件，无损图像及索引文件被发送到客户端，同时将无损报警图像保存到磁盘。要求具备以下特点：</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3.1.1对重要区域目标靠近或入侵时可自动驱动球机进行跟踪，放大细节信息。</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3.1.2对各个重点区域进行全天的智能视频监控，对声音异常、人员靠近、人数异常、剧烈运动、违规攀高等行为做出实时的报警。</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3.1.3为了保障智能监控系统的正常运作，支持摄像机异常状态检测功能，对摄像机的多种异常状态进行检测，包括视频线断开、摄像机被破坏及摄像机被移动等。</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3.1.4为了在发生异常事件后，快速定位及取证，本系统具有事件后检索功能，能够对系统内任意一路视频进行快速事件检索，及时定位异常事件发生的时间点。</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3.1.5易改造，可在原有监控系统基础上进行改造，只需添加智能视频服务端即可。</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3.1.6系统扩展性强，在原系统基础上只需增加摄像机即可完成系统扩展。</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lastRenderedPageBreak/>
        <w:t>3.2实施内容</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本次系统升级包含软件算法升级和同时接入分析路数扩容。</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3.2.1在智慧警务一期项目中已有的分析规则中，通过增加前端拾音设备和升级后端算法，在原有功能基础上增加声音异常检测、人员靠近检测、人数异常检测和违规攀高检测等，通过检测结果自动触发预警机制，让警务</w:t>
      </w:r>
      <w:proofErr w:type="gramStart"/>
      <w:r w:rsidRPr="00BC1C9C">
        <w:rPr>
          <w:rFonts w:ascii="仿宋" w:eastAsia="仿宋" w:hAnsi="仿宋" w:cs="Times New Roman" w:hint="eastAsia"/>
          <w:bCs/>
          <w:color w:val="000000"/>
          <w:sz w:val="24"/>
          <w:szCs w:val="24"/>
        </w:rPr>
        <w:t>人员第</w:t>
      </w:r>
      <w:proofErr w:type="gramEnd"/>
      <w:r w:rsidRPr="00BC1C9C">
        <w:rPr>
          <w:rFonts w:ascii="仿宋" w:eastAsia="仿宋" w:hAnsi="仿宋" w:cs="Times New Roman" w:hint="eastAsia"/>
          <w:bCs/>
          <w:color w:val="000000"/>
          <w:sz w:val="24"/>
          <w:szCs w:val="24"/>
        </w:rPr>
        <w:t>一时间知晓前端情况并出警处理违规事项。</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3.2.2在智慧警务一期项目中，已实现32路视频监控同时接入进行视频分析，在本次建设中，通过增加软件系统及硬件运行环境方式将同时接入路数扩充至64路。</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在成都中院本部及东区和南区的安检大厅、诉讼服务大厅、审判大楼等重点公共区域增加双目行为分析摄像机，可通过前段摄像机进行跌倒、人员靠近、人数异常、人员滞留和剧烈运动等异常行为检测，减少专网带宽压力和后端设备运行压力，实现及时进行精准分析和告警通知。</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4.网络安全准入升级</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成都中院在近年的安全建设中已经初步完成内网安全基础建设，在终端侧也已经进行了终端安全防护，随着运</w:t>
      </w:r>
      <w:proofErr w:type="gramStart"/>
      <w:r w:rsidRPr="00BC1C9C">
        <w:rPr>
          <w:rFonts w:ascii="仿宋" w:eastAsia="仿宋" w:hAnsi="仿宋" w:cs="Times New Roman" w:hint="eastAsia"/>
          <w:bCs/>
          <w:color w:val="000000"/>
          <w:sz w:val="24"/>
          <w:szCs w:val="24"/>
        </w:rPr>
        <w:t>维环境</w:t>
      </w:r>
      <w:proofErr w:type="gramEnd"/>
      <w:r w:rsidRPr="00BC1C9C">
        <w:rPr>
          <w:rFonts w:ascii="仿宋" w:eastAsia="仿宋" w:hAnsi="仿宋" w:cs="Times New Roman" w:hint="eastAsia"/>
          <w:bCs/>
          <w:color w:val="000000"/>
          <w:sz w:val="24"/>
          <w:szCs w:val="24"/>
        </w:rPr>
        <w:t>变化、终端电脑的更替，原有进行了终端防护的部分终端下线，部分新终端上线，导致新入网的终端无法第一时间纳入防御范畴，可能成为安全隐患，同时互联网终端为落实保密责任，需要将终端和自然人进行点对点绑定，实现通过技术手段追溯到自然人。在进行安全事件溯源和管理时便于落实责任，也通过技术手段配合管理制度的推进。</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本次建设的目标是从法院内网边界到网络核心区域的全方位的准入控制，准入部署不修改网络结构，不影响网络性能。根据终端合法性、终端合</w:t>
      </w:r>
      <w:proofErr w:type="gramStart"/>
      <w:r w:rsidRPr="00BC1C9C">
        <w:rPr>
          <w:rFonts w:ascii="仿宋" w:eastAsia="仿宋" w:hAnsi="仿宋" w:cs="Times New Roman" w:hint="eastAsia"/>
          <w:bCs/>
          <w:color w:val="000000"/>
          <w:sz w:val="24"/>
          <w:szCs w:val="24"/>
        </w:rPr>
        <w:t>规</w:t>
      </w:r>
      <w:proofErr w:type="gramEnd"/>
      <w:r w:rsidRPr="00BC1C9C">
        <w:rPr>
          <w:rFonts w:ascii="仿宋" w:eastAsia="仿宋" w:hAnsi="仿宋" w:cs="Times New Roman" w:hint="eastAsia"/>
          <w:bCs/>
          <w:color w:val="000000"/>
          <w:sz w:val="24"/>
          <w:szCs w:val="24"/>
        </w:rPr>
        <w:t>性等原则，有效地实现非法</w:t>
      </w:r>
      <w:proofErr w:type="gramStart"/>
      <w:r w:rsidRPr="00BC1C9C">
        <w:rPr>
          <w:rFonts w:ascii="仿宋" w:eastAsia="仿宋" w:hAnsi="仿宋" w:cs="Times New Roman" w:hint="eastAsia"/>
          <w:bCs/>
          <w:color w:val="000000"/>
          <w:sz w:val="24"/>
          <w:szCs w:val="24"/>
        </w:rPr>
        <w:t>不</w:t>
      </w:r>
      <w:proofErr w:type="gramEnd"/>
      <w:r w:rsidRPr="00BC1C9C">
        <w:rPr>
          <w:rFonts w:ascii="仿宋" w:eastAsia="仿宋" w:hAnsi="仿宋" w:cs="Times New Roman" w:hint="eastAsia"/>
          <w:bCs/>
          <w:color w:val="000000"/>
          <w:sz w:val="24"/>
          <w:szCs w:val="24"/>
        </w:rPr>
        <w:t>入网、入网必合</w:t>
      </w:r>
      <w:proofErr w:type="gramStart"/>
      <w:r w:rsidRPr="00BC1C9C">
        <w:rPr>
          <w:rFonts w:ascii="仿宋" w:eastAsia="仿宋" w:hAnsi="仿宋" w:cs="Times New Roman" w:hint="eastAsia"/>
          <w:bCs/>
          <w:color w:val="000000"/>
          <w:sz w:val="24"/>
          <w:szCs w:val="24"/>
        </w:rPr>
        <w:t>规</w:t>
      </w:r>
      <w:proofErr w:type="gramEnd"/>
      <w:r w:rsidRPr="00BC1C9C">
        <w:rPr>
          <w:rFonts w:ascii="仿宋" w:eastAsia="仿宋" w:hAnsi="仿宋" w:cs="Times New Roman" w:hint="eastAsia"/>
          <w:bCs/>
          <w:color w:val="000000"/>
          <w:sz w:val="24"/>
          <w:szCs w:val="24"/>
        </w:rPr>
        <w:t>的准入目标。</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4.1  外网安全准入</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外网准入默认提供2000点位授权，上限可扩展至少5000点位。满足成都中院三个区外网上</w:t>
      </w:r>
      <w:proofErr w:type="gramStart"/>
      <w:r w:rsidRPr="00BC1C9C">
        <w:rPr>
          <w:rFonts w:ascii="仿宋" w:eastAsia="仿宋" w:hAnsi="仿宋" w:cs="Times New Roman" w:hint="eastAsia"/>
          <w:bCs/>
          <w:color w:val="000000"/>
          <w:sz w:val="24"/>
          <w:szCs w:val="24"/>
        </w:rPr>
        <w:t>网个人</w:t>
      </w:r>
      <w:proofErr w:type="gramEnd"/>
      <w:r w:rsidRPr="00BC1C9C">
        <w:rPr>
          <w:rFonts w:ascii="仿宋" w:eastAsia="仿宋" w:hAnsi="仿宋" w:cs="Times New Roman" w:hint="eastAsia"/>
          <w:bCs/>
          <w:color w:val="000000"/>
          <w:sz w:val="24"/>
          <w:szCs w:val="24"/>
        </w:rPr>
        <w:t>账户绑定准入功能。使用手机号加密码登录或手机验证码登录。可无缝支持配置与内网天</w:t>
      </w:r>
      <w:proofErr w:type="gramStart"/>
      <w:r w:rsidRPr="00BC1C9C">
        <w:rPr>
          <w:rFonts w:ascii="仿宋" w:eastAsia="仿宋" w:hAnsi="仿宋" w:cs="Times New Roman" w:hint="eastAsia"/>
          <w:bCs/>
          <w:color w:val="000000"/>
          <w:sz w:val="24"/>
          <w:szCs w:val="24"/>
        </w:rPr>
        <w:t>擎系统</w:t>
      </w:r>
      <w:proofErr w:type="gramEnd"/>
      <w:r w:rsidRPr="00BC1C9C">
        <w:rPr>
          <w:rFonts w:ascii="仿宋" w:eastAsia="仿宋" w:hAnsi="仿宋" w:cs="Times New Roman" w:hint="eastAsia"/>
          <w:bCs/>
          <w:color w:val="000000"/>
          <w:sz w:val="24"/>
          <w:szCs w:val="24"/>
        </w:rPr>
        <w:t>兼容部署。</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4.2  内网安全准入</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内网准入默认提供1500点位授权，上限可扩展至少5000点位。满足成都中院三个区内网上网天</w:t>
      </w:r>
      <w:proofErr w:type="gramStart"/>
      <w:r w:rsidRPr="00BC1C9C">
        <w:rPr>
          <w:rFonts w:ascii="仿宋" w:eastAsia="仿宋" w:hAnsi="仿宋" w:cs="Times New Roman" w:hint="eastAsia"/>
          <w:bCs/>
          <w:color w:val="000000"/>
          <w:sz w:val="24"/>
          <w:szCs w:val="24"/>
        </w:rPr>
        <w:t>擎系统</w:t>
      </w:r>
      <w:proofErr w:type="gramEnd"/>
      <w:r w:rsidRPr="00BC1C9C">
        <w:rPr>
          <w:rFonts w:ascii="仿宋" w:eastAsia="仿宋" w:hAnsi="仿宋" w:cs="Times New Roman" w:hint="eastAsia"/>
          <w:bCs/>
          <w:color w:val="000000"/>
          <w:sz w:val="24"/>
          <w:szCs w:val="24"/>
        </w:rPr>
        <w:t>兼容准入功能，管理上网权限。必须无缝配置与内网天</w:t>
      </w:r>
      <w:proofErr w:type="gramStart"/>
      <w:r w:rsidRPr="00BC1C9C">
        <w:rPr>
          <w:rFonts w:ascii="仿宋" w:eastAsia="仿宋" w:hAnsi="仿宋" w:cs="Times New Roman" w:hint="eastAsia"/>
          <w:bCs/>
          <w:color w:val="000000"/>
          <w:sz w:val="24"/>
          <w:szCs w:val="24"/>
        </w:rPr>
        <w:t>擎系统</w:t>
      </w:r>
      <w:proofErr w:type="gramEnd"/>
      <w:r w:rsidRPr="00BC1C9C">
        <w:rPr>
          <w:rFonts w:ascii="仿宋" w:eastAsia="仿宋" w:hAnsi="仿宋" w:cs="Times New Roman" w:hint="eastAsia"/>
          <w:bCs/>
          <w:color w:val="000000"/>
          <w:sz w:val="24"/>
          <w:szCs w:val="24"/>
        </w:rPr>
        <w:t>兼容部署。</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5. 硬件系统扩容</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由于业务系统的不断增加和完善，业务数据也随之不断增长，系统对计算资源要求也越来越高，所以需要更为快速的提供扩容资源，本次要求在原有计算和</w:t>
      </w:r>
      <w:r w:rsidRPr="00BC1C9C">
        <w:rPr>
          <w:rFonts w:ascii="仿宋" w:eastAsia="仿宋" w:hAnsi="仿宋" w:cs="Times New Roman" w:hint="eastAsia"/>
          <w:bCs/>
          <w:color w:val="000000"/>
          <w:sz w:val="24"/>
          <w:szCs w:val="24"/>
        </w:rPr>
        <w:lastRenderedPageBreak/>
        <w:t>存储资源池的基础上进行扩容，做到本院三个办公区数据同步的同时提高整体性能和存储空间，实现各应用在计算资源池间快速切换，保障业务系统的正常运行和数据的安全存储，提高整个业务系统的可用性。</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5.1可靠性</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存储平台</w:t>
      </w:r>
      <w:proofErr w:type="gramStart"/>
      <w:r w:rsidRPr="00BC1C9C">
        <w:rPr>
          <w:rFonts w:ascii="仿宋" w:eastAsia="仿宋" w:hAnsi="仿宋" w:cs="Times New Roman" w:hint="eastAsia"/>
          <w:bCs/>
          <w:color w:val="000000"/>
          <w:sz w:val="24"/>
          <w:szCs w:val="24"/>
        </w:rPr>
        <w:t>做为</w:t>
      </w:r>
      <w:proofErr w:type="gramEnd"/>
      <w:r w:rsidRPr="00BC1C9C">
        <w:rPr>
          <w:rFonts w:ascii="仿宋" w:eastAsia="仿宋" w:hAnsi="仿宋" w:cs="Times New Roman" w:hint="eastAsia"/>
          <w:bCs/>
          <w:color w:val="000000"/>
          <w:sz w:val="24"/>
          <w:szCs w:val="24"/>
        </w:rPr>
        <w:t>应用虚拟化平台的基础硬件平台，是虚拟化技术手段得以实现的基础。从某种意义上来说，磁盘阵列的可靠性决定了整个存储架构的可靠性，因此整个存储架构中，必须保证后端磁盘阵列的可靠性。在可靠性方面，磁盘阵列必须实现：</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硬件架构的完全冗余保护，任何一个部件的失效不会影响整套阵列的正常运行；</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提供RAID保护技术，除了传统的基于单校验的RAID技术外，考虑到目前单个硬盘的容量越来越大，在一个硬盘发生故障被替换后所需要的RAID重构时间越来越长，因此还必须提供双校验的RAID技术以防止在重构过程中再次发生磁盘故障而导致数据的丢失；</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提供全局热备盘技术；</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支持在线的部件更换和微码以及功能软件的升级；</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支持后端磁盘介质扫描；</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支持非法写操作的监控和发现；</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支持快速RAID组重构。</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5.2 I/O性能</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在保证网络层数据传输带宽的情况下，后端磁盘阵列的性能决定了整个存储架构的性能。磁盘阵列具备足够的性能从而满足前端所有应用系统对数据存储和访问的需求。在性能方面，应该从软硬件两方面来考虑：</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在硬件方面，磁盘阵列必须配置足够的硬件资源（如CPU资源、前端通道资源，后端通道资源，缓存资源和硬盘资源等）以保证整套阵列有足够的数据处理性能。</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在软件方面，我们应该考虑阵列所提供的软件在对阵列性能提升上的帮助，如：是否能实现底层IO在后端硬盘上的平均分布从而消除阵列访问热点，最大限度的发挥阵列的潜在性能；是否能减少RAID校验的计算量，最大限度的减少RAID保护对性能的影像；是否能消除某些存储功能（如数据快照，数据容灾等）对性能的影响。</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如果磁盘阵列在软件方面能实现如上所述的功能，则会大大提升整套磁盘阵列的性能，这些功能对阵列性能的影响甚至会超出硬件资源对阵列性能的影响。</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5.3支持的存储功能</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lastRenderedPageBreak/>
        <w:t>随着存储技术的发展，在磁盘阵列上越来越多的集成了以前必须在主机层才能实现的某些存储功能，这些功能的实现，能极大的简化对存储系统的管理和使用，增强对业务数据的保护。因此从对存储架构的实际需求来看，后端磁盘阵列应该提供如下的功能支持：</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存储空间动态配置功能，能根据应用的需求实现存储空间的灵活配置，这样一方面能简化存储空间的管理和使用，另一方面能大大提升存储空间的使用率。</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数据存储虚拟化功能，在透明的前提下实现文件数据的层次化存储，将长期未被访问的文件数据由分层由原先所在的SAS磁盘迁移</w:t>
      </w:r>
      <w:proofErr w:type="gramStart"/>
      <w:r w:rsidRPr="00BC1C9C">
        <w:rPr>
          <w:rFonts w:ascii="仿宋" w:eastAsia="仿宋" w:hAnsi="仿宋" w:cs="Times New Roman" w:hint="eastAsia"/>
          <w:bCs/>
          <w:color w:val="000000"/>
          <w:sz w:val="24"/>
          <w:szCs w:val="24"/>
        </w:rPr>
        <w:t>至成本</w:t>
      </w:r>
      <w:proofErr w:type="gramEnd"/>
      <w:r w:rsidRPr="00BC1C9C">
        <w:rPr>
          <w:rFonts w:ascii="仿宋" w:eastAsia="仿宋" w:hAnsi="仿宋" w:cs="Times New Roman" w:hint="eastAsia"/>
          <w:bCs/>
          <w:color w:val="000000"/>
          <w:sz w:val="24"/>
          <w:szCs w:val="24"/>
        </w:rPr>
        <w:t>低廉的SAS-NL 磁盘，并在下一次被访问时自动</w:t>
      </w:r>
      <w:proofErr w:type="gramStart"/>
      <w:r w:rsidRPr="00BC1C9C">
        <w:rPr>
          <w:rFonts w:ascii="仿宋" w:eastAsia="仿宋" w:hAnsi="仿宋" w:cs="Times New Roman" w:hint="eastAsia"/>
          <w:bCs/>
          <w:color w:val="000000"/>
          <w:sz w:val="24"/>
          <w:szCs w:val="24"/>
        </w:rPr>
        <w:t>迁移回</w:t>
      </w:r>
      <w:proofErr w:type="gramEnd"/>
      <w:r w:rsidRPr="00BC1C9C">
        <w:rPr>
          <w:rFonts w:ascii="仿宋" w:eastAsia="仿宋" w:hAnsi="仿宋" w:cs="Times New Roman" w:hint="eastAsia"/>
          <w:bCs/>
          <w:color w:val="000000"/>
          <w:sz w:val="24"/>
          <w:szCs w:val="24"/>
        </w:rPr>
        <w:t>SAS磁盘。</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本次项目建设详见建设清单。</w:t>
      </w:r>
    </w:p>
    <w:p w:rsidR="00BC1C9C" w:rsidRPr="00BC1C9C" w:rsidRDefault="00BC1C9C" w:rsidP="00BC1C9C">
      <w:pPr>
        <w:spacing w:line="400" w:lineRule="exact"/>
        <w:ind w:firstLineChars="200" w:firstLine="480"/>
        <w:outlineLvl w:val="2"/>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（三）标的名称及</w:t>
      </w:r>
      <w:r w:rsidRPr="00BC1C9C">
        <w:rPr>
          <w:rFonts w:ascii="仿宋" w:eastAsia="仿宋" w:hAnsi="仿宋" w:cs="Times New Roman"/>
          <w:bCs/>
          <w:color w:val="000000"/>
          <w:sz w:val="24"/>
          <w:szCs w:val="24"/>
        </w:rPr>
        <w:t>所属行业</w:t>
      </w:r>
      <w:r w:rsidRPr="00BC1C9C">
        <w:rPr>
          <w:rFonts w:ascii="仿宋" w:eastAsia="仿宋" w:hAnsi="仿宋" w:cs="Times New Roman" w:hint="eastAsia"/>
          <w:bCs/>
          <w:color w:val="00000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074"/>
        <w:gridCol w:w="2074"/>
        <w:gridCol w:w="2074"/>
      </w:tblGrid>
      <w:tr w:rsidR="00BC1C9C" w:rsidRPr="00BC1C9C" w:rsidTr="000C79E5">
        <w:trPr>
          <w:jc w:val="center"/>
        </w:trPr>
        <w:tc>
          <w:tcPr>
            <w:tcW w:w="2074" w:type="dxa"/>
            <w:vMerge w:val="restart"/>
          </w:tcPr>
          <w:p w:rsidR="00BC1C9C" w:rsidRPr="00BC1C9C" w:rsidRDefault="00BC1C9C" w:rsidP="00BC1C9C">
            <w:pPr>
              <w:spacing w:line="400" w:lineRule="exact"/>
              <w:jc w:val="center"/>
              <w:rPr>
                <w:rFonts w:ascii="仿宋" w:eastAsia="仿宋" w:hAnsi="仿宋" w:cs="Times New Roman"/>
                <w:bCs/>
                <w:color w:val="000000"/>
                <w:sz w:val="24"/>
                <w:szCs w:val="24"/>
              </w:rPr>
            </w:pPr>
          </w:p>
          <w:p w:rsidR="00BC1C9C" w:rsidRPr="00BC1C9C" w:rsidRDefault="00BC1C9C" w:rsidP="00BC1C9C">
            <w:pPr>
              <w:spacing w:line="400" w:lineRule="exact"/>
              <w:jc w:val="center"/>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包号：</w:t>
            </w:r>
            <w:r w:rsidRPr="00BC1C9C">
              <w:rPr>
                <w:rFonts w:ascii="仿宋" w:eastAsia="仿宋" w:hAnsi="仿宋" w:cs="Times New Roman"/>
                <w:bCs/>
                <w:color w:val="000000"/>
                <w:sz w:val="24"/>
                <w:szCs w:val="24"/>
              </w:rPr>
              <w:t>01</w:t>
            </w:r>
          </w:p>
        </w:tc>
        <w:tc>
          <w:tcPr>
            <w:tcW w:w="2074" w:type="dxa"/>
          </w:tcPr>
          <w:p w:rsidR="00BC1C9C" w:rsidRPr="00BC1C9C" w:rsidRDefault="00BC1C9C" w:rsidP="00BC1C9C">
            <w:pPr>
              <w:spacing w:line="400" w:lineRule="exact"/>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品目号</w:t>
            </w:r>
          </w:p>
        </w:tc>
        <w:tc>
          <w:tcPr>
            <w:tcW w:w="2074" w:type="dxa"/>
          </w:tcPr>
          <w:p w:rsidR="00BC1C9C" w:rsidRPr="00BC1C9C" w:rsidRDefault="00BC1C9C" w:rsidP="00BC1C9C">
            <w:pPr>
              <w:spacing w:line="400" w:lineRule="exact"/>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标的</w:t>
            </w:r>
            <w:r w:rsidRPr="00BC1C9C">
              <w:rPr>
                <w:rFonts w:ascii="仿宋" w:eastAsia="仿宋" w:hAnsi="仿宋" w:cs="Times New Roman"/>
                <w:bCs/>
                <w:color w:val="000000"/>
                <w:sz w:val="24"/>
                <w:szCs w:val="24"/>
              </w:rPr>
              <w:t>名称</w:t>
            </w:r>
          </w:p>
        </w:tc>
        <w:tc>
          <w:tcPr>
            <w:tcW w:w="2074" w:type="dxa"/>
          </w:tcPr>
          <w:p w:rsidR="00BC1C9C" w:rsidRPr="00BC1C9C" w:rsidRDefault="00BC1C9C" w:rsidP="00BC1C9C">
            <w:pPr>
              <w:spacing w:line="400" w:lineRule="exact"/>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所属行业</w:t>
            </w:r>
          </w:p>
        </w:tc>
      </w:tr>
      <w:tr w:rsidR="00BC1C9C" w:rsidRPr="00BC1C9C" w:rsidTr="000C79E5">
        <w:trPr>
          <w:jc w:val="center"/>
        </w:trPr>
        <w:tc>
          <w:tcPr>
            <w:tcW w:w="2074" w:type="dxa"/>
            <w:vMerge/>
          </w:tcPr>
          <w:p w:rsidR="00BC1C9C" w:rsidRPr="00BC1C9C" w:rsidRDefault="00BC1C9C" w:rsidP="00BC1C9C">
            <w:pPr>
              <w:spacing w:line="400" w:lineRule="exact"/>
              <w:rPr>
                <w:rFonts w:ascii="仿宋" w:eastAsia="仿宋" w:hAnsi="仿宋" w:cs="Times New Roman"/>
                <w:bCs/>
                <w:color w:val="000000"/>
                <w:sz w:val="24"/>
                <w:szCs w:val="24"/>
              </w:rPr>
            </w:pPr>
          </w:p>
        </w:tc>
        <w:tc>
          <w:tcPr>
            <w:tcW w:w="2074" w:type="dxa"/>
          </w:tcPr>
          <w:p w:rsidR="00BC1C9C" w:rsidRPr="00BC1C9C" w:rsidRDefault="00BC1C9C" w:rsidP="00BC1C9C">
            <w:pPr>
              <w:spacing w:line="400" w:lineRule="exact"/>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1-1</w:t>
            </w:r>
          </w:p>
        </w:tc>
        <w:tc>
          <w:tcPr>
            <w:tcW w:w="2074" w:type="dxa"/>
          </w:tcPr>
          <w:p w:rsidR="00BC1C9C" w:rsidRPr="00BC1C9C" w:rsidRDefault="00BC1C9C" w:rsidP="00BC1C9C">
            <w:pPr>
              <w:spacing w:line="400" w:lineRule="exact"/>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智慧法院建设（一期—2021年）系统集成服务</w:t>
            </w:r>
          </w:p>
        </w:tc>
        <w:tc>
          <w:tcPr>
            <w:tcW w:w="2074" w:type="dxa"/>
          </w:tcPr>
          <w:p w:rsidR="00BC1C9C" w:rsidRPr="00BC1C9C" w:rsidRDefault="00BC1C9C" w:rsidP="00BC1C9C">
            <w:pPr>
              <w:spacing w:line="400" w:lineRule="exact"/>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软件和信息技术服务业</w:t>
            </w:r>
          </w:p>
        </w:tc>
      </w:tr>
    </w:tbl>
    <w:p w:rsidR="00BC1C9C" w:rsidRPr="00BC1C9C" w:rsidRDefault="00BC1C9C" w:rsidP="00BC1C9C">
      <w:pPr>
        <w:keepNext/>
        <w:keepLines/>
        <w:spacing w:line="400" w:lineRule="exact"/>
        <w:ind w:firstLineChars="98" w:firstLine="236"/>
        <w:outlineLvl w:val="1"/>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★二、</w:t>
      </w:r>
      <w:r w:rsidRPr="00BC1C9C">
        <w:rPr>
          <w:rFonts w:ascii="仿宋" w:eastAsia="仿宋" w:hAnsi="仿宋" w:cs="Times New Roman"/>
          <w:b/>
          <w:bCs/>
          <w:color w:val="000000"/>
          <w:sz w:val="24"/>
          <w:szCs w:val="24"/>
        </w:rPr>
        <w:t xml:space="preserve"> </w:t>
      </w:r>
      <w:r w:rsidRPr="00BC1C9C">
        <w:rPr>
          <w:rFonts w:ascii="仿宋" w:eastAsia="仿宋" w:hAnsi="仿宋" w:cs="Times New Roman" w:hint="eastAsia"/>
          <w:b/>
          <w:bCs/>
          <w:color w:val="000000"/>
          <w:sz w:val="24"/>
          <w:szCs w:val="24"/>
        </w:rPr>
        <w:t>商务要求（提供承诺函加盖投标人公司鲜章）</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1.建设服务时间：180日历日。</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2.建设服务地点：采购人指定地点。</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3.付款方式：合同签订后，中标方支付合同金额5%到采购人指定账户作为履约保证金。合同分三次付款，第一次合同签订后支付50%，第二次项目初验通过后支付40%，第三次项目终</w:t>
      </w:r>
      <w:proofErr w:type="gramStart"/>
      <w:r w:rsidRPr="00BC1C9C">
        <w:rPr>
          <w:rFonts w:ascii="仿宋" w:eastAsia="仿宋" w:hAnsi="仿宋" w:cs="Times New Roman" w:hint="eastAsia"/>
          <w:bCs/>
          <w:color w:val="000000"/>
          <w:sz w:val="24"/>
          <w:szCs w:val="24"/>
        </w:rPr>
        <w:t>验通过</w:t>
      </w:r>
      <w:proofErr w:type="gramEnd"/>
      <w:r w:rsidRPr="00BC1C9C">
        <w:rPr>
          <w:rFonts w:ascii="仿宋" w:eastAsia="仿宋" w:hAnsi="仿宋" w:cs="Times New Roman" w:hint="eastAsia"/>
          <w:bCs/>
          <w:color w:val="000000"/>
          <w:sz w:val="24"/>
          <w:szCs w:val="24"/>
        </w:rPr>
        <w:t>后支付10%。</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4.本项目所有软硬件须保证至少3年售后质保期（</w:t>
      </w:r>
      <w:proofErr w:type="gramStart"/>
      <w:r w:rsidRPr="00BC1C9C">
        <w:rPr>
          <w:rFonts w:ascii="仿宋" w:eastAsia="仿宋" w:hAnsi="仿宋" w:cs="Times New Roman" w:hint="eastAsia"/>
          <w:bCs/>
          <w:color w:val="000000"/>
          <w:sz w:val="24"/>
          <w:szCs w:val="24"/>
        </w:rPr>
        <w:t>自项目终</w:t>
      </w:r>
      <w:proofErr w:type="gramEnd"/>
      <w:r w:rsidRPr="00BC1C9C">
        <w:rPr>
          <w:rFonts w:ascii="仿宋" w:eastAsia="仿宋" w:hAnsi="仿宋" w:cs="Times New Roman" w:hint="eastAsia"/>
          <w:bCs/>
          <w:color w:val="000000"/>
          <w:sz w:val="24"/>
          <w:szCs w:val="24"/>
        </w:rPr>
        <w:t>验合格时起算），质保服务无须人员驻场，但须保证中标后，在成都市地理范围内驻扎人员，实现7×24小时根据业主具体要求上门处理技术问题和保障工作。</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5.问题处理机制：重大保障或演示活动，按采购人的通知，中标供应商提前派技术人员在现场进行技术支撑；紧急问题1小时内回复，2小时内上门，当日必须完成处理；重要问题2小时内回复，24小时内上门，当日完成处理，若不能完成的，当日给出完成时限并按照时限完成处理；一般问题2小时内回复，根据实际当日上门或线上完成处理，若不能完成的，三个工作日内给出完成时限并按照时限完成处理。</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6.为了保障达到功能要求和售后服务要求，中标人在合同签订后，针对内、外网安全准入、虚拟化专用机、存储扩展柜、磁盘存储须出具所投产品的原生产厂家针对此项目的授权书、原厂售后服务承诺函。</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7. 中标人必须遵守国家相关建设要求和采购人的各项规章制度，严格按照</w:t>
      </w:r>
      <w:r w:rsidRPr="00BC1C9C">
        <w:rPr>
          <w:rFonts w:ascii="仿宋" w:eastAsia="仿宋" w:hAnsi="仿宋" w:cs="Times New Roman" w:hint="eastAsia"/>
          <w:bCs/>
          <w:color w:val="000000"/>
          <w:sz w:val="24"/>
          <w:szCs w:val="24"/>
        </w:rPr>
        <w:lastRenderedPageBreak/>
        <w:t>工作规范组织进行安装和运维工作，制定切实可行的措施保障人员安全，设备安全，生产安全。</w:t>
      </w:r>
    </w:p>
    <w:p w:rsidR="00BC1C9C" w:rsidRPr="00BC1C9C" w:rsidRDefault="00BC1C9C" w:rsidP="00BC1C9C">
      <w:pPr>
        <w:spacing w:line="400" w:lineRule="exact"/>
        <w:ind w:firstLineChars="200" w:firstLine="48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8.投标人</w:t>
      </w:r>
      <w:r w:rsidRPr="00BC1C9C">
        <w:rPr>
          <w:rFonts w:ascii="仿宋" w:eastAsia="仿宋" w:hAnsi="仿宋" w:cs="Times New Roman"/>
          <w:bCs/>
          <w:color w:val="000000"/>
          <w:sz w:val="24"/>
          <w:szCs w:val="24"/>
        </w:rPr>
        <w:t>须在“</w:t>
      </w:r>
      <w:r w:rsidRPr="00BC1C9C">
        <w:rPr>
          <w:rFonts w:ascii="仿宋" w:eastAsia="仿宋" w:hAnsi="仿宋" w:cs="Times New Roman" w:hint="eastAsia"/>
          <w:bCs/>
          <w:color w:val="000000"/>
          <w:sz w:val="24"/>
          <w:szCs w:val="24"/>
        </w:rPr>
        <w:t>技术</w:t>
      </w:r>
      <w:r w:rsidRPr="00BC1C9C">
        <w:rPr>
          <w:rFonts w:ascii="仿宋" w:eastAsia="仿宋" w:hAnsi="仿宋" w:cs="Times New Roman"/>
          <w:bCs/>
          <w:color w:val="000000"/>
          <w:sz w:val="24"/>
          <w:szCs w:val="24"/>
        </w:rPr>
        <w:t>、服务应答表”</w:t>
      </w:r>
      <w:r w:rsidRPr="00BC1C9C">
        <w:rPr>
          <w:rFonts w:ascii="仿宋" w:eastAsia="仿宋" w:hAnsi="仿宋" w:cs="Times New Roman" w:hint="eastAsia"/>
          <w:bCs/>
          <w:color w:val="000000"/>
          <w:sz w:val="24"/>
          <w:szCs w:val="24"/>
        </w:rPr>
        <w:t>（格式</w:t>
      </w:r>
      <w:r w:rsidRPr="00BC1C9C">
        <w:rPr>
          <w:rFonts w:ascii="仿宋" w:eastAsia="仿宋" w:hAnsi="仿宋" w:cs="Times New Roman"/>
          <w:bCs/>
          <w:color w:val="000000"/>
          <w:sz w:val="24"/>
          <w:szCs w:val="24"/>
        </w:rPr>
        <w:t>详见</w:t>
      </w:r>
      <w:r w:rsidRPr="00BC1C9C">
        <w:rPr>
          <w:rFonts w:ascii="仿宋" w:eastAsia="仿宋" w:hAnsi="仿宋" w:cs="Times New Roman" w:hint="eastAsia"/>
          <w:bCs/>
          <w:color w:val="000000"/>
          <w:sz w:val="24"/>
          <w:szCs w:val="24"/>
        </w:rPr>
        <w:t>第三章</w:t>
      </w:r>
      <w:r w:rsidRPr="00BC1C9C">
        <w:rPr>
          <w:rFonts w:ascii="仿宋" w:eastAsia="仿宋" w:hAnsi="仿宋" w:cs="Times New Roman"/>
          <w:bCs/>
          <w:color w:val="000000"/>
          <w:sz w:val="24"/>
          <w:szCs w:val="24"/>
        </w:rPr>
        <w:t>投标文件格式</w:t>
      </w:r>
      <w:r w:rsidRPr="00BC1C9C">
        <w:rPr>
          <w:rFonts w:ascii="仿宋" w:eastAsia="仿宋" w:hAnsi="仿宋" w:cs="Times New Roman" w:hint="eastAsia"/>
          <w:bCs/>
          <w:color w:val="000000"/>
          <w:sz w:val="24"/>
          <w:szCs w:val="24"/>
        </w:rPr>
        <w:t>2-10）中明确</w:t>
      </w:r>
      <w:r w:rsidRPr="00BC1C9C">
        <w:rPr>
          <w:rFonts w:ascii="仿宋" w:eastAsia="仿宋" w:hAnsi="仿宋" w:cs="Times New Roman"/>
          <w:bCs/>
          <w:color w:val="000000"/>
          <w:sz w:val="24"/>
          <w:szCs w:val="24"/>
        </w:rPr>
        <w:t>所投</w:t>
      </w:r>
      <w:r w:rsidRPr="00BC1C9C">
        <w:rPr>
          <w:rFonts w:ascii="仿宋" w:eastAsia="仿宋" w:hAnsi="仿宋" w:cs="Times New Roman" w:hint="eastAsia"/>
          <w:bCs/>
          <w:color w:val="000000"/>
          <w:sz w:val="24"/>
          <w:szCs w:val="24"/>
        </w:rPr>
        <w:t>本章</w:t>
      </w:r>
      <w:r w:rsidRPr="00BC1C9C">
        <w:rPr>
          <w:rFonts w:ascii="仿宋" w:eastAsia="仿宋" w:hAnsi="仿宋" w:cs="Times New Roman"/>
          <w:bCs/>
          <w:color w:val="000000"/>
          <w:sz w:val="24"/>
          <w:szCs w:val="24"/>
        </w:rPr>
        <w:t>中“</w:t>
      </w:r>
      <w:r w:rsidRPr="00BC1C9C">
        <w:rPr>
          <w:rFonts w:ascii="仿宋" w:eastAsia="仿宋" w:hAnsi="仿宋" w:cs="Times New Roman" w:hint="eastAsia"/>
          <w:bCs/>
          <w:color w:val="000000"/>
          <w:sz w:val="24"/>
          <w:szCs w:val="24"/>
        </w:rPr>
        <w:t>技术</w:t>
      </w:r>
      <w:r w:rsidRPr="00BC1C9C">
        <w:rPr>
          <w:rFonts w:ascii="仿宋" w:eastAsia="仿宋" w:hAnsi="仿宋" w:cs="Times New Roman"/>
          <w:bCs/>
          <w:color w:val="000000"/>
          <w:sz w:val="24"/>
          <w:szCs w:val="24"/>
        </w:rPr>
        <w:t>指标”中</w:t>
      </w:r>
      <w:r w:rsidRPr="00BC1C9C">
        <w:rPr>
          <w:rFonts w:ascii="仿宋" w:eastAsia="仿宋" w:hAnsi="仿宋" w:cs="Times New Roman" w:hint="eastAsia"/>
          <w:bCs/>
          <w:color w:val="000000"/>
          <w:sz w:val="24"/>
          <w:szCs w:val="24"/>
        </w:rPr>
        <w:t>列出的</w:t>
      </w:r>
      <w:r w:rsidRPr="00BC1C9C">
        <w:rPr>
          <w:rFonts w:ascii="仿宋" w:eastAsia="仿宋" w:hAnsi="仿宋" w:cs="Times New Roman"/>
          <w:bCs/>
          <w:color w:val="000000"/>
          <w:sz w:val="24"/>
          <w:szCs w:val="24"/>
        </w:rPr>
        <w:t>产品的</w:t>
      </w:r>
      <w:r w:rsidRPr="00BC1C9C">
        <w:rPr>
          <w:rFonts w:ascii="仿宋" w:eastAsia="仿宋" w:hAnsi="仿宋" w:cs="Times New Roman" w:hint="eastAsia"/>
          <w:bCs/>
          <w:color w:val="000000"/>
          <w:sz w:val="24"/>
          <w:szCs w:val="24"/>
        </w:rPr>
        <w:t>制造</w:t>
      </w:r>
      <w:r w:rsidRPr="00BC1C9C">
        <w:rPr>
          <w:rFonts w:ascii="仿宋" w:eastAsia="仿宋" w:hAnsi="仿宋" w:cs="Times New Roman"/>
          <w:bCs/>
          <w:color w:val="000000"/>
          <w:sz w:val="24"/>
          <w:szCs w:val="24"/>
        </w:rPr>
        <w:t>厂家及规格型号。</w:t>
      </w:r>
    </w:p>
    <w:p w:rsidR="00BC1C9C" w:rsidRPr="00BC1C9C" w:rsidRDefault="00BC1C9C" w:rsidP="00BC1C9C">
      <w:pPr>
        <w:keepNext/>
        <w:keepLines/>
        <w:spacing w:line="400" w:lineRule="exact"/>
        <w:ind w:firstLineChars="98" w:firstLine="236"/>
        <w:outlineLvl w:val="1"/>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三、技术</w:t>
      </w:r>
      <w:r w:rsidRPr="00BC1C9C">
        <w:rPr>
          <w:rFonts w:ascii="仿宋" w:eastAsia="仿宋" w:hAnsi="仿宋" w:cs="Times New Roman"/>
          <w:b/>
          <w:bCs/>
          <w:color w:val="000000"/>
          <w:sz w:val="24"/>
          <w:szCs w:val="24"/>
        </w:rPr>
        <w:t>、服务要求</w:t>
      </w:r>
      <w:bookmarkEnd w:id="1"/>
    </w:p>
    <w:p w:rsidR="00BC1C9C" w:rsidRPr="00BC1C9C" w:rsidRDefault="00BC1C9C" w:rsidP="00BC1C9C">
      <w:pPr>
        <w:spacing w:line="400" w:lineRule="exact"/>
        <w:ind w:firstLineChars="175" w:firstLine="422"/>
        <w:outlineLvl w:val="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★（一）总体需求（提供承诺函加盖投标人公司鲜章）</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b/>
          <w:bCs/>
          <w:color w:val="000000"/>
          <w:sz w:val="24"/>
          <w:szCs w:val="24"/>
        </w:rPr>
        <w:t>1.</w:t>
      </w:r>
      <w:r w:rsidRPr="00BC1C9C">
        <w:rPr>
          <w:rFonts w:ascii="仿宋" w:eastAsia="仿宋" w:hAnsi="仿宋" w:cs="Times New Roman" w:hint="eastAsia"/>
          <w:b/>
          <w:bCs/>
          <w:color w:val="000000"/>
          <w:sz w:val="24"/>
          <w:szCs w:val="24"/>
        </w:rPr>
        <w:t>业务总体要求</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智慧警务系统以法院司法警察的工作职能为设计基础，业务需求范围包括所有与司法警察相关的工作，系统须基于B/S架构，所有操作人员均基于网页形式即可开展工作。</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硬件增补建设实现成都中院下一步增加的各类信息系统拥有充足的应用运行和存储资源。其中，扩容硬盘、存储扩展柜应支持在线无缝添加至现有存储系统中，与现有存储系统形成统一存储资源池，实现在现有存储管理界面下进行统一管理；不影响前端应用，不需要</w:t>
      </w:r>
      <w:proofErr w:type="gramStart"/>
      <w:r w:rsidRPr="00BC1C9C">
        <w:rPr>
          <w:rFonts w:ascii="仿宋" w:eastAsia="仿宋" w:hAnsi="仿宋" w:cs="Times New Roman" w:hint="eastAsia"/>
          <w:bCs/>
          <w:color w:val="000000"/>
          <w:sz w:val="24"/>
          <w:szCs w:val="24"/>
        </w:rPr>
        <w:t>宕</w:t>
      </w:r>
      <w:proofErr w:type="gramEnd"/>
      <w:r w:rsidRPr="00BC1C9C">
        <w:rPr>
          <w:rFonts w:ascii="仿宋" w:eastAsia="仿宋" w:hAnsi="仿宋" w:cs="Times New Roman" w:hint="eastAsia"/>
          <w:bCs/>
          <w:color w:val="000000"/>
          <w:sz w:val="24"/>
          <w:szCs w:val="24"/>
        </w:rPr>
        <w:t>机时间，不需要进行数据迁移等操作。</w:t>
      </w:r>
      <w:r w:rsidRPr="00BC1C9C">
        <w:rPr>
          <w:rFonts w:ascii="仿宋" w:eastAsia="仿宋" w:hAnsi="仿宋" w:cs="Times New Roman" w:hint="eastAsia"/>
          <w:bCs/>
          <w:color w:val="000000"/>
          <w:sz w:val="24"/>
          <w:szCs w:val="24"/>
          <w:lang w:bidi="ar"/>
        </w:rPr>
        <w:t>为保证存储系统良好的兼容性；磁盘存储应与现有的存储机头和</w:t>
      </w:r>
      <w:proofErr w:type="gramStart"/>
      <w:r w:rsidRPr="00BC1C9C">
        <w:rPr>
          <w:rFonts w:ascii="仿宋" w:eastAsia="仿宋" w:hAnsi="仿宋" w:cs="Times New Roman" w:hint="eastAsia"/>
          <w:bCs/>
          <w:color w:val="000000"/>
          <w:sz w:val="24"/>
          <w:szCs w:val="24"/>
          <w:lang w:bidi="ar"/>
        </w:rPr>
        <w:t>扩展柜</w:t>
      </w:r>
      <w:proofErr w:type="gramEnd"/>
      <w:r w:rsidRPr="00BC1C9C">
        <w:rPr>
          <w:rFonts w:ascii="仿宋" w:eastAsia="仿宋" w:hAnsi="仿宋" w:cs="Times New Roman" w:hint="eastAsia"/>
          <w:bCs/>
          <w:color w:val="000000"/>
          <w:sz w:val="24"/>
          <w:szCs w:val="24"/>
          <w:lang w:bidi="ar"/>
        </w:rPr>
        <w:t>无缝兼容互通互操作；虚拟化软件应无缝兼容对接现有的虚拟化平台。</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网络安全准入建设</w:t>
      </w:r>
      <w:r w:rsidRPr="00BC1C9C">
        <w:rPr>
          <w:rFonts w:ascii="仿宋" w:eastAsia="仿宋" w:hAnsi="仿宋" w:cs="Times New Roman" w:hint="eastAsia"/>
          <w:bCs/>
          <w:color w:val="000000"/>
          <w:sz w:val="24"/>
          <w:szCs w:val="24"/>
          <w:lang w:bidi="ar"/>
        </w:rPr>
        <w:t>应</w:t>
      </w:r>
      <w:r w:rsidRPr="00BC1C9C">
        <w:rPr>
          <w:rFonts w:ascii="仿宋" w:eastAsia="仿宋" w:hAnsi="仿宋" w:cs="Times New Roman" w:hint="eastAsia"/>
          <w:bCs/>
          <w:color w:val="000000"/>
          <w:sz w:val="24"/>
          <w:szCs w:val="24"/>
        </w:rPr>
        <w:t>实现无缝对接现有的天</w:t>
      </w:r>
      <w:proofErr w:type="gramStart"/>
      <w:r w:rsidRPr="00BC1C9C">
        <w:rPr>
          <w:rFonts w:ascii="仿宋" w:eastAsia="仿宋" w:hAnsi="仿宋" w:cs="Times New Roman" w:hint="eastAsia"/>
          <w:bCs/>
          <w:color w:val="000000"/>
          <w:sz w:val="24"/>
          <w:szCs w:val="24"/>
        </w:rPr>
        <w:t>擎网络</w:t>
      </w:r>
      <w:proofErr w:type="gramEnd"/>
      <w:r w:rsidRPr="00BC1C9C">
        <w:rPr>
          <w:rFonts w:ascii="仿宋" w:eastAsia="仿宋" w:hAnsi="仿宋" w:cs="Times New Roman" w:hint="eastAsia"/>
          <w:bCs/>
          <w:color w:val="000000"/>
          <w:sz w:val="24"/>
          <w:szCs w:val="24"/>
        </w:rPr>
        <w:t>安全系统，在病毒查杀、安全U</w:t>
      </w:r>
      <w:proofErr w:type="gramStart"/>
      <w:r w:rsidRPr="00BC1C9C">
        <w:rPr>
          <w:rFonts w:ascii="仿宋" w:eastAsia="仿宋" w:hAnsi="仿宋" w:cs="Times New Roman" w:hint="eastAsia"/>
          <w:bCs/>
          <w:color w:val="000000"/>
          <w:sz w:val="24"/>
          <w:szCs w:val="24"/>
        </w:rPr>
        <w:t>盘访问</w:t>
      </w:r>
      <w:proofErr w:type="gramEnd"/>
      <w:r w:rsidRPr="00BC1C9C">
        <w:rPr>
          <w:rFonts w:ascii="仿宋" w:eastAsia="仿宋" w:hAnsi="仿宋" w:cs="Times New Roman" w:hint="eastAsia"/>
          <w:bCs/>
          <w:color w:val="000000"/>
          <w:sz w:val="24"/>
          <w:szCs w:val="24"/>
        </w:rPr>
        <w:t>和用户绑定的基础上可进行互通互操作，将网络安全准入措施准确定位到个人，同时配置兼容内</w:t>
      </w:r>
      <w:proofErr w:type="gramStart"/>
      <w:r w:rsidRPr="00BC1C9C">
        <w:rPr>
          <w:rFonts w:ascii="仿宋" w:eastAsia="仿宋" w:hAnsi="仿宋" w:cs="Times New Roman" w:hint="eastAsia"/>
          <w:bCs/>
          <w:color w:val="000000"/>
          <w:sz w:val="24"/>
          <w:szCs w:val="24"/>
        </w:rPr>
        <w:t>网措施</w:t>
      </w:r>
      <w:proofErr w:type="gramEnd"/>
      <w:r w:rsidRPr="00BC1C9C">
        <w:rPr>
          <w:rFonts w:ascii="仿宋" w:eastAsia="仿宋" w:hAnsi="仿宋" w:cs="Times New Roman" w:hint="eastAsia"/>
          <w:bCs/>
          <w:color w:val="000000"/>
          <w:sz w:val="24"/>
          <w:szCs w:val="24"/>
        </w:rPr>
        <w:t>的外网网络安全准入系统平台，确保所有人员切换内外网</w:t>
      </w:r>
      <w:proofErr w:type="gramStart"/>
      <w:r w:rsidRPr="00BC1C9C">
        <w:rPr>
          <w:rFonts w:ascii="仿宋" w:eastAsia="仿宋" w:hAnsi="仿宋" w:cs="Times New Roman" w:hint="eastAsia"/>
          <w:bCs/>
          <w:color w:val="000000"/>
          <w:sz w:val="24"/>
          <w:szCs w:val="24"/>
        </w:rPr>
        <w:t>使用仍</w:t>
      </w:r>
      <w:proofErr w:type="gramEnd"/>
      <w:r w:rsidRPr="00BC1C9C">
        <w:rPr>
          <w:rFonts w:ascii="仿宋" w:eastAsia="仿宋" w:hAnsi="仿宋" w:cs="Times New Roman" w:hint="eastAsia"/>
          <w:bCs/>
          <w:color w:val="000000"/>
          <w:sz w:val="24"/>
          <w:szCs w:val="24"/>
        </w:rPr>
        <w:t>能够确保同一套系统管控到位。</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b/>
          <w:bCs/>
          <w:color w:val="000000"/>
          <w:sz w:val="24"/>
          <w:szCs w:val="24"/>
        </w:rPr>
        <w:t>2.</w:t>
      </w:r>
      <w:r w:rsidRPr="00BC1C9C">
        <w:rPr>
          <w:rFonts w:ascii="仿宋" w:eastAsia="仿宋" w:hAnsi="仿宋" w:cs="Times New Roman" w:hint="eastAsia"/>
          <w:b/>
          <w:bCs/>
          <w:color w:val="000000"/>
          <w:sz w:val="24"/>
          <w:szCs w:val="24"/>
        </w:rPr>
        <w:t>系统考核标准</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b/>
          <w:bCs/>
          <w:color w:val="000000"/>
          <w:sz w:val="24"/>
          <w:szCs w:val="24"/>
        </w:rPr>
        <w:t>2.1</w:t>
      </w:r>
      <w:r w:rsidRPr="00BC1C9C">
        <w:rPr>
          <w:rFonts w:ascii="仿宋" w:eastAsia="仿宋" w:hAnsi="仿宋" w:cs="Times New Roman" w:hint="eastAsia"/>
          <w:b/>
          <w:bCs/>
          <w:color w:val="000000"/>
          <w:sz w:val="24"/>
          <w:szCs w:val="24"/>
        </w:rPr>
        <w:t>本项目软硬件系统24小时不间断正常服务要求：</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w:t>
      </w:r>
      <w:r w:rsidRPr="00BC1C9C">
        <w:rPr>
          <w:rFonts w:ascii="仿宋" w:eastAsia="仿宋" w:hAnsi="仿宋" w:cs="Times New Roman"/>
          <w:bCs/>
          <w:color w:val="000000"/>
          <w:sz w:val="24"/>
          <w:szCs w:val="24"/>
        </w:rPr>
        <w:t>.1.1</w:t>
      </w:r>
      <w:proofErr w:type="gramStart"/>
      <w:r w:rsidRPr="00BC1C9C">
        <w:rPr>
          <w:rFonts w:ascii="仿宋" w:eastAsia="仿宋" w:hAnsi="仿宋" w:cs="Times New Roman" w:hint="eastAsia"/>
          <w:bCs/>
          <w:color w:val="000000"/>
          <w:sz w:val="24"/>
          <w:szCs w:val="24"/>
        </w:rPr>
        <w:t>各</w:t>
      </w:r>
      <w:proofErr w:type="gramEnd"/>
      <w:r w:rsidRPr="00BC1C9C">
        <w:rPr>
          <w:rFonts w:ascii="仿宋" w:eastAsia="仿宋" w:hAnsi="仿宋" w:cs="Times New Roman" w:hint="eastAsia"/>
          <w:bCs/>
          <w:color w:val="000000"/>
          <w:sz w:val="24"/>
          <w:szCs w:val="24"/>
        </w:rPr>
        <w:t>应用系统应满足全市两级法院约4500人使用，同时在线使用系统不低于1000人。时段划分：高峰期间（每个工作时段的时间，增加包含上班前和下班后各一小时）、非高峰期间（通常为高峰时间以外的其余时间，若因重大活动，包含且不仅限于会议、演练、保障等特殊情况占用了非高峰时间，则须记为高峰期间）</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w:t>
      </w:r>
      <w:r w:rsidRPr="00BC1C9C">
        <w:rPr>
          <w:rFonts w:ascii="仿宋" w:eastAsia="仿宋" w:hAnsi="仿宋" w:cs="Times New Roman"/>
          <w:bCs/>
          <w:color w:val="000000"/>
          <w:sz w:val="24"/>
          <w:szCs w:val="24"/>
        </w:rPr>
        <w:t>.2.2</w:t>
      </w:r>
      <w:proofErr w:type="gramStart"/>
      <w:r w:rsidRPr="00BC1C9C">
        <w:rPr>
          <w:rFonts w:ascii="仿宋" w:eastAsia="仿宋" w:hAnsi="仿宋" w:cs="Times New Roman" w:hint="eastAsia"/>
          <w:bCs/>
          <w:color w:val="000000"/>
          <w:sz w:val="24"/>
          <w:szCs w:val="24"/>
        </w:rPr>
        <w:t>各</w:t>
      </w:r>
      <w:proofErr w:type="gramEnd"/>
      <w:r w:rsidRPr="00BC1C9C">
        <w:rPr>
          <w:rFonts w:ascii="仿宋" w:eastAsia="仿宋" w:hAnsi="仿宋" w:cs="Times New Roman" w:hint="eastAsia"/>
          <w:bCs/>
          <w:color w:val="000000"/>
          <w:sz w:val="24"/>
          <w:szCs w:val="24"/>
        </w:rPr>
        <w:t>应用系统在非高峰期间内进行简单搜索，可在3秒内返回结果；高峰期间简单查询操作，可在5秒内返回结果。</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w:t>
      </w:r>
      <w:r w:rsidRPr="00BC1C9C">
        <w:rPr>
          <w:rFonts w:ascii="仿宋" w:eastAsia="仿宋" w:hAnsi="仿宋" w:cs="Times New Roman"/>
          <w:bCs/>
          <w:color w:val="000000"/>
          <w:sz w:val="24"/>
          <w:szCs w:val="24"/>
        </w:rPr>
        <w:t>.2.3</w:t>
      </w:r>
      <w:proofErr w:type="gramStart"/>
      <w:r w:rsidRPr="00BC1C9C">
        <w:rPr>
          <w:rFonts w:ascii="仿宋" w:eastAsia="仿宋" w:hAnsi="仿宋" w:cs="Times New Roman" w:hint="eastAsia"/>
          <w:bCs/>
          <w:color w:val="000000"/>
          <w:sz w:val="24"/>
          <w:szCs w:val="24"/>
        </w:rPr>
        <w:t>各</w:t>
      </w:r>
      <w:proofErr w:type="gramEnd"/>
      <w:r w:rsidRPr="00BC1C9C">
        <w:rPr>
          <w:rFonts w:ascii="仿宋" w:eastAsia="仿宋" w:hAnsi="仿宋" w:cs="Times New Roman" w:hint="eastAsia"/>
          <w:bCs/>
          <w:color w:val="000000"/>
          <w:sz w:val="24"/>
          <w:szCs w:val="24"/>
        </w:rPr>
        <w:t>业务在非高峰期间内进行特定条件的一般查询，可在4秒内返回结果；高峰期间的简单查询操作，可在7秒内返回结果。</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w:t>
      </w:r>
      <w:r w:rsidRPr="00BC1C9C">
        <w:rPr>
          <w:rFonts w:ascii="仿宋" w:eastAsia="仿宋" w:hAnsi="仿宋" w:cs="Times New Roman"/>
          <w:bCs/>
          <w:color w:val="000000"/>
          <w:sz w:val="24"/>
          <w:szCs w:val="24"/>
        </w:rPr>
        <w:t>.2.4</w:t>
      </w:r>
      <w:proofErr w:type="gramStart"/>
      <w:r w:rsidRPr="00BC1C9C">
        <w:rPr>
          <w:rFonts w:ascii="仿宋" w:eastAsia="仿宋" w:hAnsi="仿宋" w:cs="Times New Roman" w:hint="eastAsia"/>
          <w:bCs/>
          <w:color w:val="000000"/>
          <w:sz w:val="24"/>
          <w:szCs w:val="24"/>
        </w:rPr>
        <w:t>各</w:t>
      </w:r>
      <w:proofErr w:type="gramEnd"/>
      <w:r w:rsidRPr="00BC1C9C">
        <w:rPr>
          <w:rFonts w:ascii="仿宋" w:eastAsia="仿宋" w:hAnsi="仿宋" w:cs="Times New Roman" w:hint="eastAsia"/>
          <w:bCs/>
          <w:color w:val="000000"/>
          <w:sz w:val="24"/>
          <w:szCs w:val="24"/>
        </w:rPr>
        <w:t>业务在非高峰期间内进行多条件组合查询、统计分析，可在5秒内返回结果；高峰期间的复杂查询操作，可在9秒内返回结果。</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b/>
          <w:bCs/>
          <w:color w:val="000000"/>
          <w:sz w:val="24"/>
          <w:szCs w:val="24"/>
        </w:rPr>
        <w:t>2.2</w:t>
      </w:r>
      <w:r w:rsidRPr="00BC1C9C">
        <w:rPr>
          <w:rFonts w:ascii="仿宋" w:eastAsia="仿宋" w:hAnsi="仿宋" w:cs="Times New Roman" w:hint="eastAsia"/>
          <w:b/>
          <w:bCs/>
          <w:color w:val="000000"/>
          <w:sz w:val="24"/>
          <w:szCs w:val="24"/>
        </w:rPr>
        <w:t>在网络及相关设备正常的情况下，数据资源管理的性能要求如下：</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lastRenderedPageBreak/>
        <w:t>2</w:t>
      </w:r>
      <w:r w:rsidRPr="00BC1C9C">
        <w:rPr>
          <w:rFonts w:ascii="仿宋" w:eastAsia="仿宋" w:hAnsi="仿宋" w:cs="Times New Roman"/>
          <w:bCs/>
          <w:color w:val="000000"/>
          <w:sz w:val="24"/>
          <w:szCs w:val="24"/>
        </w:rPr>
        <w:t>.2.1</w:t>
      </w:r>
      <w:r w:rsidRPr="00BC1C9C">
        <w:rPr>
          <w:rFonts w:ascii="仿宋" w:eastAsia="仿宋" w:hAnsi="仿宋" w:cs="Times New Roman" w:hint="eastAsia"/>
          <w:bCs/>
          <w:color w:val="000000"/>
          <w:sz w:val="24"/>
          <w:szCs w:val="24"/>
        </w:rPr>
        <w:t>支持大数据包和大二进制文件的交换，数据量大小不受限制。</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w:t>
      </w:r>
      <w:r w:rsidRPr="00BC1C9C">
        <w:rPr>
          <w:rFonts w:ascii="仿宋" w:eastAsia="仿宋" w:hAnsi="仿宋" w:cs="Times New Roman"/>
          <w:bCs/>
          <w:color w:val="000000"/>
          <w:sz w:val="24"/>
          <w:szCs w:val="24"/>
        </w:rPr>
        <w:t>.2.2</w:t>
      </w:r>
      <w:r w:rsidRPr="00BC1C9C">
        <w:rPr>
          <w:rFonts w:ascii="仿宋" w:eastAsia="仿宋" w:hAnsi="仿宋" w:cs="Times New Roman" w:hint="eastAsia"/>
          <w:bCs/>
          <w:color w:val="000000"/>
          <w:sz w:val="24"/>
          <w:szCs w:val="24"/>
        </w:rPr>
        <w:t>对系统及网络具有较好的容错能力，支持断点续传功能。</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2</w:t>
      </w:r>
      <w:r w:rsidRPr="00BC1C9C">
        <w:rPr>
          <w:rFonts w:ascii="仿宋" w:eastAsia="仿宋" w:hAnsi="仿宋" w:cs="Times New Roman"/>
          <w:bCs/>
          <w:color w:val="000000"/>
          <w:sz w:val="24"/>
          <w:szCs w:val="24"/>
        </w:rPr>
        <w:t>.2.3</w:t>
      </w:r>
      <w:r w:rsidRPr="00BC1C9C">
        <w:rPr>
          <w:rFonts w:ascii="仿宋" w:eastAsia="仿宋" w:hAnsi="仿宋" w:cs="Times New Roman" w:hint="eastAsia"/>
          <w:bCs/>
          <w:color w:val="000000"/>
          <w:sz w:val="24"/>
          <w:szCs w:val="24"/>
        </w:rPr>
        <w:t>日志查询响应时间不超过5秒、运行状态查看响应时间不超过5秒。</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b/>
          <w:bCs/>
          <w:color w:val="000000"/>
          <w:sz w:val="24"/>
          <w:szCs w:val="24"/>
        </w:rPr>
        <w:t>2.3</w:t>
      </w:r>
      <w:r w:rsidRPr="00BC1C9C">
        <w:rPr>
          <w:rFonts w:ascii="仿宋" w:eastAsia="仿宋" w:hAnsi="仿宋" w:cs="Times New Roman" w:hint="eastAsia"/>
          <w:b/>
          <w:bCs/>
          <w:color w:val="000000"/>
          <w:sz w:val="24"/>
          <w:szCs w:val="24"/>
        </w:rPr>
        <w:t>系统健壮性</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bCs/>
          <w:color w:val="000000"/>
          <w:sz w:val="24"/>
          <w:szCs w:val="24"/>
        </w:rPr>
        <w:t>2.</w:t>
      </w:r>
      <w:r w:rsidRPr="00BC1C9C">
        <w:rPr>
          <w:rFonts w:ascii="仿宋" w:eastAsia="仿宋" w:hAnsi="仿宋" w:cs="Times New Roman" w:hint="eastAsia"/>
          <w:bCs/>
          <w:color w:val="000000"/>
          <w:sz w:val="24"/>
          <w:szCs w:val="24"/>
        </w:rPr>
        <w:t>3</w:t>
      </w:r>
      <w:r w:rsidRPr="00BC1C9C">
        <w:rPr>
          <w:rFonts w:ascii="仿宋" w:eastAsia="仿宋" w:hAnsi="仿宋" w:cs="Times New Roman"/>
          <w:bCs/>
          <w:color w:val="000000"/>
          <w:sz w:val="24"/>
          <w:szCs w:val="24"/>
        </w:rPr>
        <w:t>.1</w:t>
      </w:r>
      <w:r w:rsidRPr="00BC1C9C">
        <w:rPr>
          <w:rFonts w:ascii="仿宋" w:eastAsia="仿宋" w:hAnsi="仿宋" w:cs="Times New Roman" w:hint="eastAsia"/>
          <w:bCs/>
          <w:color w:val="000000"/>
          <w:sz w:val="24"/>
          <w:szCs w:val="24"/>
        </w:rPr>
        <w:t>系统试运行期间，在其他软件运行正常的情况下，应用系统引起系统中断的故障次数不应超过3次/月；在项目质保期内，应用系统引起系统中断的故障次数不应超过1次/月。</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bCs/>
          <w:color w:val="000000"/>
          <w:sz w:val="24"/>
          <w:szCs w:val="24"/>
        </w:rPr>
        <w:t>2.</w:t>
      </w:r>
      <w:r w:rsidRPr="00BC1C9C">
        <w:rPr>
          <w:rFonts w:ascii="仿宋" w:eastAsia="仿宋" w:hAnsi="仿宋" w:cs="Times New Roman" w:hint="eastAsia"/>
          <w:bCs/>
          <w:color w:val="000000"/>
          <w:sz w:val="24"/>
          <w:szCs w:val="24"/>
        </w:rPr>
        <w:t>3</w:t>
      </w:r>
      <w:r w:rsidRPr="00BC1C9C">
        <w:rPr>
          <w:rFonts w:ascii="仿宋" w:eastAsia="仿宋" w:hAnsi="仿宋" w:cs="Times New Roman"/>
          <w:bCs/>
          <w:color w:val="000000"/>
          <w:sz w:val="24"/>
          <w:szCs w:val="24"/>
        </w:rPr>
        <w:t>.2</w:t>
      </w:r>
      <w:r w:rsidRPr="00BC1C9C">
        <w:rPr>
          <w:rFonts w:ascii="仿宋" w:eastAsia="仿宋" w:hAnsi="仿宋" w:cs="Times New Roman" w:hint="eastAsia"/>
          <w:bCs/>
          <w:color w:val="000000"/>
          <w:sz w:val="24"/>
          <w:szCs w:val="24"/>
        </w:rPr>
        <w:t>应用系统应具备完善的错误处理机制，对系统运行过程中的错误处理有明确的提示信息和日志，指导用户操作，事后可查。</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bCs/>
          <w:color w:val="000000"/>
          <w:sz w:val="24"/>
          <w:szCs w:val="24"/>
        </w:rPr>
        <w:t>2.</w:t>
      </w:r>
      <w:r w:rsidRPr="00BC1C9C">
        <w:rPr>
          <w:rFonts w:ascii="仿宋" w:eastAsia="仿宋" w:hAnsi="仿宋" w:cs="Times New Roman" w:hint="eastAsia"/>
          <w:bCs/>
          <w:color w:val="000000"/>
          <w:sz w:val="24"/>
          <w:szCs w:val="24"/>
        </w:rPr>
        <w:t>3</w:t>
      </w:r>
      <w:r w:rsidRPr="00BC1C9C">
        <w:rPr>
          <w:rFonts w:ascii="仿宋" w:eastAsia="仿宋" w:hAnsi="仿宋" w:cs="Times New Roman"/>
          <w:bCs/>
          <w:color w:val="000000"/>
          <w:sz w:val="24"/>
          <w:szCs w:val="24"/>
        </w:rPr>
        <w:t>.3</w:t>
      </w:r>
      <w:r w:rsidRPr="00BC1C9C">
        <w:rPr>
          <w:rFonts w:ascii="仿宋" w:eastAsia="仿宋" w:hAnsi="仿宋" w:cs="Times New Roman" w:hint="eastAsia"/>
          <w:bCs/>
          <w:color w:val="000000"/>
          <w:sz w:val="24"/>
          <w:szCs w:val="24"/>
        </w:rPr>
        <w:t>应用系统应具备数据的自动转存和恢复机制。</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bCs/>
          <w:color w:val="000000"/>
          <w:sz w:val="24"/>
          <w:szCs w:val="24"/>
        </w:rPr>
        <w:t>2.</w:t>
      </w:r>
      <w:r w:rsidRPr="00BC1C9C">
        <w:rPr>
          <w:rFonts w:ascii="仿宋" w:eastAsia="仿宋" w:hAnsi="仿宋" w:cs="Times New Roman" w:hint="eastAsia"/>
          <w:bCs/>
          <w:color w:val="000000"/>
          <w:sz w:val="24"/>
          <w:szCs w:val="24"/>
        </w:rPr>
        <w:t>3</w:t>
      </w:r>
      <w:r w:rsidRPr="00BC1C9C">
        <w:rPr>
          <w:rFonts w:ascii="仿宋" w:eastAsia="仿宋" w:hAnsi="仿宋" w:cs="Times New Roman"/>
          <w:bCs/>
          <w:color w:val="000000"/>
          <w:sz w:val="24"/>
          <w:szCs w:val="24"/>
        </w:rPr>
        <w:t>.4</w:t>
      </w:r>
      <w:r w:rsidRPr="00BC1C9C">
        <w:rPr>
          <w:rFonts w:ascii="仿宋" w:eastAsia="仿宋" w:hAnsi="仿宋" w:cs="Times New Roman" w:hint="eastAsia"/>
          <w:bCs/>
          <w:color w:val="000000"/>
          <w:sz w:val="24"/>
          <w:szCs w:val="24"/>
        </w:rPr>
        <w:t>应用系统应具备恢复保障机制，在软硬件平台正常运行的情况下，应用系统故障的恢复时间不超过30分钟。</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b/>
          <w:bCs/>
          <w:color w:val="000000"/>
          <w:sz w:val="24"/>
          <w:szCs w:val="24"/>
        </w:rPr>
        <w:t>3.</w:t>
      </w:r>
      <w:r w:rsidRPr="00BC1C9C">
        <w:rPr>
          <w:rFonts w:ascii="仿宋" w:eastAsia="仿宋" w:hAnsi="仿宋" w:cs="Times New Roman" w:hint="eastAsia"/>
          <w:b/>
          <w:bCs/>
          <w:color w:val="000000"/>
          <w:sz w:val="24"/>
          <w:szCs w:val="24"/>
        </w:rPr>
        <w:t xml:space="preserve"> 平台应用要求</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本项目所有基于原软硬件进行扩展、升级、扩容、增补等提供的产品必须与成都中院现有已安装的系统产品无缝兼容互通操作。</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b/>
          <w:bCs/>
          <w:color w:val="000000"/>
          <w:sz w:val="24"/>
          <w:szCs w:val="24"/>
        </w:rPr>
        <w:t>4.</w:t>
      </w:r>
      <w:r w:rsidRPr="00BC1C9C">
        <w:rPr>
          <w:rFonts w:ascii="仿宋" w:eastAsia="仿宋" w:hAnsi="仿宋" w:cs="Times New Roman" w:hint="eastAsia"/>
          <w:b/>
          <w:bCs/>
          <w:color w:val="000000"/>
          <w:sz w:val="24"/>
          <w:szCs w:val="24"/>
        </w:rPr>
        <w:t xml:space="preserve"> 功能实现要求</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全市法院的音视频数据不统一存储到中院，在不改变现有存储位置的前提下，实现音视频的远程调看和分析。</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b/>
          <w:bCs/>
          <w:color w:val="000000"/>
          <w:sz w:val="24"/>
          <w:szCs w:val="24"/>
        </w:rPr>
        <w:t>5.</w:t>
      </w:r>
      <w:r w:rsidRPr="00BC1C9C">
        <w:rPr>
          <w:rFonts w:ascii="仿宋" w:eastAsia="仿宋" w:hAnsi="仿宋" w:cs="Times New Roman" w:hint="eastAsia"/>
          <w:b/>
          <w:bCs/>
          <w:color w:val="000000"/>
          <w:sz w:val="24"/>
          <w:szCs w:val="24"/>
        </w:rPr>
        <w:t xml:space="preserve"> 人员服务要求</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任何参与本项目实施过程的各个软、硬件货物和服务产品的工作人员，应至少具备两年以上投标产品的原厂公司安装维修工作经验或三年以上投标产品的授权集成公司安装维修工作经验，且个人已取得工作内容相关的涉及强、弱电、安防、集成等方面的国家认可机构认证的认证证书，不得无经验或无证上岗操作。</w:t>
      </w:r>
    </w:p>
    <w:p w:rsidR="00BC1C9C" w:rsidRPr="00BC1C9C" w:rsidRDefault="00BC1C9C" w:rsidP="00BC1C9C">
      <w:pPr>
        <w:spacing w:line="400" w:lineRule="exact"/>
        <w:ind w:firstLineChars="175" w:firstLine="422"/>
        <w:rPr>
          <w:rFonts w:ascii="仿宋" w:eastAsia="仿宋" w:hAnsi="仿宋" w:cs="Times New Roman"/>
          <w:b/>
          <w:bCs/>
          <w:color w:val="000000"/>
          <w:sz w:val="24"/>
          <w:szCs w:val="24"/>
        </w:rPr>
      </w:pPr>
      <w:r w:rsidRPr="00BC1C9C">
        <w:rPr>
          <w:rFonts w:ascii="仿宋" w:eastAsia="仿宋" w:hAnsi="仿宋" w:cs="Times New Roman"/>
          <w:b/>
          <w:bCs/>
          <w:color w:val="000000"/>
          <w:sz w:val="24"/>
          <w:szCs w:val="24"/>
        </w:rPr>
        <w:t>6. 测评要求</w:t>
      </w:r>
    </w:p>
    <w:p w:rsidR="00BC1C9C" w:rsidRPr="00BC1C9C" w:rsidRDefault="00BC1C9C" w:rsidP="00BC1C9C">
      <w:pPr>
        <w:spacing w:line="400" w:lineRule="exact"/>
        <w:ind w:firstLineChars="175" w:firstLine="420"/>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投标方须</w:t>
      </w:r>
      <w:r w:rsidRPr="00BC1C9C">
        <w:rPr>
          <w:rFonts w:ascii="仿宋" w:eastAsia="仿宋" w:hAnsi="仿宋" w:cs="Times New Roman"/>
          <w:bCs/>
          <w:color w:val="000000"/>
          <w:sz w:val="24"/>
          <w:szCs w:val="24"/>
        </w:rPr>
        <w:t>承诺提供的</w:t>
      </w:r>
      <w:r w:rsidRPr="00BC1C9C">
        <w:rPr>
          <w:rFonts w:ascii="仿宋" w:eastAsia="仿宋" w:hAnsi="仿宋" w:cs="Times New Roman" w:hint="eastAsia"/>
          <w:bCs/>
          <w:color w:val="000000"/>
          <w:sz w:val="24"/>
          <w:szCs w:val="24"/>
        </w:rPr>
        <w:t>投标产品</w:t>
      </w:r>
      <w:r w:rsidRPr="00BC1C9C">
        <w:rPr>
          <w:rFonts w:ascii="仿宋" w:eastAsia="仿宋" w:hAnsi="仿宋" w:cs="Times New Roman"/>
          <w:bCs/>
          <w:color w:val="000000"/>
          <w:sz w:val="24"/>
          <w:szCs w:val="24"/>
        </w:rPr>
        <w:t>满足</w:t>
      </w:r>
      <w:r w:rsidRPr="00BC1C9C">
        <w:rPr>
          <w:rFonts w:ascii="仿宋" w:eastAsia="仿宋" w:hAnsi="仿宋" w:cs="Times New Roman" w:hint="eastAsia"/>
          <w:bCs/>
          <w:color w:val="000000"/>
          <w:sz w:val="24"/>
          <w:szCs w:val="24"/>
        </w:rPr>
        <w:t>或建设</w:t>
      </w:r>
      <w:r w:rsidRPr="00BC1C9C">
        <w:rPr>
          <w:rFonts w:ascii="仿宋" w:eastAsia="仿宋" w:hAnsi="仿宋" w:cs="Times New Roman"/>
          <w:bCs/>
          <w:color w:val="000000"/>
          <w:sz w:val="24"/>
          <w:szCs w:val="24"/>
        </w:rPr>
        <w:t>完成</w:t>
      </w:r>
      <w:r w:rsidRPr="00BC1C9C">
        <w:rPr>
          <w:rFonts w:ascii="仿宋" w:eastAsia="仿宋" w:hAnsi="仿宋" w:cs="Times New Roman" w:hint="eastAsia"/>
          <w:bCs/>
          <w:color w:val="000000"/>
          <w:sz w:val="24"/>
          <w:szCs w:val="24"/>
        </w:rPr>
        <w:t>后</w:t>
      </w:r>
      <w:r w:rsidRPr="00BC1C9C">
        <w:rPr>
          <w:rFonts w:ascii="仿宋" w:eastAsia="仿宋" w:hAnsi="仿宋" w:cs="Times New Roman"/>
          <w:bCs/>
          <w:color w:val="000000"/>
          <w:sz w:val="24"/>
          <w:szCs w:val="24"/>
        </w:rPr>
        <w:t>满足</w:t>
      </w:r>
      <w:r w:rsidRPr="00BC1C9C">
        <w:rPr>
          <w:rFonts w:ascii="仿宋" w:eastAsia="仿宋" w:hAnsi="仿宋" w:cs="Times New Roman" w:hint="eastAsia"/>
          <w:bCs/>
          <w:color w:val="000000"/>
          <w:sz w:val="24"/>
          <w:szCs w:val="24"/>
        </w:rPr>
        <w:t>最高人民</w:t>
      </w:r>
      <w:r w:rsidRPr="00BC1C9C">
        <w:rPr>
          <w:rFonts w:ascii="仿宋" w:eastAsia="仿宋" w:hAnsi="仿宋" w:cs="Times New Roman"/>
          <w:bCs/>
          <w:color w:val="000000"/>
          <w:sz w:val="24"/>
          <w:szCs w:val="24"/>
        </w:rPr>
        <w:t>法</w:t>
      </w:r>
      <w:r w:rsidRPr="00BC1C9C">
        <w:rPr>
          <w:rFonts w:ascii="仿宋" w:eastAsia="仿宋" w:hAnsi="仿宋" w:cs="Times New Roman" w:hint="eastAsia"/>
          <w:bCs/>
          <w:color w:val="000000"/>
          <w:sz w:val="24"/>
          <w:szCs w:val="24"/>
        </w:rPr>
        <w:t>院通知文件要求：全国法院建设应用的重要信息系统，应当在上线运行前通过第三方测评，不合格原则上不得上线，且第三方测评机构应具备CNAS资质，并具有法院信息系统或电子政务测评经验。采购方将于初验后组织整体系统测评，中标方必须于</w:t>
      </w:r>
      <w:proofErr w:type="gramStart"/>
      <w:r w:rsidRPr="00BC1C9C">
        <w:rPr>
          <w:rFonts w:ascii="仿宋" w:eastAsia="仿宋" w:hAnsi="仿宋" w:cs="Times New Roman" w:hint="eastAsia"/>
          <w:bCs/>
          <w:color w:val="000000"/>
          <w:sz w:val="24"/>
          <w:szCs w:val="24"/>
        </w:rPr>
        <w:t>终验前通过</w:t>
      </w:r>
      <w:proofErr w:type="gramEnd"/>
      <w:r w:rsidRPr="00BC1C9C">
        <w:rPr>
          <w:rFonts w:ascii="仿宋" w:eastAsia="仿宋" w:hAnsi="仿宋" w:cs="Times New Roman" w:hint="eastAsia"/>
          <w:bCs/>
          <w:color w:val="000000"/>
          <w:sz w:val="24"/>
          <w:szCs w:val="24"/>
        </w:rPr>
        <w:t>整体系统的第三方CNAS资质的机构测评。</w:t>
      </w:r>
    </w:p>
    <w:p w:rsidR="00BC1C9C" w:rsidRPr="00BC1C9C" w:rsidRDefault="00BC1C9C" w:rsidP="00BC1C9C">
      <w:pPr>
        <w:spacing w:line="400" w:lineRule="exact"/>
        <w:ind w:firstLineChars="175" w:firstLine="420"/>
        <w:outlineLvl w:val="2"/>
        <w:rPr>
          <w:rFonts w:ascii="仿宋" w:eastAsia="仿宋" w:hAnsi="仿宋" w:cs="Times New Roman"/>
          <w:bCs/>
          <w:color w:val="000000"/>
          <w:sz w:val="24"/>
          <w:szCs w:val="24"/>
        </w:rPr>
      </w:pPr>
      <w:r w:rsidRPr="00BC1C9C">
        <w:rPr>
          <w:rFonts w:ascii="仿宋" w:eastAsia="仿宋" w:hAnsi="仿宋" w:cs="Times New Roman" w:hint="eastAsia"/>
          <w:bCs/>
          <w:color w:val="000000"/>
          <w:sz w:val="24"/>
          <w:szCs w:val="24"/>
        </w:rPr>
        <w:t>★（二）建设清单</w:t>
      </w:r>
    </w:p>
    <w:tbl>
      <w:tblPr>
        <w:tblW w:w="0" w:type="auto"/>
        <w:jc w:val="center"/>
        <w:tblLayout w:type="fixed"/>
        <w:tblCellMar>
          <w:left w:w="0" w:type="dxa"/>
          <w:right w:w="0" w:type="dxa"/>
        </w:tblCellMar>
        <w:tblLook w:val="0000" w:firstRow="0" w:lastRow="0" w:firstColumn="0" w:lastColumn="0" w:noHBand="0" w:noVBand="0"/>
      </w:tblPr>
      <w:tblGrid>
        <w:gridCol w:w="658"/>
        <w:gridCol w:w="1185"/>
        <w:gridCol w:w="2249"/>
        <w:gridCol w:w="692"/>
        <w:gridCol w:w="659"/>
        <w:gridCol w:w="2893"/>
      </w:tblGrid>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序号</w:t>
            </w:r>
          </w:p>
        </w:tc>
        <w:tc>
          <w:tcPr>
            <w:tcW w:w="11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系统名称</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功能名称</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单位</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数量</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备注</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警务指挥平台升级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访客地图升级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定制化报表升级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3</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数据分析全面升级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4</w:t>
            </w:r>
          </w:p>
        </w:tc>
        <w:tc>
          <w:tcPr>
            <w:tcW w:w="11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访客管理系统升级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访客管理系统升级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5</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智能分析系统升级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智能分析内容升级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6</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智能分析数量扩容</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7</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拾音器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个</w:t>
            </w:r>
            <w:proofErr w:type="gramEnd"/>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8</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双目行为分析摄像机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9</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智能分析专用机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10</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智能分析硬件卡</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张</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11</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图像工作站</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图像处理器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张</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13</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网络安全准入升级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外网安全准入</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14</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内网安全准入</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15</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硬件系统扩容</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扩容硬盘（一）</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72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3.5寸 7.2k 6T原有SC460存储柜2个，每柜加36块</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16</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扩容硬盘（二）</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2.4T 10K SAS，原有SC420存储柜2个每柜加6块</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17</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扩容硬盘（三）</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16</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3.5寸 7.2k 10TB原有2套磁盘柜，每套配加8块</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18</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存储扩展柜（一）</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单柜</w:t>
            </w:r>
            <w:proofErr w:type="gramEnd"/>
            <w:r w:rsidRPr="00BC1C9C">
              <w:rPr>
                <w:rFonts w:ascii="仿宋" w:eastAsia="仿宋" w:hAnsi="仿宋" w:cs="宋体" w:hint="eastAsia"/>
                <w:color w:val="000000"/>
                <w:szCs w:val="21"/>
                <w:lang w:bidi="ar"/>
              </w:rPr>
              <w:t>≥60盘位，每台含配置≥6块12T NL-SAS硬盘</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19</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存储扩展柜（二）</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单柜</w:t>
            </w:r>
            <w:proofErr w:type="gramEnd"/>
            <w:r w:rsidRPr="00BC1C9C">
              <w:rPr>
                <w:rFonts w:ascii="仿宋" w:eastAsia="仿宋" w:hAnsi="仿宋" w:cs="宋体" w:hint="eastAsia"/>
                <w:color w:val="000000"/>
                <w:szCs w:val="21"/>
                <w:lang w:bidi="ar"/>
              </w:rPr>
              <w:t>≥24盘位，每台配置≥6块2.4T 10K SAS硬盘</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20</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磁盘存储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要求单柜</w:t>
            </w:r>
            <w:proofErr w:type="gramEnd"/>
            <w:r w:rsidRPr="00BC1C9C">
              <w:rPr>
                <w:rFonts w:ascii="仿宋" w:eastAsia="仿宋" w:hAnsi="仿宋" w:cs="宋体" w:hint="eastAsia"/>
                <w:color w:val="000000"/>
                <w:szCs w:val="21"/>
                <w:lang w:bidi="ar"/>
              </w:rPr>
              <w:t>≥84盘位，每台配置≥28块16T 7.2K SAS硬盘</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21</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虚拟化专用机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color w:val="000000"/>
                <w:szCs w:val="21"/>
                <w:lang w:bidi="ar"/>
              </w:rPr>
              <w:t>5</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性能各项参数要求≥成都中院机房现有产品</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虚拟化授权</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color w:val="000000"/>
                <w:szCs w:val="21"/>
                <w:lang w:bidi="ar"/>
              </w:rPr>
              <w:t>7</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23</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万兆交换机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24</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万兆光模块（一）</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个</w:t>
            </w:r>
            <w:proofErr w:type="gramEnd"/>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68</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48个用于本次新增2台万兆交换机，20个用于原万兆交换机</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25</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万兆光模块（二）</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个</w:t>
            </w:r>
            <w:proofErr w:type="gramEnd"/>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16</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用于原存储交换机</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26</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堆叠线</w:t>
            </w:r>
            <w:proofErr w:type="gramEnd"/>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条</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27</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室内光缆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500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28</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光纤尾</w:t>
            </w:r>
            <w:proofErr w:type="gramStart"/>
            <w:r w:rsidRPr="00BC1C9C">
              <w:rPr>
                <w:rFonts w:ascii="仿宋" w:eastAsia="仿宋" w:hAnsi="仿宋" w:cs="宋体" w:hint="eastAsia"/>
                <w:color w:val="000000"/>
                <w:szCs w:val="21"/>
                <w:lang w:bidi="ar"/>
              </w:rPr>
              <w:t>纤</w:t>
            </w:r>
            <w:proofErr w:type="gramEnd"/>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864</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29</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光纤适配器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个</w:t>
            </w:r>
            <w:proofErr w:type="gramEnd"/>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432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按所有机柜（18台）每柜增加24芯光缆计算</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30</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精密配电柜</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31</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配电电缆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r w:rsidRPr="00BC1C9C">
              <w:rPr>
                <w:rFonts w:ascii="仿宋" w:eastAsia="仿宋" w:hAnsi="仿宋" w:cs="宋体" w:hint="eastAsia"/>
                <w:color w:val="000000"/>
                <w:szCs w:val="21"/>
              </w:rPr>
              <w:t>35平的火线和零线电缆</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配电电缆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r w:rsidRPr="00BC1C9C">
              <w:rPr>
                <w:rFonts w:ascii="仿宋" w:eastAsia="仿宋" w:hAnsi="仿宋" w:cs="宋体" w:hint="eastAsia"/>
                <w:color w:val="000000"/>
                <w:szCs w:val="21"/>
              </w:rPr>
              <w:t>16平的地线电缆</w:t>
            </w: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33</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PDU</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个</w:t>
            </w:r>
            <w:proofErr w:type="gramEnd"/>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36</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34</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机柜电缆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1000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35</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辅材耗材和必备配件</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36</w:t>
            </w:r>
          </w:p>
        </w:tc>
        <w:tc>
          <w:tcPr>
            <w:tcW w:w="11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综合</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技术服务</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整理不少于6个机柜</w:t>
            </w:r>
          </w:p>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安装18个机柜电源和跳</w:t>
            </w:r>
            <w:proofErr w:type="gramStart"/>
            <w:r w:rsidRPr="00BC1C9C">
              <w:rPr>
                <w:rFonts w:ascii="仿宋" w:eastAsia="仿宋" w:hAnsi="仿宋" w:cs="宋体" w:hint="eastAsia"/>
                <w:color w:val="000000"/>
                <w:szCs w:val="21"/>
                <w:lang w:bidi="ar"/>
              </w:rPr>
              <w:t>纤</w:t>
            </w:r>
            <w:proofErr w:type="gramEnd"/>
          </w:p>
        </w:tc>
      </w:tr>
    </w:tbl>
    <w:p w:rsidR="00BC1C9C" w:rsidRPr="00BC1C9C" w:rsidRDefault="00BC1C9C" w:rsidP="00BC1C9C">
      <w:pPr>
        <w:spacing w:line="400" w:lineRule="exact"/>
        <w:ind w:firstLineChars="175" w:firstLine="422"/>
        <w:outlineLvl w:val="2"/>
        <w:rPr>
          <w:rFonts w:ascii="仿宋" w:eastAsia="仿宋" w:hAnsi="仿宋" w:cs="Times New Roman"/>
          <w:b/>
          <w:bCs/>
          <w:color w:val="000000"/>
          <w:sz w:val="24"/>
          <w:szCs w:val="24"/>
        </w:rPr>
      </w:pPr>
      <w:r w:rsidRPr="00BC1C9C">
        <w:rPr>
          <w:rFonts w:ascii="仿宋" w:eastAsia="仿宋" w:hAnsi="仿宋" w:cs="Times New Roman" w:hint="eastAsia"/>
          <w:b/>
          <w:bCs/>
          <w:color w:val="000000"/>
          <w:sz w:val="24"/>
          <w:szCs w:val="24"/>
        </w:rPr>
        <w:t>（三）技术指标</w:t>
      </w:r>
    </w:p>
    <w:tbl>
      <w:tblPr>
        <w:tblW w:w="0" w:type="auto"/>
        <w:jc w:val="center"/>
        <w:tblLayout w:type="fixed"/>
        <w:tblCellMar>
          <w:left w:w="0" w:type="dxa"/>
          <w:right w:w="0" w:type="dxa"/>
        </w:tblCellMar>
        <w:tblLook w:val="0000" w:firstRow="0" w:lastRow="0" w:firstColumn="0" w:lastColumn="0" w:noHBand="0" w:noVBand="0"/>
      </w:tblPr>
      <w:tblGrid>
        <w:gridCol w:w="289"/>
        <w:gridCol w:w="519"/>
        <w:gridCol w:w="1046"/>
        <w:gridCol w:w="4267"/>
        <w:gridCol w:w="305"/>
        <w:gridCol w:w="568"/>
        <w:gridCol w:w="1342"/>
      </w:tblGrid>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序号</w:t>
            </w:r>
          </w:p>
        </w:tc>
        <w:tc>
          <w:tcPr>
            <w:tcW w:w="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系统名称</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功能名称</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配置要求</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单位</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数量</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备注</w:t>
            </w: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警务指挥平台升级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访客地图升级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总体要求：将现有警务指挥平台中访客部分进行全面升级，使系统能够更加直接.直观的展示访客在法院的位置，访客在法院的全轨迹。</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涉及版本：访客轨迹地图升级的版本包括警务指挥中现有的中院3840×1080版，中院1920×1080版，基层法院3840×1080版，基层法院1920×1080版4个版本。</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立体化升级，将平面线条地图和访客轨迹、访客形象、访客点位等画面进行全面升级，制作立体地图，访客轨迹、访客形象更加美观直观。</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扩大地图区域：我院现有法警指挥平台已将三个办公区公共区域包含地图，需要再通过本次建设，扩大地图区域，将我院其它外部</w:t>
            </w:r>
            <w:r w:rsidRPr="00BC1C9C">
              <w:rPr>
                <w:rFonts w:ascii="仿宋" w:eastAsia="仿宋" w:hAnsi="仿宋" w:cs="宋体" w:hint="eastAsia"/>
                <w:color w:val="000000"/>
                <w:szCs w:val="21"/>
                <w:lang w:bidi="ar"/>
              </w:rPr>
              <w:lastRenderedPageBreak/>
              <w:t>访客有可能涉及到闯入的公共区域纳入地图，使区域闯入预警.访客轨迹等更加完善，杜绝安全盲点。</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3</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定制化报表升级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中院定制报表开发：根据系统在使用过程中发现的统计和管理需求，在原系统中定制新开发和调整原有统计报表。报表数据根据实际需求为准，统计报表数量不低于10个，不超过20个。</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基层法院定制报表开发：中院根据各类法警相关系统在使用过程中，搜集和汇总基层法院提出的报表统计需求，统一进行分析梳理后，在原有系统中，集中开发一批适用于基层法院的数据统计报表。统计报表以实际深化设计为准，数量不低于10个，不超过20个。</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自定义查询工具：根据法警的核心业务，在原警务指挥平台中设计和开发法警业务数据的自定义查询工具。用户可以随意组织和选择各类查询项.关联条件，自定义展示数据，并根据查询结果自动导出表格。通过自定义查询工具的开发，能够满足各法院对于本院法警数据的基础查询要求。</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数据分析全面升级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法警数据自动分析预警：对法警基础信息.业务信息实现智能化监督升级，形成多维的数据分析报告。综合分析法警的任务数量、完成情况、分布情况、法警个人业绩、法警个人基础信息、法警教育培训等数据进行智能分析。</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智能巡查：建立智能巡查指标库，系统定时自动对所有数据进行智能巡查巡检。</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智能预警：根据智能巡查结果，智能分析数据，如任务分配不合理、超时完成任务等实现静默监督，自动分析，一旦出现达到或者按照现有趋势，有可能达到预警阈值的，在警务指挥平台中自动预警提示。</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访客管理系统升级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访客管理系统升级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增加违禁物品管理、登记和分析。</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在法院使用到的访客系统中，增加访客数据智能分析，使安检处的值班法警能随时</w:t>
            </w:r>
            <w:r w:rsidRPr="00BC1C9C">
              <w:rPr>
                <w:rFonts w:ascii="仿宋" w:eastAsia="仿宋" w:hAnsi="仿宋" w:cs="宋体" w:hint="eastAsia"/>
                <w:color w:val="000000"/>
                <w:szCs w:val="21"/>
                <w:lang w:bidi="ar"/>
              </w:rPr>
              <w:lastRenderedPageBreak/>
              <w:t>掌握访客趋势。</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增加相应模块，把访客系统与办案系统关联，使值班法警处能直观看到该访客案件信息。</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5</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智能分析系统升级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智能分析内容升级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通过系统升级，增加声音异常、人员靠近、人数异常、违规攀高等异常行为分析。</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声音异常：支持范围内音量大小检测，超过一定分贝值时进行报警提示。</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人员靠近：支持距离检测，</w:t>
            </w:r>
            <w:proofErr w:type="gramStart"/>
            <w:r w:rsidRPr="00BC1C9C">
              <w:rPr>
                <w:rFonts w:ascii="仿宋" w:eastAsia="仿宋" w:hAnsi="仿宋" w:cs="宋体" w:hint="eastAsia"/>
                <w:color w:val="000000"/>
                <w:szCs w:val="21"/>
                <w:lang w:bidi="ar"/>
              </w:rPr>
              <w:t>当人员</w:t>
            </w:r>
            <w:proofErr w:type="gramEnd"/>
            <w:r w:rsidRPr="00BC1C9C">
              <w:rPr>
                <w:rFonts w:ascii="仿宋" w:eastAsia="仿宋" w:hAnsi="仿宋" w:cs="宋体" w:hint="eastAsia"/>
                <w:color w:val="000000"/>
                <w:szCs w:val="21"/>
                <w:lang w:bidi="ar"/>
              </w:rPr>
              <w:t>违规靠近指定区域时进行报警提示。</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人数异常：支持人数统计检测，当所检测区域内人数出现异常情况进行报警提示。</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违规攀高：支持高度检测，当区域内有人员</w:t>
            </w:r>
            <w:proofErr w:type="gramStart"/>
            <w:r w:rsidRPr="00BC1C9C">
              <w:rPr>
                <w:rFonts w:ascii="仿宋" w:eastAsia="仿宋" w:hAnsi="仿宋" w:cs="宋体" w:hint="eastAsia"/>
                <w:color w:val="000000"/>
                <w:szCs w:val="21"/>
                <w:lang w:bidi="ar"/>
              </w:rPr>
              <w:t>攀爬且</w:t>
            </w:r>
            <w:proofErr w:type="gramEnd"/>
            <w:r w:rsidRPr="00BC1C9C">
              <w:rPr>
                <w:rFonts w:ascii="仿宋" w:eastAsia="仿宋" w:hAnsi="仿宋" w:cs="宋体" w:hint="eastAsia"/>
                <w:color w:val="000000"/>
                <w:szCs w:val="21"/>
                <w:lang w:bidi="ar"/>
              </w:rPr>
              <w:t>超过限定高度区域时进行报警提示。</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6</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智能分析数量扩容</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人流量统计：支持出入口或通道场景的双向客流量统计。</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人群密度分析：支持实时统计输出通道视频中的人数，人数在监测区域的左上角实时刷新显示；支持当区域密度（人数）持续超过阈值一定时间产生报警；</w:t>
            </w:r>
            <w:proofErr w:type="gramStart"/>
            <w:r w:rsidRPr="00BC1C9C">
              <w:rPr>
                <w:rFonts w:ascii="仿宋" w:eastAsia="仿宋" w:hAnsi="仿宋" w:cs="宋体" w:hint="eastAsia"/>
                <w:color w:val="000000"/>
                <w:szCs w:val="21"/>
                <w:lang w:bidi="ar"/>
              </w:rPr>
              <w:t>支持分</w:t>
            </w:r>
            <w:proofErr w:type="gramEnd"/>
            <w:r w:rsidRPr="00BC1C9C">
              <w:rPr>
                <w:rFonts w:ascii="仿宋" w:eastAsia="仿宋" w:hAnsi="仿宋" w:cs="宋体" w:hint="eastAsia"/>
                <w:color w:val="000000"/>
                <w:szCs w:val="21"/>
                <w:lang w:bidi="ar"/>
              </w:rPr>
              <w:t>时段布防报警，每天最多可以设置10个不重叠时间段；支持一个视频通道设置8个监测区域，不同区域配置的不同报警阈值和超过报警阈值的持续时间； 支持同时对一个或多个监控点位在一定时间内的人流量进行统计，生成人流量报表；支持导出人流量报表； 支持报警结果导出，导出结果包括监控点、时间、人流量、报警阀值、背景图、密度图；支持人群密度（人数）定时上报平台。</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剧烈运动（打架斗殴.快速移动）检测：支持追逐及剧烈运动监测。</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绊线入侵检测：自动检测穿越警戒线的行为，客户端可配置规则，报警事件包括时间.检测通道，规则名称，规则线，场景图，物</w:t>
            </w:r>
            <w:r w:rsidRPr="00BC1C9C">
              <w:rPr>
                <w:rFonts w:ascii="仿宋" w:eastAsia="仿宋" w:hAnsi="仿宋" w:cs="宋体" w:hint="eastAsia"/>
                <w:color w:val="000000"/>
                <w:szCs w:val="21"/>
                <w:lang w:bidi="ar"/>
              </w:rPr>
              <w:lastRenderedPageBreak/>
              <w:t>体框，报警事件客户端实时预览界面可展示。</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行人逆行检测：支持单向通道等场合行人逆行监测。</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区域入侵检测：支持进入禁区监测和越线监测。</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人员徘徊检测：支持重点防护区域人员徘徊监测。</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物品遗留检测：支持站内重点防护区域可疑物品遗留监测。</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摄像头支持说明：支持摄像头倾斜安装场景下的监控视频的检测，可以利用所有出入口的普通监控视频。</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报表生成及导出：支持客流报表的生成和导出，报表以EXCEL形式导出。</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单通道人数统计：单通道视频画面中人数的统计。</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报警查询：支持按照时间段/监控点/报警级别等进行报警信息查询，支持报警信息导出，便于事后查询。</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分析路数≥32路。</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7</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拾音器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高保真全向拾音器；安装方式：吸</w:t>
            </w:r>
            <w:proofErr w:type="gramStart"/>
            <w:r w:rsidRPr="00BC1C9C">
              <w:rPr>
                <w:rFonts w:ascii="仿宋" w:eastAsia="仿宋" w:hAnsi="仿宋" w:cs="宋体" w:hint="eastAsia"/>
                <w:color w:val="000000"/>
                <w:szCs w:val="21"/>
                <w:lang w:bidi="ar"/>
              </w:rPr>
              <w:t>顶旋挂</w:t>
            </w:r>
            <w:proofErr w:type="gramEnd"/>
            <w:r w:rsidRPr="00BC1C9C">
              <w:rPr>
                <w:rFonts w:ascii="仿宋" w:eastAsia="仿宋" w:hAnsi="仿宋" w:cs="宋体" w:hint="eastAsia"/>
                <w:color w:val="000000"/>
                <w:szCs w:val="21"/>
                <w:lang w:bidi="ar"/>
              </w:rPr>
              <w:t>式安装。</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频率响应：20Hz~20KHz；电源电压：DC12V / 80mA。</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有效监听范围≥10~150平方米。</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灵敏度：≥-38dB。</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信噪比： ≥85dB。；</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个</w:t>
            </w:r>
            <w:proofErr w:type="gramEnd"/>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8</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双目行为分析摄像机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传感器类型≥1/2.8英寸CMOS。</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像素≥200万，分辨率≥1920×1080。</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最低照度≤0.002Lux（彩色模式）；≤0.0002Lux（黑白模式）；0Lux（补光灯开启）。</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红外补光距离≥30m。</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镜头类型定焦，镜头焦距支持2.8mm /3.6mm /6mm可选。</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支持通用分析，包括绊线入侵、区域入侵、快速移动、物品遗留、物品搬移、徘徊检测、人员聚集、停车检测。</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支持行为分析，包括跌倒检测、人员靠近检测、人数异常检测、人员滞留检测、剧烈运动检测。</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视频压缩标准支持H.265；H.264；H.264H；H264B；MJPEG；支持智能编码。</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宽动态≥120dB。</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内置MIC支持。</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接入标准ONVIF；GB/T28181；CGI。</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支持Micro SD卡256 GB存储卡。</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支持RS-485接口≥1个；音频输入1路（3.5mmJACK头）；音频输出≥1路；报警输3路；报警输出≥2路；模拟输出接口≥1路。</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★设备辐射骚扰限值符合GB 9254-2008中等级B要求。（提供封面具备CMA或CAL或CNAS盖章的第三方检测机构出具的检测报告复印件）</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波前时间1.2μs/半峰值时间50μs，在电源输入端施加线-线2kV.线-地6kV的峰值电压；波前时间10μs/半峰时间700μs，在网络端口施加6kV的峰值电压；波前时间10μs/半峰时间700μs，在音频输入输出端施加线-地6kV的峰值电压。实验中允许功能或性能暂时丧失或降低，但在试验停止后应能自行恢复，不需要操作者干预。（提供封面具备CMA或CAL或CNAS盖章的第三方检测机构出具的检测报告复印件）</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供电方式DC12V/POE。</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防护等级≥IP67。</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9</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智能分析专用机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▲处理器≥2颗，要求完全支持兼容现有智能分析系统软件和操作系统的英特尔至</w:t>
            </w:r>
            <w:proofErr w:type="gramStart"/>
            <w:r w:rsidRPr="00BC1C9C">
              <w:rPr>
                <w:rFonts w:ascii="仿宋" w:eastAsia="仿宋" w:hAnsi="仿宋" w:cs="宋体" w:hint="eastAsia"/>
                <w:color w:val="000000"/>
                <w:szCs w:val="21"/>
                <w:lang w:bidi="ar"/>
              </w:rPr>
              <w:t>强</w:t>
            </w:r>
            <w:r w:rsidRPr="00BC1C9C">
              <w:rPr>
                <w:rFonts w:ascii="仿宋" w:eastAsia="仿宋" w:hAnsi="仿宋" w:cs="宋体" w:hint="eastAsia"/>
                <w:color w:val="000000"/>
                <w:szCs w:val="21"/>
                <w:lang w:bidi="ar"/>
              </w:rPr>
              <w:lastRenderedPageBreak/>
              <w:t>系列</w:t>
            </w:r>
            <w:proofErr w:type="gramEnd"/>
            <w:r w:rsidRPr="00BC1C9C">
              <w:rPr>
                <w:rFonts w:ascii="仿宋" w:eastAsia="仿宋" w:hAnsi="仿宋" w:cs="宋体" w:hint="eastAsia"/>
                <w:color w:val="000000"/>
                <w:szCs w:val="21"/>
                <w:lang w:bidi="ar"/>
              </w:rPr>
              <w:t>CPU，可扩展处理器，每颗≥10C/20T。</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▲操作系统 CentOS Linux release ≥7.4.1708 （Core）版本。</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color w:val="000000"/>
                <w:szCs w:val="21"/>
              </w:rPr>
              <w:t>5</w:t>
            </w:r>
            <w:r w:rsidRPr="00BC1C9C">
              <w:rPr>
                <w:rFonts w:ascii="仿宋" w:eastAsia="仿宋" w:hAnsi="仿宋" w:cs="宋体" w:hint="eastAsia"/>
                <w:color w:val="000000"/>
                <w:szCs w:val="21"/>
              </w:rPr>
              <w:t>6</w:t>
            </w:r>
            <w:r w:rsidRPr="00BC1C9C">
              <w:rPr>
                <w:rFonts w:ascii="仿宋" w:eastAsia="仿宋" w:hAnsi="仿宋" w:cs="宋体"/>
                <w:color w:val="000000"/>
                <w:szCs w:val="21"/>
              </w:rPr>
              <w:t>．</w:t>
            </w:r>
            <w:r w:rsidRPr="00BC1C9C">
              <w:rPr>
                <w:rFonts w:ascii="仿宋" w:eastAsia="仿宋" w:hAnsi="仿宋" w:cs="宋体" w:hint="eastAsia"/>
                <w:color w:val="000000"/>
                <w:szCs w:val="21"/>
                <w:lang w:bidi="ar"/>
              </w:rPr>
              <w:t>智能卡数量 ≥2个。</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▲内存 ≥64GB(16G*4) DDR4内存条，最大槽位数24槽位。</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▲硬盘 ≥2块3.5寸4T硬盘，最大槽位数8盘位。</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支持RAID0/1/5。</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▲具备≥2个万兆/千兆自适应网口，≥5个USB3.0，≥2个VGA接口，≥8个标准PCIe卡槽，双电源冗余。</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10</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智能分析硬件卡</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▲内存规格 LPDDR4X 32GB，3200Mbps，总带宽204.8GByte/s，支持ECC。</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▲AI</w:t>
            </w:r>
            <w:proofErr w:type="gramStart"/>
            <w:r w:rsidRPr="00BC1C9C">
              <w:rPr>
                <w:rFonts w:ascii="仿宋" w:eastAsia="仿宋" w:hAnsi="仿宋" w:cs="宋体" w:hint="eastAsia"/>
                <w:color w:val="000000"/>
                <w:szCs w:val="21"/>
                <w:lang w:bidi="ar"/>
              </w:rPr>
              <w:t>算力</w:t>
            </w:r>
            <w:proofErr w:type="gramEnd"/>
            <w:r w:rsidRPr="00BC1C9C">
              <w:rPr>
                <w:rFonts w:ascii="仿宋" w:eastAsia="仿宋" w:hAnsi="仿宋" w:cs="宋体" w:hint="eastAsia"/>
                <w:color w:val="000000"/>
                <w:szCs w:val="21"/>
                <w:lang w:bidi="ar"/>
              </w:rPr>
              <w:t>64TOPS/INT8，32TFLOPS/FP16。</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▲编解码能力，支持H.264 Decoder硬件解码，64路1080P 30FPS（8路3840 x 2160 60FPS），YUV420，支持H.265 Decoder硬件解码，64路1080P 30FPS（8路3840 x 2160 60FPS），YUV420，支持H.264 Encoder硬件编码，4路1080P 30FPS，YUV420，支持H.265 Encoder硬件编码，4路1080P 30FPS，YUV420，JPEG解码能力4 x 1080P 256FPS，编码能力4 x 1080P 64FPS，最大分辨率：8192 x 8192， PNG解码能力4 x 1080P 24FPS，最大分辨率：4096 x 2160 。</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▲PCIe接口x16 Lanes，兼容x8/x4/x2/x1；PCIe Gen3.0，兼容2.0/1.0。</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张</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11</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图像工作站</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配置≥2颗兼容现有已部署智能分析系统客户端软件和操作系统的CPU,支持英特尔至</w:t>
            </w:r>
            <w:proofErr w:type="gramStart"/>
            <w:r w:rsidRPr="00BC1C9C">
              <w:rPr>
                <w:rFonts w:ascii="仿宋" w:eastAsia="仿宋" w:hAnsi="仿宋" w:cs="宋体" w:hint="eastAsia"/>
                <w:color w:val="000000"/>
                <w:szCs w:val="21"/>
                <w:lang w:bidi="ar"/>
              </w:rPr>
              <w:t>强系列</w:t>
            </w:r>
            <w:proofErr w:type="gramEnd"/>
            <w:r w:rsidRPr="00BC1C9C">
              <w:rPr>
                <w:rFonts w:ascii="仿宋" w:eastAsia="仿宋" w:hAnsi="仿宋" w:cs="宋体" w:hint="eastAsia"/>
                <w:color w:val="000000"/>
                <w:szCs w:val="21"/>
                <w:lang w:bidi="ar"/>
              </w:rPr>
              <w:t>系统要求。</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CPU主频：≥2.1GHZ。</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内存：≥64G的DDR4，最大支持扩展</w:t>
            </w:r>
            <w:r w:rsidRPr="00BC1C9C">
              <w:rPr>
                <w:rFonts w:ascii="仿宋" w:eastAsia="仿宋" w:hAnsi="仿宋" w:cs="宋体" w:hint="eastAsia"/>
                <w:color w:val="000000"/>
                <w:szCs w:val="21"/>
                <w:lang w:bidi="ar"/>
              </w:rPr>
              <w:lastRenderedPageBreak/>
              <w:t>至384GB。</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硬盘：≥2TB的SATA硬盘和≥256G的SSD固态硬盘。</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网卡：≥2块千兆。</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含DVD刻录光驱；带鼠标键盘显示器。</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12</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图像处理器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rPr>
              <w:t>支持智能分析系统软件进行图像分析和实时大屏幕LED传输</w:t>
            </w:r>
            <w:proofErr w:type="gramStart"/>
            <w:r w:rsidRPr="00BC1C9C">
              <w:rPr>
                <w:rFonts w:ascii="仿宋" w:eastAsia="仿宋" w:hAnsi="仿宋" w:cs="宋体" w:hint="eastAsia"/>
                <w:color w:val="000000"/>
                <w:szCs w:val="21"/>
                <w:lang w:bidi="ar"/>
              </w:rPr>
              <w:t>专业级显卡</w:t>
            </w:r>
            <w:proofErr w:type="gramEnd"/>
            <w:r w:rsidRPr="00BC1C9C">
              <w:rPr>
                <w:rFonts w:ascii="仿宋" w:eastAsia="仿宋" w:hAnsi="仿宋" w:cs="宋体" w:hint="eastAsia"/>
                <w:color w:val="000000"/>
                <w:szCs w:val="21"/>
                <w:lang w:bidi="ar"/>
              </w:rPr>
              <w:t>。</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显存容量：≥16GB。</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显存频率：≥945MHz。</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显</w:t>
            </w:r>
            <w:proofErr w:type="gramStart"/>
            <w:r w:rsidRPr="00BC1C9C">
              <w:rPr>
                <w:rFonts w:ascii="仿宋" w:eastAsia="仿宋" w:hAnsi="仿宋" w:cs="宋体" w:hint="eastAsia"/>
                <w:color w:val="000000"/>
                <w:szCs w:val="21"/>
                <w:lang w:bidi="ar"/>
              </w:rPr>
              <w:t>存位宽</w:t>
            </w:r>
            <w:proofErr w:type="gramEnd"/>
            <w:r w:rsidRPr="00BC1C9C">
              <w:rPr>
                <w:rFonts w:ascii="仿宋" w:eastAsia="仿宋" w:hAnsi="仿宋" w:cs="宋体" w:hint="eastAsia"/>
                <w:color w:val="000000"/>
                <w:szCs w:val="21"/>
                <w:lang w:bidi="ar"/>
              </w:rPr>
              <w:t>：≥256bit。</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支持最多4屏输出。</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张</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13</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网络安全准入升级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外网安全准入</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lang w:bidi="ar"/>
              </w:rPr>
            </w:pPr>
            <w:r w:rsidRPr="00BC1C9C">
              <w:rPr>
                <w:rFonts w:ascii="仿宋" w:eastAsia="仿宋" w:hAnsi="仿宋" w:cs="宋体" w:hint="eastAsia"/>
                <w:color w:val="000000"/>
                <w:szCs w:val="21"/>
              </w:rPr>
              <w:t>★</w:t>
            </w:r>
            <w:r w:rsidRPr="00BC1C9C">
              <w:rPr>
                <w:rFonts w:ascii="仿宋" w:eastAsia="仿宋" w:hAnsi="仿宋" w:cs="宋体" w:hint="eastAsia"/>
                <w:color w:val="000000"/>
                <w:szCs w:val="21"/>
                <w:lang w:bidi="ar"/>
              </w:rPr>
              <w:t>为确保网络安全，外网准入默认2000点位授权，上限可扩展≥5000点位；满足成都中院三个区外网上</w:t>
            </w:r>
            <w:proofErr w:type="gramStart"/>
            <w:r w:rsidRPr="00BC1C9C">
              <w:rPr>
                <w:rFonts w:ascii="仿宋" w:eastAsia="仿宋" w:hAnsi="仿宋" w:cs="宋体" w:hint="eastAsia"/>
                <w:color w:val="000000"/>
                <w:szCs w:val="21"/>
                <w:lang w:bidi="ar"/>
              </w:rPr>
              <w:t>网个人</w:t>
            </w:r>
            <w:proofErr w:type="gramEnd"/>
            <w:r w:rsidRPr="00BC1C9C">
              <w:rPr>
                <w:rFonts w:ascii="仿宋" w:eastAsia="仿宋" w:hAnsi="仿宋" w:cs="宋体" w:hint="eastAsia"/>
                <w:color w:val="000000"/>
                <w:szCs w:val="21"/>
                <w:lang w:bidi="ar"/>
              </w:rPr>
              <w:t>账户绑定准入功能；使用手机号加密码登录或手机验证码登录；可与内网天</w:t>
            </w:r>
            <w:proofErr w:type="gramStart"/>
            <w:r w:rsidRPr="00BC1C9C">
              <w:rPr>
                <w:rFonts w:ascii="仿宋" w:eastAsia="仿宋" w:hAnsi="仿宋" w:cs="宋体" w:hint="eastAsia"/>
                <w:color w:val="000000"/>
                <w:szCs w:val="21"/>
                <w:lang w:bidi="ar"/>
              </w:rPr>
              <w:t>擎系统</w:t>
            </w:r>
            <w:proofErr w:type="gramEnd"/>
            <w:r w:rsidRPr="00BC1C9C">
              <w:rPr>
                <w:rFonts w:ascii="仿宋" w:eastAsia="仿宋" w:hAnsi="仿宋" w:cs="宋体" w:hint="eastAsia"/>
                <w:color w:val="000000"/>
                <w:szCs w:val="21"/>
                <w:lang w:bidi="ar"/>
              </w:rPr>
              <w:t>无缝兼容部署。</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▲实现中院网络中的PC终端、哑终端等设备的准入控制管理，实现中院内网终端不安装终端安全管理系统则不允许入网，配备1500个用户准入许可，最大支持5000个终端准入控制。</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▲无需在终端上安装安装任何程序，控制中心支持嵌入到现有终端管理系统，形成统一管理平台；支持应用准入、802.1x准入、Portal准入、终端入网合</w:t>
            </w:r>
            <w:proofErr w:type="gramStart"/>
            <w:r w:rsidRPr="00BC1C9C">
              <w:rPr>
                <w:rFonts w:ascii="仿宋" w:eastAsia="仿宋" w:hAnsi="仿宋" w:cs="宋体" w:hint="eastAsia"/>
                <w:color w:val="000000"/>
                <w:szCs w:val="21"/>
                <w:lang w:bidi="ar"/>
              </w:rPr>
              <w:t>规</w:t>
            </w:r>
            <w:proofErr w:type="gramEnd"/>
            <w:r w:rsidRPr="00BC1C9C">
              <w:rPr>
                <w:rFonts w:ascii="仿宋" w:eastAsia="仿宋" w:hAnsi="仿宋" w:cs="宋体" w:hint="eastAsia"/>
                <w:color w:val="000000"/>
                <w:szCs w:val="21"/>
                <w:lang w:bidi="ar"/>
              </w:rPr>
              <w:t>检查、隔离修复、访问控制等功能。</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▲支持不小于2Gbps数据处理能力，提供6个千兆以太网电口，1TB 硬盘。</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▲支持基于支持web认证入网流程自定义，支持实名认证配合短信认证注册入网，终端管控入网、认证注册+终端管控入网。</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支持基于应用协议的访问控制，可基于IP、协议端口进行访问流量控制。</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▲支持通过自动审批和管理员手动审</w:t>
            </w:r>
            <w:r w:rsidRPr="00BC1C9C">
              <w:rPr>
                <w:rFonts w:ascii="仿宋" w:eastAsia="仿宋" w:hAnsi="仿宋" w:cs="宋体" w:hint="eastAsia"/>
                <w:color w:val="000000"/>
                <w:szCs w:val="21"/>
                <w:lang w:bidi="ar"/>
              </w:rPr>
              <w:lastRenderedPageBreak/>
              <w:t>批两种方式进行用户申请审核，通过具备审批通知功能。</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▲准入控制：支持有线、无线基于应用协议准入方式，准入配置支持保护服务器区域、例外终端等灵活的配置方式，策略检查</w:t>
            </w:r>
            <w:proofErr w:type="gramStart"/>
            <w:r w:rsidRPr="00BC1C9C">
              <w:rPr>
                <w:rFonts w:ascii="仿宋" w:eastAsia="仿宋" w:hAnsi="仿宋" w:cs="宋体" w:hint="eastAsia"/>
                <w:color w:val="000000"/>
                <w:szCs w:val="21"/>
                <w:lang w:bidi="ar"/>
              </w:rPr>
              <w:t>项至少</w:t>
            </w:r>
            <w:proofErr w:type="gramEnd"/>
            <w:r w:rsidRPr="00BC1C9C">
              <w:rPr>
                <w:rFonts w:ascii="仿宋" w:eastAsia="仿宋" w:hAnsi="仿宋" w:cs="宋体" w:hint="eastAsia"/>
                <w:color w:val="000000"/>
                <w:szCs w:val="21"/>
                <w:lang w:bidi="ar"/>
              </w:rPr>
              <w:t>包括：远程桌面、U盘自动运行、防火墙、IP获取方式、文件共享、屏幕保护、空密码、IE代理。</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支持健康合</w:t>
            </w:r>
            <w:proofErr w:type="gramStart"/>
            <w:r w:rsidRPr="00BC1C9C">
              <w:rPr>
                <w:rFonts w:ascii="仿宋" w:eastAsia="仿宋" w:hAnsi="仿宋" w:cs="宋体" w:hint="eastAsia"/>
                <w:color w:val="000000"/>
                <w:szCs w:val="21"/>
                <w:lang w:bidi="ar"/>
              </w:rPr>
              <w:t>规</w:t>
            </w:r>
            <w:proofErr w:type="gramEnd"/>
            <w:r w:rsidRPr="00BC1C9C">
              <w:rPr>
                <w:rFonts w:ascii="仿宋" w:eastAsia="仿宋" w:hAnsi="仿宋" w:cs="宋体" w:hint="eastAsia"/>
                <w:color w:val="000000"/>
                <w:szCs w:val="21"/>
                <w:lang w:bidi="ar"/>
              </w:rPr>
              <w:t>检查策略，采用动态检测技术，</w:t>
            </w:r>
            <w:proofErr w:type="gramStart"/>
            <w:r w:rsidRPr="00BC1C9C">
              <w:rPr>
                <w:rFonts w:ascii="仿宋" w:eastAsia="仿宋" w:hAnsi="仿宋" w:cs="宋体" w:hint="eastAsia"/>
                <w:color w:val="000000"/>
                <w:szCs w:val="21"/>
                <w:lang w:bidi="ar"/>
              </w:rPr>
              <w:t>需支持</w:t>
            </w:r>
            <w:proofErr w:type="gramEnd"/>
            <w:r w:rsidRPr="00BC1C9C">
              <w:rPr>
                <w:rFonts w:ascii="仿宋" w:eastAsia="仿宋" w:hAnsi="仿宋" w:cs="宋体" w:hint="eastAsia"/>
                <w:color w:val="000000"/>
                <w:szCs w:val="21"/>
                <w:lang w:bidi="ar"/>
              </w:rPr>
              <w:t>多种检查机制，至少支持入网检查、定时检查、周期检查机制，针对接入内部网络的计算机终端实行多种安全检查策略，支持分组策略下发控制，拦截不安全终端接入网络。</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▲供货设备与现有天擎系统、</w:t>
            </w:r>
            <w:proofErr w:type="gramStart"/>
            <w:r w:rsidRPr="00BC1C9C">
              <w:rPr>
                <w:rFonts w:ascii="仿宋" w:eastAsia="仿宋" w:hAnsi="仿宋" w:cs="宋体" w:hint="eastAsia"/>
                <w:color w:val="000000"/>
                <w:szCs w:val="21"/>
                <w:lang w:bidi="ar"/>
              </w:rPr>
              <w:t>网神防火墙</w:t>
            </w:r>
            <w:proofErr w:type="gramEnd"/>
            <w:r w:rsidRPr="00BC1C9C">
              <w:rPr>
                <w:rFonts w:ascii="仿宋" w:eastAsia="仿宋" w:hAnsi="仿宋" w:cs="宋体" w:hint="eastAsia"/>
                <w:color w:val="000000"/>
                <w:szCs w:val="21"/>
                <w:lang w:bidi="ar"/>
              </w:rPr>
              <w:t>等安全设备共同达到基础网络系统</w:t>
            </w:r>
            <w:proofErr w:type="gramStart"/>
            <w:r w:rsidRPr="00BC1C9C">
              <w:rPr>
                <w:rFonts w:ascii="仿宋" w:eastAsia="仿宋" w:hAnsi="仿宋" w:cs="宋体" w:hint="eastAsia"/>
                <w:color w:val="000000"/>
                <w:szCs w:val="21"/>
                <w:lang w:bidi="ar"/>
              </w:rPr>
              <w:t>的等保</w:t>
            </w:r>
            <w:proofErr w:type="gramEnd"/>
            <w:r w:rsidRPr="00BC1C9C">
              <w:rPr>
                <w:rFonts w:ascii="仿宋" w:eastAsia="仿宋" w:hAnsi="仿宋" w:cs="宋体" w:hint="eastAsia"/>
                <w:color w:val="000000"/>
                <w:szCs w:val="21"/>
                <w:lang w:bidi="ar"/>
              </w:rPr>
              <w:t>2.0</w:t>
            </w:r>
            <w:proofErr w:type="gramStart"/>
            <w:r w:rsidRPr="00BC1C9C">
              <w:rPr>
                <w:rFonts w:ascii="仿宋" w:eastAsia="仿宋" w:hAnsi="仿宋" w:cs="宋体" w:hint="eastAsia"/>
                <w:color w:val="000000"/>
                <w:szCs w:val="21"/>
                <w:lang w:bidi="ar"/>
              </w:rPr>
              <w:t>三</w:t>
            </w:r>
            <w:proofErr w:type="gramEnd"/>
            <w:r w:rsidRPr="00BC1C9C">
              <w:rPr>
                <w:rFonts w:ascii="仿宋" w:eastAsia="仿宋" w:hAnsi="仿宋" w:cs="宋体" w:hint="eastAsia"/>
                <w:color w:val="000000"/>
                <w:szCs w:val="21"/>
                <w:lang w:bidi="ar"/>
              </w:rPr>
              <w:t>级标准。（在</w:t>
            </w:r>
            <w:r w:rsidRPr="00BC1C9C">
              <w:rPr>
                <w:rFonts w:ascii="仿宋" w:eastAsia="仿宋" w:hAnsi="仿宋" w:cs="宋体"/>
                <w:color w:val="000000"/>
                <w:szCs w:val="21"/>
                <w:lang w:bidi="ar"/>
              </w:rPr>
              <w:t>投标文件中提供承诺函，格式自拟</w:t>
            </w:r>
            <w:r w:rsidRPr="00BC1C9C">
              <w:rPr>
                <w:rFonts w:ascii="仿宋" w:eastAsia="仿宋" w:hAnsi="仿宋" w:cs="宋体" w:hint="eastAsia"/>
                <w:color w:val="000000"/>
                <w:szCs w:val="21"/>
                <w:lang w:bidi="ar"/>
              </w:rPr>
              <w:t>）</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▲生产厂商产品满足《法院专网网络准入和主机防护技术规范》FYB/T 53006-2020，产品厂商是CNCERT网络安全应急服务国家级支撑单位。</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14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内网安全准入</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rPr>
              <w:t>★</w:t>
            </w:r>
            <w:r w:rsidRPr="00BC1C9C">
              <w:rPr>
                <w:rFonts w:ascii="仿宋" w:eastAsia="仿宋" w:hAnsi="仿宋" w:cs="宋体" w:hint="eastAsia"/>
                <w:color w:val="000000"/>
                <w:szCs w:val="21"/>
                <w:lang w:bidi="ar"/>
              </w:rPr>
              <w:t>为确保网络安全，内网准入默认1500点位授权，上限可扩展≥2000点位；满足成都中院三个区内网上网天</w:t>
            </w:r>
            <w:proofErr w:type="gramStart"/>
            <w:r w:rsidRPr="00BC1C9C">
              <w:rPr>
                <w:rFonts w:ascii="仿宋" w:eastAsia="仿宋" w:hAnsi="仿宋" w:cs="宋体" w:hint="eastAsia"/>
                <w:color w:val="000000"/>
                <w:szCs w:val="21"/>
                <w:lang w:bidi="ar"/>
              </w:rPr>
              <w:t>擎系统</w:t>
            </w:r>
            <w:proofErr w:type="gramEnd"/>
            <w:r w:rsidRPr="00BC1C9C">
              <w:rPr>
                <w:rFonts w:ascii="仿宋" w:eastAsia="仿宋" w:hAnsi="仿宋" w:cs="宋体" w:hint="eastAsia"/>
                <w:color w:val="000000"/>
                <w:szCs w:val="21"/>
                <w:lang w:bidi="ar"/>
              </w:rPr>
              <w:t>兼容准入功能，兼容天</w:t>
            </w:r>
            <w:proofErr w:type="gramStart"/>
            <w:r w:rsidRPr="00BC1C9C">
              <w:rPr>
                <w:rFonts w:ascii="仿宋" w:eastAsia="仿宋" w:hAnsi="仿宋" w:cs="宋体" w:hint="eastAsia"/>
                <w:color w:val="000000"/>
                <w:szCs w:val="21"/>
                <w:lang w:bidi="ar"/>
              </w:rPr>
              <w:t>擎管理</w:t>
            </w:r>
            <w:proofErr w:type="gramEnd"/>
            <w:r w:rsidRPr="00BC1C9C">
              <w:rPr>
                <w:rFonts w:ascii="仿宋" w:eastAsia="仿宋" w:hAnsi="仿宋" w:cs="宋体" w:hint="eastAsia"/>
                <w:color w:val="000000"/>
                <w:szCs w:val="21"/>
                <w:lang w:bidi="ar"/>
              </w:rPr>
              <w:t>上网权限。</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▲实现中院网络中的PC终端、哑终端等设备的准入控制管理，实现中院内网终端不安装终端安全管理系统则不允许入网，配备1500个用户准入许可，最大支持5000个终端准入控制。</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▲无需在终端上安装安装任何程序，控制中心支持嵌入到现有终端管理系统，形成统一管理平台；支持应用准入、802.1x准入、Portal准入、终端入网合</w:t>
            </w:r>
            <w:proofErr w:type="gramStart"/>
            <w:r w:rsidRPr="00BC1C9C">
              <w:rPr>
                <w:rFonts w:ascii="仿宋" w:eastAsia="仿宋" w:hAnsi="仿宋" w:cs="宋体" w:hint="eastAsia"/>
                <w:color w:val="000000"/>
                <w:szCs w:val="21"/>
                <w:lang w:bidi="ar"/>
              </w:rPr>
              <w:t>规</w:t>
            </w:r>
            <w:proofErr w:type="gramEnd"/>
            <w:r w:rsidRPr="00BC1C9C">
              <w:rPr>
                <w:rFonts w:ascii="仿宋" w:eastAsia="仿宋" w:hAnsi="仿宋" w:cs="宋体" w:hint="eastAsia"/>
                <w:color w:val="000000"/>
                <w:szCs w:val="21"/>
                <w:lang w:bidi="ar"/>
              </w:rPr>
              <w:t>检查、隔离修复、访问控制等功能。</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rPr>
              <w:t>▲</w:t>
            </w:r>
            <w:r w:rsidRPr="00BC1C9C">
              <w:rPr>
                <w:rFonts w:ascii="仿宋" w:eastAsia="仿宋" w:hAnsi="仿宋" w:cs="宋体" w:hint="eastAsia"/>
                <w:color w:val="000000"/>
                <w:szCs w:val="21"/>
                <w:lang w:bidi="ar"/>
              </w:rPr>
              <w:t>支持不小于2Gbps数据处理能力，</w:t>
            </w:r>
            <w:r w:rsidRPr="00BC1C9C">
              <w:rPr>
                <w:rFonts w:ascii="仿宋" w:eastAsia="仿宋" w:hAnsi="仿宋" w:cs="宋体" w:hint="eastAsia"/>
                <w:color w:val="000000"/>
                <w:szCs w:val="21"/>
                <w:lang w:bidi="ar"/>
              </w:rPr>
              <w:lastRenderedPageBreak/>
              <w:t>提供6个千兆以太网电口，1TB 硬盘。</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▲支持基于支持web认证入网流程自定义，支持实名认证配合短信认证注册入网，终端管控入网、认证注册+终端管控入网。</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支持基于应用协议的访问控制，可基于IP、协议端口进行访问流量控制。</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▲支持通过自动审批和管理员手动审批两种方式进行用户申请审核，通过具备审批通知功能。</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▲准入控制：支持有线、无线基于应用协议准入方式，准入配置支持保护服务器区域、例外终端等灵活的配置方式，策略检查</w:t>
            </w:r>
            <w:proofErr w:type="gramStart"/>
            <w:r w:rsidRPr="00BC1C9C">
              <w:rPr>
                <w:rFonts w:ascii="仿宋" w:eastAsia="仿宋" w:hAnsi="仿宋" w:cs="宋体" w:hint="eastAsia"/>
                <w:color w:val="000000"/>
                <w:szCs w:val="21"/>
                <w:lang w:bidi="ar"/>
              </w:rPr>
              <w:t>项至少</w:t>
            </w:r>
            <w:proofErr w:type="gramEnd"/>
            <w:r w:rsidRPr="00BC1C9C">
              <w:rPr>
                <w:rFonts w:ascii="仿宋" w:eastAsia="仿宋" w:hAnsi="仿宋" w:cs="宋体" w:hint="eastAsia"/>
                <w:color w:val="000000"/>
                <w:szCs w:val="21"/>
                <w:lang w:bidi="ar"/>
              </w:rPr>
              <w:t>包括：远程桌面、U盘自动运行、防火墙、IP获取方式、文件共享、屏幕保护、空密码、IE代理。</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支持健康合</w:t>
            </w:r>
            <w:proofErr w:type="gramStart"/>
            <w:r w:rsidRPr="00BC1C9C">
              <w:rPr>
                <w:rFonts w:ascii="仿宋" w:eastAsia="仿宋" w:hAnsi="仿宋" w:cs="宋体" w:hint="eastAsia"/>
                <w:color w:val="000000"/>
                <w:szCs w:val="21"/>
                <w:lang w:bidi="ar"/>
              </w:rPr>
              <w:t>规</w:t>
            </w:r>
            <w:proofErr w:type="gramEnd"/>
            <w:r w:rsidRPr="00BC1C9C">
              <w:rPr>
                <w:rFonts w:ascii="仿宋" w:eastAsia="仿宋" w:hAnsi="仿宋" w:cs="宋体" w:hint="eastAsia"/>
                <w:color w:val="000000"/>
                <w:szCs w:val="21"/>
                <w:lang w:bidi="ar"/>
              </w:rPr>
              <w:t>检查策略，采用动态检测技术，</w:t>
            </w:r>
            <w:proofErr w:type="gramStart"/>
            <w:r w:rsidRPr="00BC1C9C">
              <w:rPr>
                <w:rFonts w:ascii="仿宋" w:eastAsia="仿宋" w:hAnsi="仿宋" w:cs="宋体" w:hint="eastAsia"/>
                <w:color w:val="000000"/>
                <w:szCs w:val="21"/>
                <w:lang w:bidi="ar"/>
              </w:rPr>
              <w:t>需支持</w:t>
            </w:r>
            <w:proofErr w:type="gramEnd"/>
            <w:r w:rsidRPr="00BC1C9C">
              <w:rPr>
                <w:rFonts w:ascii="仿宋" w:eastAsia="仿宋" w:hAnsi="仿宋" w:cs="宋体" w:hint="eastAsia"/>
                <w:color w:val="000000"/>
                <w:szCs w:val="21"/>
                <w:lang w:bidi="ar"/>
              </w:rPr>
              <w:t>多种检查机制，至少支持入网检查、定时检查、周期检查机制，针对接入内部网络的计算机终端实行多种安全检查策略，支持分组策略下发控制，拦截不安全终端接入网络；</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▲供货设备与现有天擎系统、</w:t>
            </w:r>
            <w:proofErr w:type="gramStart"/>
            <w:r w:rsidRPr="00BC1C9C">
              <w:rPr>
                <w:rFonts w:ascii="仿宋" w:eastAsia="仿宋" w:hAnsi="仿宋" w:cs="宋体" w:hint="eastAsia"/>
                <w:color w:val="000000"/>
                <w:szCs w:val="21"/>
                <w:lang w:bidi="ar"/>
              </w:rPr>
              <w:t>网神防火墙</w:t>
            </w:r>
            <w:proofErr w:type="gramEnd"/>
            <w:r w:rsidRPr="00BC1C9C">
              <w:rPr>
                <w:rFonts w:ascii="仿宋" w:eastAsia="仿宋" w:hAnsi="仿宋" w:cs="宋体" w:hint="eastAsia"/>
                <w:color w:val="000000"/>
                <w:szCs w:val="21"/>
                <w:lang w:bidi="ar"/>
              </w:rPr>
              <w:t>等安全设备共同达到基础网络系统</w:t>
            </w:r>
            <w:proofErr w:type="gramStart"/>
            <w:r w:rsidRPr="00BC1C9C">
              <w:rPr>
                <w:rFonts w:ascii="仿宋" w:eastAsia="仿宋" w:hAnsi="仿宋" w:cs="宋体" w:hint="eastAsia"/>
                <w:color w:val="000000"/>
                <w:szCs w:val="21"/>
                <w:lang w:bidi="ar"/>
              </w:rPr>
              <w:t>的等保</w:t>
            </w:r>
            <w:proofErr w:type="gramEnd"/>
            <w:r w:rsidRPr="00BC1C9C">
              <w:rPr>
                <w:rFonts w:ascii="仿宋" w:eastAsia="仿宋" w:hAnsi="仿宋" w:cs="宋体" w:hint="eastAsia"/>
                <w:color w:val="000000"/>
                <w:szCs w:val="21"/>
                <w:lang w:bidi="ar"/>
              </w:rPr>
              <w:t>2.0</w:t>
            </w:r>
            <w:proofErr w:type="gramStart"/>
            <w:r w:rsidRPr="00BC1C9C">
              <w:rPr>
                <w:rFonts w:ascii="仿宋" w:eastAsia="仿宋" w:hAnsi="仿宋" w:cs="宋体" w:hint="eastAsia"/>
                <w:color w:val="000000"/>
                <w:szCs w:val="21"/>
                <w:lang w:bidi="ar"/>
              </w:rPr>
              <w:t>三</w:t>
            </w:r>
            <w:proofErr w:type="gramEnd"/>
            <w:r w:rsidRPr="00BC1C9C">
              <w:rPr>
                <w:rFonts w:ascii="仿宋" w:eastAsia="仿宋" w:hAnsi="仿宋" w:cs="宋体" w:hint="eastAsia"/>
                <w:color w:val="000000"/>
                <w:szCs w:val="21"/>
                <w:lang w:bidi="ar"/>
              </w:rPr>
              <w:t>级标准。</w:t>
            </w:r>
            <w:r w:rsidRPr="00BC1C9C">
              <w:rPr>
                <w:rFonts w:ascii="仿宋" w:eastAsia="仿宋" w:hAnsi="仿宋" w:cs="宋体"/>
                <w:color w:val="000000"/>
                <w:szCs w:val="21"/>
                <w:lang w:bidi="ar"/>
              </w:rPr>
              <w:t>（</w:t>
            </w:r>
            <w:r w:rsidRPr="00BC1C9C">
              <w:rPr>
                <w:rFonts w:ascii="仿宋" w:eastAsia="仿宋" w:hAnsi="仿宋" w:cs="宋体" w:hint="eastAsia"/>
                <w:color w:val="000000"/>
                <w:szCs w:val="21"/>
                <w:lang w:bidi="ar"/>
              </w:rPr>
              <w:t>在</w:t>
            </w:r>
            <w:r w:rsidRPr="00BC1C9C">
              <w:rPr>
                <w:rFonts w:ascii="仿宋" w:eastAsia="仿宋" w:hAnsi="仿宋" w:cs="宋体"/>
                <w:color w:val="000000"/>
                <w:szCs w:val="21"/>
                <w:lang w:bidi="ar"/>
              </w:rPr>
              <w:t>投标文件中提供承诺函，格式自拟）</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▲生产厂商产品满足《法院专网网络准入和主机防护技术规范》FYB/T 53006-2020，产品厂商是CNCERT网络安全应急服务国家级支撑单位。</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15</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硬件系统扩容</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扩容硬盘（一）</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应配置容量为6TB，转速为7.2K的SAS磁盘。</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w:t>
            </w:r>
            <w:r w:rsidRPr="00BC1C9C">
              <w:rPr>
                <w:rFonts w:ascii="仿宋" w:eastAsia="仿宋" w:hAnsi="仿宋" w:cs="宋体" w:hint="eastAsia"/>
                <w:color w:val="000000"/>
                <w:szCs w:val="21"/>
                <w:lang w:bidi="ar"/>
              </w:rPr>
              <w:lastRenderedPageBreak/>
              <w:t>本）</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★在投标文件中承诺供货时提供原厂商3年质保与服务承诺函（原件）（若</w:t>
            </w:r>
            <w:r w:rsidRPr="00BC1C9C">
              <w:rPr>
                <w:rFonts w:ascii="仿宋" w:eastAsia="仿宋" w:hAnsi="仿宋" w:cs="宋体"/>
                <w:color w:val="000000"/>
                <w:szCs w:val="21"/>
                <w:lang w:bidi="ar"/>
              </w:rPr>
              <w:t>供货时无</w:t>
            </w:r>
            <w:r w:rsidRPr="00BC1C9C">
              <w:rPr>
                <w:rFonts w:ascii="仿宋" w:eastAsia="仿宋" w:hAnsi="仿宋" w:cs="宋体" w:hint="eastAsia"/>
                <w:color w:val="000000"/>
                <w:szCs w:val="21"/>
                <w:lang w:bidi="ar"/>
              </w:rPr>
              <w:t>法</w:t>
            </w:r>
            <w:r w:rsidRPr="00BC1C9C">
              <w:rPr>
                <w:rFonts w:ascii="仿宋" w:eastAsia="仿宋" w:hAnsi="仿宋" w:cs="宋体"/>
                <w:color w:val="000000"/>
                <w:szCs w:val="21"/>
                <w:lang w:bidi="ar"/>
              </w:rPr>
              <w:t>提供采购人</w:t>
            </w:r>
            <w:r w:rsidRPr="00BC1C9C">
              <w:rPr>
                <w:rFonts w:ascii="仿宋" w:eastAsia="仿宋" w:hAnsi="仿宋" w:cs="宋体" w:hint="eastAsia"/>
                <w:color w:val="000000"/>
                <w:szCs w:val="21"/>
                <w:lang w:bidi="ar"/>
              </w:rPr>
              <w:t>将</w:t>
            </w:r>
            <w:r w:rsidRPr="00BC1C9C">
              <w:rPr>
                <w:rFonts w:ascii="仿宋" w:eastAsia="仿宋" w:hAnsi="仿宋" w:cs="宋体"/>
                <w:color w:val="000000"/>
                <w:szCs w:val="21"/>
                <w:lang w:bidi="ar"/>
              </w:rPr>
              <w:t>拒绝收货</w:t>
            </w:r>
            <w:r w:rsidRPr="00BC1C9C">
              <w:rPr>
                <w:rFonts w:ascii="仿宋" w:eastAsia="仿宋" w:hAnsi="仿宋" w:cs="宋体" w:hint="eastAsia"/>
                <w:color w:val="000000"/>
                <w:szCs w:val="21"/>
                <w:lang w:bidi="ar"/>
              </w:rPr>
              <w:t>）</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72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6T，原有SC460存储柜2个，本次每柜配置36块</w:t>
            </w: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16</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扩容硬盘（二）</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应配置容量为2.4TB，转速为10K的SAS磁盘。</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本）。</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2.4T 10K SAS，原有SC420存储柜2个，本次每柜配置6块</w:t>
            </w: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17</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扩容硬盘（三）</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应配置容量为10TB，转速为7.2K的SAS磁盘；应自带硬盘托架。</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16</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3.5寸 7.2k 10TB硬盘，本部和东区原有2套磁盘柜，每套配8块</w:t>
            </w: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18</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存储扩展柜（一）</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★应支持在线无缝添加至现有存储系统中，与现有存储系统形成统一存储资源池，实现在现有存储管理界面下进行统一管理；不影响前端应用，不需要</w:t>
            </w:r>
            <w:proofErr w:type="gramStart"/>
            <w:r w:rsidRPr="00BC1C9C">
              <w:rPr>
                <w:rFonts w:ascii="仿宋" w:eastAsia="仿宋" w:hAnsi="仿宋" w:cs="宋体" w:hint="eastAsia"/>
                <w:color w:val="000000"/>
                <w:szCs w:val="21"/>
                <w:lang w:bidi="ar"/>
              </w:rPr>
              <w:t>宕</w:t>
            </w:r>
            <w:proofErr w:type="gramEnd"/>
            <w:r w:rsidRPr="00BC1C9C">
              <w:rPr>
                <w:rFonts w:ascii="仿宋" w:eastAsia="仿宋" w:hAnsi="仿宋" w:cs="宋体" w:hint="eastAsia"/>
                <w:color w:val="000000"/>
                <w:szCs w:val="21"/>
                <w:lang w:bidi="ar"/>
              </w:rPr>
              <w:t>机时间，不需要进行数据迁移等操作。</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机柜高度不超过4U，硬盘槽位不少于60个，应配置不少于6块容量为12TB.转速为7.2K的SAS磁盘，应包含冗余电源模块.电源线.冗余SAS线缆.机架导轨。</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w:t>
            </w:r>
            <w:r w:rsidRPr="00BC1C9C">
              <w:rPr>
                <w:rFonts w:ascii="仿宋" w:eastAsia="仿宋" w:hAnsi="仿宋" w:cs="宋体" w:hint="eastAsia"/>
                <w:color w:val="000000"/>
                <w:szCs w:val="21"/>
                <w:lang w:bidi="ar"/>
              </w:rPr>
              <w:lastRenderedPageBreak/>
              <w:t>本）。</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要求单柜</w:t>
            </w:r>
            <w:proofErr w:type="gramEnd"/>
            <w:r w:rsidRPr="00BC1C9C">
              <w:rPr>
                <w:rFonts w:ascii="仿宋" w:eastAsia="仿宋" w:hAnsi="仿宋" w:cs="宋体" w:hint="eastAsia"/>
                <w:color w:val="000000"/>
                <w:szCs w:val="21"/>
                <w:lang w:bidi="ar"/>
              </w:rPr>
              <w:t>≥60盘位，每台含配置≥6块12T NL-SAS硬盘</w:t>
            </w: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19</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存储扩展柜（二）</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机柜高度不超过2U，硬盘槽位不少于24个，应配置不少于6块容量为2.4TB、转速为10K的SAS磁盘，应包含冗余电源模块、电源线、冗余SAS线缆、机架导轨。</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本）。</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要求单柜</w:t>
            </w:r>
            <w:proofErr w:type="gramEnd"/>
            <w:r w:rsidRPr="00BC1C9C">
              <w:rPr>
                <w:rFonts w:ascii="仿宋" w:eastAsia="仿宋" w:hAnsi="仿宋" w:cs="宋体" w:hint="eastAsia"/>
                <w:color w:val="000000"/>
                <w:szCs w:val="21"/>
                <w:lang w:bidi="ar"/>
              </w:rPr>
              <w:t>≥24盘位，每台配置≥6块2.4T 10K SAS硬盘</w:t>
            </w: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20</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磁盘存储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应配置双活存储控制器,应具有自动化I/O路径故障转移功能。</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★应配置双控制器≥16 GB高速缓存，缓存应具有保护机制保证数据不丢失。</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★应具有≥8个10Gb Base-T存储端口。</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▲应配置≥28块容量为16TB、转速为7.2K的SAS硬盘。</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应支持RAID 0, 1, 5, 6, 10, 50；单个阵列中应支持 RAID 级别的任意组合；应支持RAID级别迁移功能.RAID在线扩容功能；应支持在不重建数据的前提下，在线更改现有驱动器</w:t>
            </w:r>
            <w:proofErr w:type="gramStart"/>
            <w:r w:rsidRPr="00BC1C9C">
              <w:rPr>
                <w:rFonts w:ascii="仿宋" w:eastAsia="仿宋" w:hAnsi="仿宋" w:cs="宋体" w:hint="eastAsia"/>
                <w:color w:val="000000"/>
                <w:szCs w:val="21"/>
                <w:lang w:bidi="ar"/>
              </w:rPr>
              <w:t>上卷组</w:t>
            </w:r>
            <w:proofErr w:type="gramEnd"/>
            <w:r w:rsidRPr="00BC1C9C">
              <w:rPr>
                <w:rFonts w:ascii="仿宋" w:eastAsia="仿宋" w:hAnsi="仿宋" w:cs="宋体" w:hint="eastAsia"/>
                <w:color w:val="000000"/>
                <w:szCs w:val="21"/>
                <w:lang w:bidi="ar"/>
              </w:rPr>
              <w:t>的RAID级别；应支持管理员在不中断对现有数据访问的前提下，添加新驱动器模块.</w:t>
            </w:r>
            <w:proofErr w:type="gramStart"/>
            <w:r w:rsidRPr="00BC1C9C">
              <w:rPr>
                <w:rFonts w:ascii="仿宋" w:eastAsia="仿宋" w:hAnsi="仿宋" w:cs="宋体" w:hint="eastAsia"/>
                <w:color w:val="000000"/>
                <w:szCs w:val="21"/>
                <w:lang w:bidi="ar"/>
              </w:rPr>
              <w:t>配置卷组和</w:t>
            </w:r>
            <w:proofErr w:type="gramEnd"/>
            <w:r w:rsidRPr="00BC1C9C">
              <w:rPr>
                <w:rFonts w:ascii="仿宋" w:eastAsia="仿宋" w:hAnsi="仿宋" w:cs="宋体" w:hint="eastAsia"/>
                <w:color w:val="000000"/>
                <w:szCs w:val="21"/>
                <w:lang w:bidi="ar"/>
              </w:rPr>
              <w:t>创建卷。</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应支持专属热备盘和全局热备盘，全局热备盘不限定热备盘的位置，可提供跨</w:t>
            </w:r>
            <w:proofErr w:type="gramStart"/>
            <w:r w:rsidRPr="00BC1C9C">
              <w:rPr>
                <w:rFonts w:ascii="仿宋" w:eastAsia="仿宋" w:hAnsi="仿宋" w:cs="宋体" w:hint="eastAsia"/>
                <w:color w:val="000000"/>
                <w:szCs w:val="21"/>
                <w:lang w:bidi="ar"/>
              </w:rPr>
              <w:t>框热</w:t>
            </w:r>
            <w:r w:rsidRPr="00BC1C9C">
              <w:rPr>
                <w:rFonts w:ascii="仿宋" w:eastAsia="仿宋" w:hAnsi="仿宋" w:cs="宋体" w:hint="eastAsia"/>
                <w:color w:val="000000"/>
                <w:szCs w:val="21"/>
                <w:lang w:bidi="ar"/>
              </w:rPr>
              <w:lastRenderedPageBreak/>
              <w:t>备</w:t>
            </w:r>
            <w:proofErr w:type="gramEnd"/>
            <w:r w:rsidRPr="00BC1C9C">
              <w:rPr>
                <w:rFonts w:ascii="仿宋" w:eastAsia="仿宋" w:hAnsi="仿宋" w:cs="宋体" w:hint="eastAsia"/>
                <w:color w:val="000000"/>
                <w:szCs w:val="21"/>
                <w:lang w:bidi="ar"/>
              </w:rPr>
              <w:t>服务。</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▲应支持SSD固态磁盘与SAS硬盘的混插，且支持SSD缓存加速功能。</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★应支持≥260块磁盘接入,同时支持自动化驱动器故障转移、检测和重建。</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▲单套存储系统支持不少于3.1PB容量。</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具有基于HTML5的存储管理平台,在单一管理界面实现存储管理和监控，具备集中监控接口，能使用单一的监控平台对多台同类存储进行监控，监控存储的运行状况并报告其详细状态.存储系统性能等，配置警报通知等相关管理操作。</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应具有配置虚拟资源调配功能。</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应具有虚拟化软件接口。</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▲应具有数据分层功能，支持基于不同磁盘介质的三层数据分层功能。</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▲应具有本地数据保护功能，可对相应时间点快照进行回滚来快速恢复数据；每个阵列可支持不少于1024个快照；应具有同一存储中的卷之间的本地复制功能。</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▲应具有远程数据保护功能：应配置远程数据镜像复制软件，复制软件应基于阵列；支持两个存储之间的连续数据复制功能，并能记录多组写操作。</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应采用冗余存储架构设计,支持冗余电源.冗余风扇和磁盘驱动器热插拔,支持在线更换故障部件。</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一套性能分析软件，软件无代理程序，应支持远程运行，应能收集磁盘IO、吞吐量、容量、CPU、内存使用率、IO延时、队列深度、读写比例等指标，应支持windows，VMWARE，Linux系统。应能生成中文分析报告。（提供原厂性能分析软件官方彩页及测试报告分析样本一份）</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要求单柜</w:t>
            </w:r>
            <w:proofErr w:type="gramEnd"/>
            <w:r w:rsidRPr="00BC1C9C">
              <w:rPr>
                <w:rFonts w:ascii="仿宋" w:eastAsia="仿宋" w:hAnsi="仿宋" w:cs="宋体" w:hint="eastAsia"/>
                <w:color w:val="000000"/>
                <w:szCs w:val="21"/>
                <w:lang w:bidi="ar"/>
              </w:rPr>
              <w:t>≥84盘位，每台配置≥28块16T 7.2K SAS硬盘</w:t>
            </w: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21</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虚拟化专用机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rPr>
              <w:t>135.</w:t>
            </w:r>
            <w:r w:rsidRPr="00BC1C9C">
              <w:rPr>
                <w:rFonts w:ascii="仿宋" w:eastAsia="仿宋" w:hAnsi="仿宋" w:cs="宋体" w:hint="eastAsia"/>
                <w:color w:val="000000"/>
                <w:szCs w:val="21"/>
                <w:lang w:bidi="ar"/>
              </w:rPr>
              <w:t>机架式设备，高度≤4U，</w:t>
            </w:r>
            <w:proofErr w:type="gramStart"/>
            <w:r w:rsidRPr="00BC1C9C">
              <w:rPr>
                <w:rFonts w:ascii="仿宋" w:eastAsia="仿宋" w:hAnsi="仿宋" w:cs="宋体" w:hint="eastAsia"/>
                <w:color w:val="000000"/>
                <w:szCs w:val="21"/>
                <w:lang w:bidi="ar"/>
              </w:rPr>
              <w:t>免工具</w:t>
            </w:r>
            <w:proofErr w:type="gramEnd"/>
            <w:r w:rsidRPr="00BC1C9C">
              <w:rPr>
                <w:rFonts w:ascii="仿宋" w:eastAsia="仿宋" w:hAnsi="仿宋" w:cs="宋体" w:hint="eastAsia"/>
                <w:color w:val="000000"/>
                <w:szCs w:val="21"/>
                <w:lang w:bidi="ar"/>
              </w:rPr>
              <w:t>开箱和部件维护设计，应具有可编程LCD和锁的面板。</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★应配置≥4颗且性能≥要求完全支持兼容现有虚拟化软件和虚拟</w:t>
            </w:r>
            <w:proofErr w:type="gramStart"/>
            <w:r w:rsidRPr="00BC1C9C">
              <w:rPr>
                <w:rFonts w:ascii="仿宋" w:eastAsia="仿宋" w:hAnsi="仿宋" w:cs="宋体" w:hint="eastAsia"/>
                <w:color w:val="000000"/>
                <w:szCs w:val="21"/>
                <w:lang w:bidi="ar"/>
              </w:rPr>
              <w:t>池资源</w:t>
            </w:r>
            <w:proofErr w:type="gramEnd"/>
            <w:r w:rsidRPr="00BC1C9C">
              <w:rPr>
                <w:rFonts w:ascii="仿宋" w:eastAsia="仿宋" w:hAnsi="仿宋" w:cs="宋体" w:hint="eastAsia"/>
                <w:color w:val="000000"/>
                <w:szCs w:val="21"/>
                <w:lang w:bidi="ar"/>
              </w:rPr>
              <w:t>合并服务的英特尔</w:t>
            </w:r>
            <w:r w:rsidRPr="00BC1C9C">
              <w:rPr>
                <w:rFonts w:ascii="宋体" w:eastAsia="宋体" w:hAnsi="宋体" w:cs="宋体" w:hint="eastAsia"/>
                <w:color w:val="000000"/>
                <w:szCs w:val="21"/>
                <w:lang w:bidi="ar"/>
              </w:rPr>
              <w:t>®</w:t>
            </w:r>
            <w:r w:rsidRPr="00BC1C9C">
              <w:rPr>
                <w:rFonts w:ascii="仿宋" w:eastAsia="仿宋" w:hAnsi="仿宋" w:cs="宋体" w:hint="eastAsia"/>
                <w:color w:val="000000"/>
                <w:szCs w:val="21"/>
                <w:lang w:bidi="ar"/>
              </w:rPr>
              <w:t>至强</w:t>
            </w:r>
            <w:r w:rsidRPr="00BC1C9C">
              <w:rPr>
                <w:rFonts w:ascii="宋体" w:eastAsia="宋体" w:hAnsi="宋体" w:cs="宋体" w:hint="eastAsia"/>
                <w:color w:val="000000"/>
                <w:szCs w:val="21"/>
                <w:lang w:bidi="ar"/>
              </w:rPr>
              <w:t>®</w:t>
            </w:r>
            <w:r w:rsidRPr="00BC1C9C">
              <w:rPr>
                <w:rFonts w:ascii="仿宋" w:eastAsia="仿宋" w:hAnsi="仿宋" w:cs="宋体" w:hint="eastAsia"/>
                <w:color w:val="000000"/>
                <w:szCs w:val="21"/>
                <w:lang w:bidi="ar"/>
              </w:rPr>
              <w:t>金牌6254相同系列的可扩展处理器（要求单颗≥3.1G,≥18C/36T,≥24.75M缓存）。</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32个，单条容量≥32GB，颗粒和速率≥DDR4-3200MT/s内存，应具有≥48个内存插槽，内存最大扩展≥6TB；支持NVDIMM，最大预留持久内存槽位≥12个，最大容量支持384GB；支持DCPMM，最大预留持久内存槽位≥24个，最大容量支持12TB（提供</w:t>
            </w:r>
            <w:proofErr w:type="gramStart"/>
            <w:r w:rsidRPr="00BC1C9C">
              <w:rPr>
                <w:rFonts w:ascii="仿宋" w:eastAsia="仿宋" w:hAnsi="仿宋" w:cs="宋体" w:hint="eastAsia"/>
                <w:color w:val="000000"/>
                <w:szCs w:val="21"/>
                <w:lang w:bidi="ar"/>
              </w:rPr>
              <w:t>官网截图证明</w:t>
            </w:r>
            <w:proofErr w:type="gramEnd"/>
            <w:r w:rsidRPr="00BC1C9C">
              <w:rPr>
                <w:rFonts w:ascii="仿宋" w:eastAsia="仿宋" w:hAnsi="仿宋" w:cs="宋体" w:hint="eastAsia"/>
                <w:color w:val="000000"/>
                <w:szCs w:val="21"/>
                <w:lang w:bidi="ar"/>
              </w:rPr>
              <w:t>及链接或其他相关证明材料，加盖鲜章）。</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★应配置≥2块960GB SSD硬盘，配置≥32个2.5寸硬盘插槽（提供</w:t>
            </w:r>
            <w:proofErr w:type="gramStart"/>
            <w:r w:rsidRPr="00BC1C9C">
              <w:rPr>
                <w:rFonts w:ascii="仿宋" w:eastAsia="仿宋" w:hAnsi="仿宋" w:cs="宋体" w:hint="eastAsia"/>
                <w:color w:val="000000"/>
                <w:szCs w:val="21"/>
                <w:lang w:bidi="ar"/>
              </w:rPr>
              <w:t>官网截图证明</w:t>
            </w:r>
            <w:proofErr w:type="gramEnd"/>
            <w:r w:rsidRPr="00BC1C9C">
              <w:rPr>
                <w:rFonts w:ascii="仿宋" w:eastAsia="仿宋" w:hAnsi="仿宋" w:cs="宋体" w:hint="eastAsia"/>
                <w:color w:val="000000"/>
                <w:szCs w:val="21"/>
                <w:lang w:bidi="ar"/>
              </w:rPr>
              <w:t>及链接或其他相关证明材料，加盖鲜章）。</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▲应配置Raid卡，缓存≥2GB，应支持RAID 0.1.5.6。</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★应配置≥2个1GbE以太网端口和≥4个万兆光网口（已</w:t>
            </w:r>
            <w:proofErr w:type="gramStart"/>
            <w:r w:rsidRPr="00BC1C9C">
              <w:rPr>
                <w:rFonts w:ascii="仿宋" w:eastAsia="仿宋" w:hAnsi="仿宋" w:cs="宋体" w:hint="eastAsia"/>
                <w:color w:val="000000"/>
                <w:szCs w:val="21"/>
                <w:lang w:bidi="ar"/>
              </w:rPr>
              <w:t>内含光</w:t>
            </w:r>
            <w:proofErr w:type="gramEnd"/>
            <w:r w:rsidRPr="00BC1C9C">
              <w:rPr>
                <w:rFonts w:ascii="仿宋" w:eastAsia="仿宋" w:hAnsi="仿宋" w:cs="宋体" w:hint="eastAsia"/>
                <w:color w:val="000000"/>
                <w:szCs w:val="21"/>
                <w:lang w:bidi="ar"/>
              </w:rPr>
              <w:t>模块），应配置≥2个16Gb双端口FC接口卡（已</w:t>
            </w:r>
            <w:proofErr w:type="gramStart"/>
            <w:r w:rsidRPr="00BC1C9C">
              <w:rPr>
                <w:rFonts w:ascii="仿宋" w:eastAsia="仿宋" w:hAnsi="仿宋" w:cs="宋体" w:hint="eastAsia"/>
                <w:color w:val="000000"/>
                <w:szCs w:val="21"/>
                <w:lang w:bidi="ar"/>
              </w:rPr>
              <w:t>内含光</w:t>
            </w:r>
            <w:proofErr w:type="gramEnd"/>
            <w:r w:rsidRPr="00BC1C9C">
              <w:rPr>
                <w:rFonts w:ascii="仿宋" w:eastAsia="仿宋" w:hAnsi="仿宋" w:cs="宋体" w:hint="eastAsia"/>
                <w:color w:val="000000"/>
                <w:szCs w:val="21"/>
                <w:lang w:bidi="ar"/>
              </w:rPr>
              <w:t>模块）。</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▲应配置2+2冗余电源。</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▲应配置远程管理卡，可查看设备的运行状况，可监测网络适配器与存储子系统，可查看和导出系统资源，可查看传感器信息（如温度.电压和侵入等），可查看内存信息，可监测和控制电源使用情况，可监测 CPU 状态.处理器自动调节和预测性故障。应支持手机APP管理软件。（需提供管理手册截图或技术白皮书，提供手机</w:t>
            </w:r>
            <w:proofErr w:type="gramStart"/>
            <w:r w:rsidRPr="00BC1C9C">
              <w:rPr>
                <w:rFonts w:ascii="仿宋" w:eastAsia="仿宋" w:hAnsi="仿宋" w:cs="宋体" w:hint="eastAsia"/>
                <w:color w:val="000000"/>
                <w:szCs w:val="21"/>
                <w:lang w:bidi="ar"/>
              </w:rPr>
              <w:t>端管理</w:t>
            </w:r>
            <w:proofErr w:type="gramEnd"/>
            <w:r w:rsidRPr="00BC1C9C">
              <w:rPr>
                <w:rFonts w:ascii="仿宋" w:eastAsia="仿宋" w:hAnsi="仿宋" w:cs="宋体" w:hint="eastAsia"/>
                <w:color w:val="000000"/>
                <w:szCs w:val="21"/>
                <w:lang w:bidi="ar"/>
              </w:rPr>
              <w:t>软件操作界面截图，加盖鲜章）</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lastRenderedPageBreak/>
              <w:t xml:space="preserve">▲应通过VMware ESXI 7.0 以上版本的Trusted Platform Module(TPM)功能兼容性认证(提供VMware </w:t>
            </w:r>
            <w:proofErr w:type="gramStart"/>
            <w:r w:rsidRPr="00BC1C9C">
              <w:rPr>
                <w:rFonts w:ascii="仿宋" w:eastAsia="仿宋" w:hAnsi="仿宋" w:cs="宋体" w:hint="eastAsia"/>
                <w:color w:val="000000"/>
                <w:szCs w:val="21"/>
                <w:lang w:bidi="ar"/>
              </w:rPr>
              <w:t>官网截图证明</w:t>
            </w:r>
            <w:proofErr w:type="gramEnd"/>
            <w:r w:rsidRPr="00BC1C9C">
              <w:rPr>
                <w:rFonts w:ascii="仿宋" w:eastAsia="仿宋" w:hAnsi="仿宋" w:cs="宋体" w:hint="eastAsia"/>
                <w:color w:val="000000"/>
                <w:szCs w:val="21"/>
                <w:lang w:bidi="ar"/>
              </w:rPr>
              <w:t>材料,加盖鲜章）</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 xml:space="preserve">▲万兆光纤网卡必须支持NSX-T和ESXI 7兼容性列表中的N-VDS Enhanced Data Path.GENEVE-Offload.GENEVE-RxFilter功能(提供VMware </w:t>
            </w:r>
            <w:proofErr w:type="gramStart"/>
            <w:r w:rsidRPr="00BC1C9C">
              <w:rPr>
                <w:rFonts w:ascii="仿宋" w:eastAsia="仿宋" w:hAnsi="仿宋" w:cs="宋体" w:hint="eastAsia"/>
                <w:color w:val="000000"/>
                <w:szCs w:val="21"/>
                <w:lang w:bidi="ar"/>
              </w:rPr>
              <w:t>官网截图证明</w:t>
            </w:r>
            <w:proofErr w:type="gramEnd"/>
            <w:r w:rsidRPr="00BC1C9C">
              <w:rPr>
                <w:rFonts w:ascii="仿宋" w:eastAsia="仿宋" w:hAnsi="仿宋" w:cs="宋体" w:hint="eastAsia"/>
                <w:color w:val="000000"/>
                <w:szCs w:val="21"/>
                <w:lang w:bidi="ar"/>
              </w:rPr>
              <w:t>材料,加盖鲜章）</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应具备设备系统锁定功能（</w:t>
            </w:r>
            <w:proofErr w:type="gramStart"/>
            <w:r w:rsidRPr="00BC1C9C">
              <w:rPr>
                <w:rFonts w:ascii="仿宋" w:eastAsia="仿宋" w:hAnsi="仿宋" w:cs="宋体" w:hint="eastAsia"/>
                <w:color w:val="000000"/>
                <w:szCs w:val="21"/>
                <w:lang w:bidi="ar"/>
              </w:rPr>
              <w:t>官网截图证明</w:t>
            </w:r>
            <w:proofErr w:type="gramEnd"/>
            <w:r w:rsidRPr="00BC1C9C">
              <w:rPr>
                <w:rFonts w:ascii="仿宋" w:eastAsia="仿宋" w:hAnsi="仿宋" w:cs="宋体" w:hint="eastAsia"/>
                <w:color w:val="000000"/>
                <w:szCs w:val="21"/>
                <w:lang w:bidi="ar"/>
              </w:rPr>
              <w:t>及链接或其他相关证明材料，加盖鲜章）。</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应配置主动故障监测软件，可自动识别硬件故障/预测性故障分析，自动报警及创建报修事件，由硬件厂商主动式处理故障。（</w:t>
            </w:r>
            <w:proofErr w:type="gramStart"/>
            <w:r w:rsidRPr="00BC1C9C">
              <w:rPr>
                <w:rFonts w:ascii="仿宋" w:eastAsia="仿宋" w:hAnsi="仿宋" w:cs="宋体" w:hint="eastAsia"/>
                <w:color w:val="000000"/>
                <w:szCs w:val="21"/>
                <w:lang w:bidi="ar"/>
              </w:rPr>
              <w:t>官网截图证明</w:t>
            </w:r>
            <w:proofErr w:type="gramEnd"/>
            <w:r w:rsidRPr="00BC1C9C">
              <w:rPr>
                <w:rFonts w:ascii="仿宋" w:eastAsia="仿宋" w:hAnsi="仿宋" w:cs="宋体" w:hint="eastAsia"/>
                <w:color w:val="000000"/>
                <w:szCs w:val="21"/>
                <w:lang w:bidi="ar"/>
              </w:rPr>
              <w:t>及链接或其他相关证明材料，加盖鲜章）。</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应具有性能分析软件，软件无代理程序，支持远程运行，能收集多台主机磁盘IO、吞吐量、容量、CPU、内存使用率、IO延时、队列深度、读写比例等指标，支持windows.VMWARE.Linux系统。（提供原厂性能分析软件官方彩页及测试报告分析样本一份，加盖鲜章）</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5</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22</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虚拟化授权</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★148.应配置≥4颗CPU授权。</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▲虚拟机之间应具有隔离保护，其中每一个虚拟机发生故障都不会影响同一个物理机上的其它虚拟机运行，每个虚拟机上的用户权限只限于本虚拟机之内。</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▲应支持通过图形化界面设定虚拟机的开关机策略，定时开启或关闭指定的虚拟机（提供界面截图并加盖公章）。</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▲应支持虚拟机迁移历史记录功能，记录中包含迁移的操作员、迁移方式、源主机、目的主机、开始时间、迁移耗时等信息（提供界面截图并加盖公章）。</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▲应支持批量修改虚拟机的配置参数，包括：I/O优先级、启动优先级、是否自动迁移、CPU调度优先级、CPU个数、内存大小、</w:t>
            </w:r>
            <w:r w:rsidRPr="00BC1C9C">
              <w:rPr>
                <w:rFonts w:ascii="仿宋" w:eastAsia="仿宋" w:hAnsi="仿宋" w:cs="宋体" w:hint="eastAsia"/>
                <w:color w:val="000000"/>
                <w:szCs w:val="21"/>
                <w:lang w:bidi="ar"/>
              </w:rPr>
              <w:lastRenderedPageBreak/>
              <w:t>自动启动、启用VNC代理、tools自动升级等（提供界面截图并加盖公章）。</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虚拟化软件应内置备份模块，无需单独安装备份软件即可实现虚拟机全量.增量.差异备份功能，备份时对业务运行无影响，支持按时间（按天、按周、按月）设置自动化备份策略，备份策略可细化到分钟级（提供界面截图并加盖公章）。</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▲应支持</w:t>
            </w:r>
            <w:proofErr w:type="gramStart"/>
            <w:r w:rsidRPr="00BC1C9C">
              <w:rPr>
                <w:rFonts w:ascii="仿宋" w:eastAsia="仿宋" w:hAnsi="仿宋" w:cs="宋体" w:hint="eastAsia"/>
                <w:color w:val="000000"/>
                <w:szCs w:val="21"/>
                <w:lang w:bidi="ar"/>
              </w:rPr>
              <w:t>僵尸虚机一键</w:t>
            </w:r>
            <w:proofErr w:type="gramEnd"/>
            <w:r w:rsidRPr="00BC1C9C">
              <w:rPr>
                <w:rFonts w:ascii="仿宋" w:eastAsia="仿宋" w:hAnsi="仿宋" w:cs="宋体" w:hint="eastAsia"/>
                <w:color w:val="000000"/>
                <w:szCs w:val="21"/>
                <w:lang w:bidi="ar"/>
              </w:rPr>
              <w:t>管理功能，对于长时间未使用且处于关闭状态的僵尸虚拟机，可以快速查看、启动、删除、批量启动和批量删除（提供界面截图并加盖公章）。</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7</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23</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万兆交换机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高度≤1U。</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整机交换容量≥2.56Tbps，整机包转发率≥1000Mpps。</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应具有≥24个10GE SFP+接口，≥6个40GE QSFP接口。</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 xml:space="preserve">▲应具有≥1 </w:t>
            </w:r>
            <w:proofErr w:type="gramStart"/>
            <w:r w:rsidRPr="00BC1C9C">
              <w:rPr>
                <w:rFonts w:ascii="仿宋" w:eastAsia="仿宋" w:hAnsi="仿宋" w:cs="宋体" w:hint="eastAsia"/>
                <w:color w:val="000000"/>
                <w:szCs w:val="21"/>
                <w:lang w:bidi="ar"/>
              </w:rPr>
              <w:t>个</w:t>
            </w:r>
            <w:proofErr w:type="gramEnd"/>
            <w:r w:rsidRPr="00BC1C9C">
              <w:rPr>
                <w:rFonts w:ascii="仿宋" w:eastAsia="仿宋" w:hAnsi="仿宋" w:cs="宋体" w:hint="eastAsia"/>
                <w:color w:val="000000"/>
                <w:szCs w:val="21"/>
                <w:lang w:bidi="ar"/>
              </w:rPr>
              <w:t>MINI USB接口，≥2个带外管理接口（</w:t>
            </w:r>
            <w:proofErr w:type="gramStart"/>
            <w:r w:rsidRPr="00BC1C9C">
              <w:rPr>
                <w:rFonts w:ascii="仿宋" w:eastAsia="仿宋" w:hAnsi="仿宋" w:cs="宋体" w:hint="eastAsia"/>
                <w:color w:val="000000"/>
                <w:szCs w:val="21"/>
                <w:lang w:bidi="ar"/>
              </w:rPr>
              <w:t>官网截图证明</w:t>
            </w:r>
            <w:proofErr w:type="gramEnd"/>
            <w:r w:rsidRPr="00BC1C9C">
              <w:rPr>
                <w:rFonts w:ascii="仿宋" w:eastAsia="仿宋" w:hAnsi="仿宋" w:cs="宋体" w:hint="eastAsia"/>
                <w:color w:val="000000"/>
                <w:szCs w:val="21"/>
                <w:lang w:bidi="ar"/>
              </w:rPr>
              <w:t>及链接或其他相关证明材料并加盖公章）。</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▲单个40G端口功耗小于7W（提供国家认可的检测机构出具的第三方测试报告并加盖公章）。</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▲支持通过控制器平台一键替换“按钮”即可完成故障设备替换，提供平台功能截图证明。</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▲支持终端类型库，自动识别PC、路由器、监控终端设备等，提供平台终端类型识别库截图证明。</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万兆光模块（一）</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SFP+ 万兆</w:t>
            </w:r>
            <w:proofErr w:type="gramStart"/>
            <w:r w:rsidRPr="00BC1C9C">
              <w:rPr>
                <w:rFonts w:ascii="仿宋" w:eastAsia="仿宋" w:hAnsi="仿宋" w:cs="宋体" w:hint="eastAsia"/>
                <w:color w:val="000000"/>
                <w:szCs w:val="21"/>
                <w:lang w:bidi="ar"/>
              </w:rPr>
              <w:t>多模光模块</w:t>
            </w:r>
            <w:proofErr w:type="gramEnd"/>
            <w:r w:rsidRPr="00BC1C9C">
              <w:rPr>
                <w:rFonts w:ascii="仿宋" w:eastAsia="仿宋" w:hAnsi="仿宋" w:cs="宋体" w:hint="eastAsia"/>
                <w:color w:val="000000"/>
                <w:szCs w:val="21"/>
                <w:lang w:bidi="ar"/>
              </w:rPr>
              <w:t>，多模，850nm，最大传输距离 300m，接头类型：LC。</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个</w:t>
            </w:r>
            <w:proofErr w:type="gramEnd"/>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68</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48个用于本次新增2台万兆交换机，20个用于原万兆交换机</w:t>
            </w: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25</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万兆光模块（二）</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多模，16GB。</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个</w:t>
            </w:r>
            <w:proofErr w:type="gramEnd"/>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16</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用于原存储交换机</w:t>
            </w: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lastRenderedPageBreak/>
              <w:t>26</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堆叠线</w:t>
            </w:r>
            <w:proofErr w:type="gramEnd"/>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3米40G堆叠线缆。</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条</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27</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室内光缆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24芯室内多模光缆。</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500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28</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光纤尾</w:t>
            </w:r>
            <w:proofErr w:type="gramStart"/>
            <w:r w:rsidRPr="00BC1C9C">
              <w:rPr>
                <w:rFonts w:ascii="仿宋" w:eastAsia="仿宋" w:hAnsi="仿宋" w:cs="宋体" w:hint="eastAsia"/>
                <w:color w:val="000000"/>
                <w:szCs w:val="21"/>
                <w:lang w:bidi="ar"/>
              </w:rPr>
              <w:t>纤</w:t>
            </w:r>
            <w:proofErr w:type="gramEnd"/>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 xml:space="preserve">平均连接损耗：≤ 0.1 dB。 </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最小反射损耗：20 dB。</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864</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29</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光纤适配器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典型插入损耗为-0.3db。</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适配器有单工SC.ST.FC和双工SC.LC等类型。</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个</w:t>
            </w:r>
            <w:proofErr w:type="gramEnd"/>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432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按所有机柜（18台）每柜增加24芯光缆计算</w:t>
            </w:r>
          </w:p>
        </w:tc>
        <w:bookmarkStart w:id="2" w:name="_GoBack"/>
        <w:bookmarkEnd w:id="2"/>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30</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精密配电柜</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▲规格：大小＝标准机柜,含≥10寸触摸屏。</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31</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配电电缆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规格：ZR-BVR35mm</w:t>
            </w:r>
            <w:r w:rsidRPr="00BC1C9C">
              <w:rPr>
                <w:rFonts w:ascii="宋体" w:eastAsia="宋体" w:hAnsi="宋体" w:cs="宋体" w:hint="eastAsia"/>
                <w:color w:val="000000"/>
                <w:szCs w:val="21"/>
                <w:lang w:bidi="ar"/>
              </w:rPr>
              <w:t>²</w:t>
            </w:r>
            <w:r w:rsidRPr="00BC1C9C">
              <w:rPr>
                <w:rFonts w:ascii="仿宋" w:eastAsia="仿宋" w:hAnsi="仿宋" w:cs="仿宋" w:hint="eastAsia"/>
                <w:color w:val="000000"/>
                <w:szCs w:val="21"/>
                <w:lang w:bidi="ar"/>
              </w:rPr>
              <w:t>，火线</w:t>
            </w:r>
            <w:r w:rsidRPr="00BC1C9C">
              <w:rPr>
                <w:rFonts w:ascii="仿宋" w:eastAsia="仿宋" w:hAnsi="仿宋" w:cs="宋体" w:hint="eastAsia"/>
                <w:color w:val="000000"/>
                <w:szCs w:val="21"/>
                <w:lang w:bidi="ar"/>
              </w:rPr>
              <w:t>+零线。</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32</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配电电缆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规格：ZR-BVR16mm</w:t>
            </w:r>
            <w:r w:rsidRPr="00BC1C9C">
              <w:rPr>
                <w:rFonts w:ascii="宋体" w:eastAsia="宋体" w:hAnsi="宋体" w:cs="宋体" w:hint="eastAsia"/>
                <w:color w:val="000000"/>
                <w:szCs w:val="21"/>
                <w:lang w:bidi="ar"/>
              </w:rPr>
              <w:t>²</w:t>
            </w:r>
            <w:r w:rsidRPr="00BC1C9C">
              <w:rPr>
                <w:rFonts w:ascii="仿宋" w:eastAsia="仿宋" w:hAnsi="仿宋" w:cs="仿宋" w:hint="eastAsia"/>
                <w:color w:val="000000"/>
                <w:szCs w:val="21"/>
                <w:lang w:bidi="ar"/>
              </w:rPr>
              <w:t>，地线，黄绿双色。</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33</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PDU</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规格220V要求≥25A。</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▲应包含≥8位插孔。</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应具有指示灯。</w:t>
            </w:r>
          </w:p>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▲应包含工业连接器。</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proofErr w:type="gramStart"/>
            <w:r w:rsidRPr="00BC1C9C">
              <w:rPr>
                <w:rFonts w:ascii="仿宋" w:eastAsia="仿宋" w:hAnsi="仿宋" w:cs="宋体" w:hint="eastAsia"/>
                <w:color w:val="000000"/>
                <w:szCs w:val="21"/>
                <w:lang w:bidi="ar"/>
              </w:rPr>
              <w:t>个</w:t>
            </w:r>
            <w:proofErr w:type="gramEnd"/>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36</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机柜电缆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不低于RVV3*6mm</w:t>
            </w:r>
            <w:r w:rsidRPr="00BC1C9C">
              <w:rPr>
                <w:rFonts w:ascii="宋体" w:eastAsia="宋体" w:hAnsi="宋体" w:cs="宋体" w:hint="eastAsia"/>
                <w:color w:val="000000"/>
                <w:szCs w:val="21"/>
                <w:lang w:bidi="ar"/>
              </w:rPr>
              <w:t>²</w:t>
            </w:r>
            <w:r w:rsidRPr="00BC1C9C">
              <w:rPr>
                <w:rFonts w:ascii="仿宋" w:eastAsia="仿宋" w:hAnsi="仿宋" w:cs="仿宋" w:hint="eastAsia"/>
                <w:color w:val="000000"/>
                <w:szCs w:val="21"/>
                <w:lang w:bidi="ar"/>
              </w:rPr>
              <w:t>电缆。</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1000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35</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辅材耗材和必备配件</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确保本项目所有系统安装调试无缝对接配电柜、空气开关、交换机、服务器、存储、PDU、工业连接器、光缆跳</w:t>
            </w:r>
            <w:proofErr w:type="gramStart"/>
            <w:r w:rsidRPr="00BC1C9C">
              <w:rPr>
                <w:rFonts w:ascii="仿宋" w:eastAsia="仿宋" w:hAnsi="仿宋" w:cs="宋体" w:hint="eastAsia"/>
                <w:color w:val="000000"/>
                <w:szCs w:val="21"/>
                <w:lang w:bidi="ar"/>
              </w:rPr>
              <w:t>纤</w:t>
            </w:r>
            <w:proofErr w:type="gramEnd"/>
            <w:r w:rsidRPr="00BC1C9C">
              <w:rPr>
                <w:rFonts w:ascii="仿宋" w:eastAsia="仿宋" w:hAnsi="仿宋" w:cs="宋体" w:hint="eastAsia"/>
                <w:color w:val="000000"/>
                <w:szCs w:val="21"/>
                <w:lang w:bidi="ar"/>
              </w:rPr>
              <w:t>等系统设备无缝对接系统运行：要求包括不仅限于本表所列的系统安装所需必要的所有辅材耗材和必备配件。</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r w:rsidR="00BC1C9C" w:rsidRPr="00BC1C9C" w:rsidTr="000C79E5">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36</w:t>
            </w:r>
          </w:p>
        </w:tc>
        <w:tc>
          <w:tcPr>
            <w:tcW w:w="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综合</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技术服务</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widowControl/>
              <w:numPr>
                <w:ilvl w:val="0"/>
                <w:numId w:val="1"/>
              </w:numPr>
              <w:spacing w:after="160" w:line="259" w:lineRule="auto"/>
              <w:jc w:val="left"/>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包含新增设备的线材及线路敷设、系统安装和调试等。</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机柜分区紧凑摆放：根据本次新增设备原设备合计，紧凑摆放至少6个柜子。</w:t>
            </w:r>
          </w:p>
          <w:p w:rsidR="00BC1C9C" w:rsidRPr="00BC1C9C" w:rsidRDefault="00BC1C9C" w:rsidP="00BC1C9C">
            <w:pPr>
              <w:numPr>
                <w:ilvl w:val="0"/>
                <w:numId w:val="1"/>
              </w:numPr>
              <w:spacing w:after="160" w:line="259" w:lineRule="auto"/>
              <w:textAlignment w:val="center"/>
              <w:rPr>
                <w:rFonts w:ascii="仿宋" w:eastAsia="仿宋" w:hAnsi="仿宋" w:cs="宋体"/>
                <w:color w:val="000000"/>
                <w:szCs w:val="21"/>
                <w:lang w:bidi="ar"/>
              </w:rPr>
            </w:pPr>
            <w:r w:rsidRPr="00BC1C9C">
              <w:rPr>
                <w:rFonts w:ascii="仿宋" w:eastAsia="仿宋" w:hAnsi="仿宋" w:cs="宋体" w:hint="eastAsia"/>
                <w:color w:val="000000"/>
                <w:szCs w:val="21"/>
                <w:lang w:bidi="ar"/>
              </w:rPr>
              <w:t>配电改造和机柜跳</w:t>
            </w:r>
            <w:proofErr w:type="gramStart"/>
            <w:r w:rsidRPr="00BC1C9C">
              <w:rPr>
                <w:rFonts w:ascii="仿宋" w:eastAsia="仿宋" w:hAnsi="仿宋" w:cs="宋体" w:hint="eastAsia"/>
                <w:color w:val="000000"/>
                <w:szCs w:val="21"/>
                <w:lang w:bidi="ar"/>
              </w:rPr>
              <w:t>纤</w:t>
            </w:r>
            <w:proofErr w:type="gramEnd"/>
            <w:r w:rsidRPr="00BC1C9C">
              <w:rPr>
                <w:rFonts w:ascii="仿宋" w:eastAsia="仿宋" w:hAnsi="仿宋" w:cs="宋体" w:hint="eastAsia"/>
                <w:color w:val="000000"/>
                <w:szCs w:val="21"/>
                <w:lang w:bidi="ar"/>
              </w:rPr>
              <w:t>铺设：要求一楼机房内所有机柜（18台）扩容。</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textAlignment w:val="center"/>
              <w:rPr>
                <w:rFonts w:ascii="仿宋" w:eastAsia="仿宋" w:hAnsi="仿宋" w:cs="宋体"/>
                <w:color w:val="000000"/>
                <w:szCs w:val="21"/>
              </w:rPr>
            </w:pPr>
            <w:r w:rsidRPr="00BC1C9C">
              <w:rPr>
                <w:rFonts w:ascii="仿宋" w:eastAsia="仿宋" w:hAnsi="仿宋" w:cs="宋体" w:hint="eastAsia"/>
                <w:color w:val="000000"/>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C1C9C" w:rsidRPr="00BC1C9C" w:rsidRDefault="00BC1C9C" w:rsidP="00BC1C9C">
            <w:pPr>
              <w:jc w:val="center"/>
              <w:rPr>
                <w:rFonts w:ascii="仿宋" w:eastAsia="仿宋" w:hAnsi="仿宋" w:cs="宋体"/>
                <w:color w:val="000000"/>
                <w:szCs w:val="21"/>
              </w:rPr>
            </w:pPr>
          </w:p>
        </w:tc>
      </w:tr>
    </w:tbl>
    <w:p w:rsidR="00316B51" w:rsidRDefault="00316B51"/>
    <w:sectPr w:rsidR="00316B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C9C" w:rsidRDefault="00BC1C9C" w:rsidP="00BC1C9C">
      <w:r>
        <w:separator/>
      </w:r>
    </w:p>
  </w:endnote>
  <w:endnote w:type="continuationSeparator" w:id="0">
    <w:p w:rsidR="00BC1C9C" w:rsidRDefault="00BC1C9C" w:rsidP="00BC1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C9C" w:rsidRDefault="00BC1C9C" w:rsidP="00BC1C9C">
      <w:r>
        <w:separator/>
      </w:r>
    </w:p>
  </w:footnote>
  <w:footnote w:type="continuationSeparator" w:id="0">
    <w:p w:rsidR="00BC1C9C" w:rsidRDefault="00BC1C9C" w:rsidP="00BC1C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C75F91"/>
    <w:multiLevelType w:val="singleLevel"/>
    <w:tmpl w:val="81C75F91"/>
    <w:lvl w:ilvl="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75D"/>
    <w:rsid w:val="00316B51"/>
    <w:rsid w:val="007E5E00"/>
    <w:rsid w:val="0098375D"/>
    <w:rsid w:val="00BC1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annotation text" w:uiPriority="0" w:qFormat="1"/>
    <w:lsdException w:name="header" w:uiPriority="0"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BC1C9C"/>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qFormat/>
    <w:rsid w:val="00BC1C9C"/>
    <w:pPr>
      <w:keepNext/>
      <w:keepLines/>
      <w:spacing w:before="260" w:after="260" w:line="415" w:lineRule="auto"/>
      <w:outlineLvl w:val="1"/>
    </w:pPr>
    <w:rPr>
      <w:rFonts w:ascii="Arial" w:eastAsia="黑体" w:hAnsi="Arial" w:cs="Times New Roman"/>
      <w:b/>
      <w:bCs/>
      <w:sz w:val="32"/>
      <w:szCs w:val="32"/>
    </w:rPr>
  </w:style>
  <w:style w:type="paragraph" w:styleId="3">
    <w:name w:val="heading 3"/>
    <w:basedOn w:val="a"/>
    <w:next w:val="a"/>
    <w:link w:val="3Char"/>
    <w:qFormat/>
    <w:rsid w:val="00BC1C9C"/>
    <w:pPr>
      <w:keepNext/>
      <w:keepLines/>
      <w:spacing w:before="260" w:after="260" w:line="415" w:lineRule="auto"/>
      <w:outlineLvl w:val="2"/>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BC1C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C1C9C"/>
    <w:rPr>
      <w:sz w:val="18"/>
      <w:szCs w:val="18"/>
    </w:rPr>
  </w:style>
  <w:style w:type="paragraph" w:styleId="a4">
    <w:name w:val="footer"/>
    <w:basedOn w:val="a"/>
    <w:link w:val="Char0"/>
    <w:uiPriority w:val="99"/>
    <w:unhideWhenUsed/>
    <w:qFormat/>
    <w:rsid w:val="00BC1C9C"/>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BC1C9C"/>
    <w:rPr>
      <w:sz w:val="18"/>
      <w:szCs w:val="18"/>
    </w:rPr>
  </w:style>
  <w:style w:type="character" w:customStyle="1" w:styleId="1Char">
    <w:name w:val="标题 1 Char"/>
    <w:basedOn w:val="a0"/>
    <w:link w:val="1"/>
    <w:qFormat/>
    <w:rsid w:val="00BC1C9C"/>
    <w:rPr>
      <w:rFonts w:ascii="Calibri" w:eastAsia="宋体" w:hAnsi="Calibri" w:cs="Times New Roman"/>
      <w:b/>
      <w:bCs/>
      <w:kern w:val="44"/>
      <w:sz w:val="44"/>
      <w:szCs w:val="44"/>
    </w:rPr>
  </w:style>
  <w:style w:type="character" w:customStyle="1" w:styleId="2Char">
    <w:name w:val="标题 2 Char"/>
    <w:basedOn w:val="a0"/>
    <w:link w:val="2"/>
    <w:rsid w:val="00BC1C9C"/>
    <w:rPr>
      <w:rFonts w:ascii="Arial" w:eastAsia="黑体" w:hAnsi="Arial" w:cs="Times New Roman"/>
      <w:b/>
      <w:bCs/>
      <w:sz w:val="32"/>
      <w:szCs w:val="32"/>
    </w:rPr>
  </w:style>
  <w:style w:type="character" w:customStyle="1" w:styleId="3Char">
    <w:name w:val="标题 3 Char"/>
    <w:basedOn w:val="a0"/>
    <w:link w:val="3"/>
    <w:rsid w:val="00BC1C9C"/>
    <w:rPr>
      <w:rFonts w:ascii="Calibri" w:eastAsia="宋体" w:hAnsi="Calibri" w:cs="Times New Roman"/>
      <w:b/>
      <w:bCs/>
      <w:sz w:val="32"/>
      <w:szCs w:val="32"/>
    </w:rPr>
  </w:style>
  <w:style w:type="numbering" w:customStyle="1" w:styleId="10">
    <w:name w:val="无列表1"/>
    <w:next w:val="a2"/>
    <w:uiPriority w:val="99"/>
    <w:semiHidden/>
    <w:unhideWhenUsed/>
    <w:rsid w:val="00BC1C9C"/>
  </w:style>
  <w:style w:type="character" w:styleId="a5">
    <w:name w:val="annotation reference"/>
    <w:uiPriority w:val="99"/>
    <w:qFormat/>
    <w:rsid w:val="00BC1C9C"/>
    <w:rPr>
      <w:sz w:val="21"/>
      <w:szCs w:val="21"/>
    </w:rPr>
  </w:style>
  <w:style w:type="character" w:styleId="a6">
    <w:name w:val="Hyperlink"/>
    <w:uiPriority w:val="99"/>
    <w:unhideWhenUsed/>
    <w:qFormat/>
    <w:rsid w:val="00BC1C9C"/>
    <w:rPr>
      <w:color w:val="0563C1"/>
      <w:u w:val="single"/>
    </w:rPr>
  </w:style>
  <w:style w:type="character" w:styleId="a7">
    <w:name w:val="page number"/>
    <w:qFormat/>
    <w:rsid w:val="00BC1C9C"/>
  </w:style>
  <w:style w:type="character" w:customStyle="1" w:styleId="font91">
    <w:name w:val="font91"/>
    <w:qFormat/>
    <w:rsid w:val="00BC1C9C"/>
    <w:rPr>
      <w:rFonts w:ascii="宋体" w:eastAsia="宋体" w:hAnsi="宋体" w:cs="宋体" w:hint="eastAsia"/>
      <w:color w:val="FF0000"/>
      <w:sz w:val="21"/>
      <w:szCs w:val="21"/>
      <w:u w:val="single"/>
    </w:rPr>
  </w:style>
  <w:style w:type="character" w:customStyle="1" w:styleId="Char1">
    <w:name w:val="批注主题 Char"/>
    <w:link w:val="a8"/>
    <w:qFormat/>
    <w:rsid w:val="00BC1C9C"/>
    <w:rPr>
      <w:b/>
      <w:bCs/>
      <w:szCs w:val="24"/>
    </w:rPr>
  </w:style>
  <w:style w:type="character" w:customStyle="1" w:styleId="font111">
    <w:name w:val="font111"/>
    <w:qFormat/>
    <w:rsid w:val="00BC1C9C"/>
    <w:rPr>
      <w:rFonts w:ascii="Eʩ" w:eastAsia="Eʩ" w:hAnsi="Eʩ" w:cs="Eʩ" w:hint="default"/>
      <w:color w:val="000000"/>
      <w:sz w:val="21"/>
      <w:szCs w:val="21"/>
      <w:u w:val="single"/>
    </w:rPr>
  </w:style>
  <w:style w:type="character" w:customStyle="1" w:styleId="Char10">
    <w:name w:val="批注文字 Char1"/>
    <w:qFormat/>
    <w:rsid w:val="00BC1C9C"/>
    <w:rPr>
      <w:rFonts w:ascii="Times New Roman" w:eastAsia="宋体" w:hAnsi="Times New Roman" w:cs="Times New Roman"/>
      <w:szCs w:val="24"/>
    </w:rPr>
  </w:style>
  <w:style w:type="character" w:customStyle="1" w:styleId="Char2">
    <w:name w:val="批注框文本 Char"/>
    <w:link w:val="a9"/>
    <w:qFormat/>
    <w:rsid w:val="00BC1C9C"/>
    <w:rPr>
      <w:sz w:val="18"/>
      <w:szCs w:val="18"/>
    </w:rPr>
  </w:style>
  <w:style w:type="character" w:customStyle="1" w:styleId="font31">
    <w:name w:val="font31"/>
    <w:qFormat/>
    <w:rsid w:val="00BC1C9C"/>
    <w:rPr>
      <w:rFonts w:ascii="宋体" w:eastAsia="宋体" w:hAnsi="宋体" w:cs="宋体" w:hint="eastAsia"/>
      <w:color w:val="000000"/>
      <w:sz w:val="21"/>
      <w:szCs w:val="21"/>
      <w:u w:val="none"/>
    </w:rPr>
  </w:style>
  <w:style w:type="character" w:customStyle="1" w:styleId="font101">
    <w:name w:val="font101"/>
    <w:qFormat/>
    <w:rsid w:val="00BC1C9C"/>
    <w:rPr>
      <w:rFonts w:ascii="宋体" w:eastAsia="宋体" w:hAnsi="宋体" w:cs="宋体" w:hint="eastAsia"/>
      <w:color w:val="000000"/>
      <w:sz w:val="21"/>
      <w:szCs w:val="21"/>
      <w:u w:val="single"/>
    </w:rPr>
  </w:style>
  <w:style w:type="character" w:customStyle="1" w:styleId="Char3">
    <w:name w:val="批注文字 Char"/>
    <w:qFormat/>
    <w:rsid w:val="00BC1C9C"/>
    <w:rPr>
      <w:kern w:val="2"/>
      <w:sz w:val="21"/>
      <w:szCs w:val="24"/>
    </w:rPr>
  </w:style>
  <w:style w:type="character" w:customStyle="1" w:styleId="Char4">
    <w:name w:val="文档结构图 Char"/>
    <w:link w:val="aa"/>
    <w:qFormat/>
    <w:rsid w:val="00BC1C9C"/>
    <w:rPr>
      <w:rFonts w:ascii="宋体"/>
      <w:sz w:val="18"/>
      <w:szCs w:val="18"/>
    </w:rPr>
  </w:style>
  <w:style w:type="paragraph" w:styleId="ab">
    <w:name w:val="Normal Indent"/>
    <w:basedOn w:val="a"/>
    <w:qFormat/>
    <w:rsid w:val="00BC1C9C"/>
    <w:pPr>
      <w:spacing w:after="160" w:line="259" w:lineRule="auto"/>
      <w:ind w:firstLineChars="200" w:firstLine="200"/>
    </w:pPr>
    <w:rPr>
      <w:rFonts w:ascii="Calibri" w:eastAsia="宋体" w:hAnsi="Calibri" w:cs="Times New Roman"/>
      <w:szCs w:val="24"/>
    </w:rPr>
  </w:style>
  <w:style w:type="paragraph" w:styleId="7">
    <w:name w:val="toc 7"/>
    <w:basedOn w:val="a"/>
    <w:next w:val="a"/>
    <w:qFormat/>
    <w:rsid w:val="00BC1C9C"/>
    <w:pPr>
      <w:spacing w:after="160" w:line="259" w:lineRule="auto"/>
      <w:ind w:leftChars="1200" w:left="2520"/>
    </w:pPr>
    <w:rPr>
      <w:rFonts w:ascii="Calibri" w:eastAsia="宋体" w:hAnsi="Calibri" w:cs="Times New Roman"/>
      <w:szCs w:val="24"/>
    </w:rPr>
  </w:style>
  <w:style w:type="paragraph" w:styleId="ac">
    <w:name w:val="annotation text"/>
    <w:basedOn w:val="a"/>
    <w:link w:val="Char20"/>
    <w:unhideWhenUsed/>
    <w:qFormat/>
    <w:rsid w:val="00BC1C9C"/>
    <w:pPr>
      <w:spacing w:after="160" w:line="259" w:lineRule="auto"/>
      <w:jc w:val="left"/>
    </w:pPr>
    <w:rPr>
      <w:rFonts w:ascii="Calibri" w:eastAsia="宋体" w:hAnsi="Calibri" w:cs="Times New Roman"/>
      <w:szCs w:val="24"/>
    </w:rPr>
  </w:style>
  <w:style w:type="character" w:customStyle="1" w:styleId="Char20">
    <w:name w:val="批注文字 Char2"/>
    <w:basedOn w:val="a0"/>
    <w:link w:val="ac"/>
    <w:rsid w:val="00BC1C9C"/>
    <w:rPr>
      <w:rFonts w:ascii="Calibri" w:eastAsia="宋体" w:hAnsi="Calibri" w:cs="Times New Roman"/>
      <w:szCs w:val="24"/>
    </w:rPr>
  </w:style>
  <w:style w:type="paragraph" w:styleId="a8">
    <w:name w:val="annotation subject"/>
    <w:basedOn w:val="ac"/>
    <w:next w:val="ac"/>
    <w:link w:val="Char1"/>
    <w:qFormat/>
    <w:rsid w:val="00BC1C9C"/>
    <w:rPr>
      <w:rFonts w:asciiTheme="minorHAnsi" w:eastAsiaTheme="minorEastAsia" w:hAnsiTheme="minorHAnsi" w:cstheme="minorBidi"/>
      <w:b/>
      <w:bCs/>
    </w:rPr>
  </w:style>
  <w:style w:type="character" w:customStyle="1" w:styleId="Char11">
    <w:name w:val="批注主题 Char1"/>
    <w:basedOn w:val="Char20"/>
    <w:uiPriority w:val="99"/>
    <w:semiHidden/>
    <w:rsid w:val="00BC1C9C"/>
    <w:rPr>
      <w:rFonts w:ascii="Calibri" w:eastAsia="宋体" w:hAnsi="Calibri" w:cs="Times New Roman"/>
      <w:b/>
      <w:bCs/>
      <w:szCs w:val="24"/>
    </w:rPr>
  </w:style>
  <w:style w:type="paragraph" w:styleId="9">
    <w:name w:val="toc 9"/>
    <w:basedOn w:val="a"/>
    <w:next w:val="a"/>
    <w:qFormat/>
    <w:rsid w:val="00BC1C9C"/>
    <w:pPr>
      <w:spacing w:after="160" w:line="259" w:lineRule="auto"/>
      <w:ind w:leftChars="1600" w:left="3360"/>
    </w:pPr>
    <w:rPr>
      <w:rFonts w:ascii="Calibri" w:eastAsia="宋体" w:hAnsi="Calibri" w:cs="Times New Roman"/>
      <w:szCs w:val="24"/>
    </w:rPr>
  </w:style>
  <w:style w:type="paragraph" w:styleId="8">
    <w:name w:val="toc 8"/>
    <w:basedOn w:val="a"/>
    <w:next w:val="a"/>
    <w:qFormat/>
    <w:rsid w:val="00BC1C9C"/>
    <w:pPr>
      <w:spacing w:after="160" w:line="259" w:lineRule="auto"/>
      <w:ind w:leftChars="1400" w:left="2940"/>
    </w:pPr>
    <w:rPr>
      <w:rFonts w:ascii="Calibri" w:eastAsia="宋体" w:hAnsi="Calibri" w:cs="Times New Roman"/>
      <w:szCs w:val="24"/>
    </w:rPr>
  </w:style>
  <w:style w:type="paragraph" w:styleId="aa">
    <w:name w:val="Document Map"/>
    <w:basedOn w:val="a"/>
    <w:link w:val="Char4"/>
    <w:qFormat/>
    <w:rsid w:val="00BC1C9C"/>
    <w:pPr>
      <w:spacing w:after="160" w:line="259" w:lineRule="auto"/>
    </w:pPr>
    <w:rPr>
      <w:rFonts w:ascii="宋体"/>
      <w:sz w:val="18"/>
      <w:szCs w:val="18"/>
    </w:rPr>
  </w:style>
  <w:style w:type="character" w:customStyle="1" w:styleId="Char12">
    <w:name w:val="文档结构图 Char1"/>
    <w:basedOn w:val="a0"/>
    <w:uiPriority w:val="99"/>
    <w:semiHidden/>
    <w:rsid w:val="00BC1C9C"/>
    <w:rPr>
      <w:rFonts w:ascii="宋体" w:eastAsia="宋体"/>
      <w:sz w:val="18"/>
      <w:szCs w:val="18"/>
    </w:rPr>
  </w:style>
  <w:style w:type="paragraph" w:styleId="ad">
    <w:name w:val="Body Text Indent"/>
    <w:basedOn w:val="a"/>
    <w:link w:val="Char5"/>
    <w:qFormat/>
    <w:rsid w:val="00BC1C9C"/>
    <w:pPr>
      <w:spacing w:after="160" w:line="259" w:lineRule="auto"/>
      <w:ind w:firstLine="630"/>
    </w:pPr>
    <w:rPr>
      <w:rFonts w:ascii="Calibri" w:eastAsia="宋体" w:hAnsi="Calibri" w:cs="Times New Roman"/>
      <w:sz w:val="32"/>
      <w:szCs w:val="20"/>
    </w:rPr>
  </w:style>
  <w:style w:type="character" w:customStyle="1" w:styleId="Char5">
    <w:name w:val="正文文本缩进 Char"/>
    <w:basedOn w:val="a0"/>
    <w:link w:val="ad"/>
    <w:rsid w:val="00BC1C9C"/>
    <w:rPr>
      <w:rFonts w:ascii="Calibri" w:eastAsia="宋体" w:hAnsi="Calibri" w:cs="Times New Roman"/>
      <w:sz w:val="32"/>
      <w:szCs w:val="20"/>
    </w:rPr>
  </w:style>
  <w:style w:type="paragraph" w:styleId="6">
    <w:name w:val="toc 6"/>
    <w:basedOn w:val="a"/>
    <w:next w:val="a"/>
    <w:qFormat/>
    <w:rsid w:val="00BC1C9C"/>
    <w:pPr>
      <w:spacing w:after="160" w:line="259" w:lineRule="auto"/>
      <w:ind w:leftChars="1000" w:left="2100"/>
    </w:pPr>
    <w:rPr>
      <w:rFonts w:ascii="Calibri" w:eastAsia="宋体" w:hAnsi="Calibri" w:cs="Times New Roman"/>
      <w:szCs w:val="24"/>
    </w:rPr>
  </w:style>
  <w:style w:type="paragraph" w:styleId="a9">
    <w:name w:val="Balloon Text"/>
    <w:basedOn w:val="a"/>
    <w:link w:val="Char2"/>
    <w:qFormat/>
    <w:rsid w:val="00BC1C9C"/>
    <w:pPr>
      <w:spacing w:after="160" w:line="259" w:lineRule="auto"/>
    </w:pPr>
    <w:rPr>
      <w:sz w:val="18"/>
      <w:szCs w:val="18"/>
    </w:rPr>
  </w:style>
  <w:style w:type="character" w:customStyle="1" w:styleId="Char13">
    <w:name w:val="批注框文本 Char1"/>
    <w:basedOn w:val="a0"/>
    <w:uiPriority w:val="99"/>
    <w:semiHidden/>
    <w:rsid w:val="00BC1C9C"/>
    <w:rPr>
      <w:sz w:val="18"/>
      <w:szCs w:val="18"/>
    </w:rPr>
  </w:style>
  <w:style w:type="paragraph" w:styleId="5">
    <w:name w:val="toc 5"/>
    <w:basedOn w:val="a"/>
    <w:next w:val="a"/>
    <w:qFormat/>
    <w:rsid w:val="00BC1C9C"/>
    <w:pPr>
      <w:spacing w:after="160" w:line="259" w:lineRule="auto"/>
      <w:ind w:leftChars="800" w:left="1680"/>
    </w:pPr>
    <w:rPr>
      <w:rFonts w:ascii="Calibri" w:eastAsia="宋体" w:hAnsi="Calibri" w:cs="Times New Roman"/>
      <w:szCs w:val="24"/>
    </w:rPr>
  </w:style>
  <w:style w:type="paragraph" w:styleId="30">
    <w:name w:val="toc 3"/>
    <w:basedOn w:val="a"/>
    <w:next w:val="a"/>
    <w:qFormat/>
    <w:rsid w:val="00BC1C9C"/>
    <w:pPr>
      <w:spacing w:after="160" w:line="259" w:lineRule="auto"/>
      <w:ind w:leftChars="400" w:left="840"/>
    </w:pPr>
    <w:rPr>
      <w:rFonts w:ascii="Calibri" w:eastAsia="宋体" w:hAnsi="Calibri" w:cs="Times New Roman"/>
      <w:szCs w:val="24"/>
    </w:rPr>
  </w:style>
  <w:style w:type="paragraph" w:styleId="ae">
    <w:name w:val="Plain Text"/>
    <w:basedOn w:val="a"/>
    <w:link w:val="Char6"/>
    <w:qFormat/>
    <w:rsid w:val="00BC1C9C"/>
    <w:pPr>
      <w:spacing w:after="160" w:line="259" w:lineRule="auto"/>
    </w:pPr>
    <w:rPr>
      <w:rFonts w:ascii="宋体" w:eastAsia="宋体" w:hAnsi="Courier New" w:cs="Times New Roman"/>
      <w:szCs w:val="24"/>
    </w:rPr>
  </w:style>
  <w:style w:type="character" w:customStyle="1" w:styleId="Char6">
    <w:name w:val="纯文本 Char"/>
    <w:basedOn w:val="a0"/>
    <w:link w:val="ae"/>
    <w:rsid w:val="00BC1C9C"/>
    <w:rPr>
      <w:rFonts w:ascii="宋体" w:eastAsia="宋体" w:hAnsi="Courier New" w:cs="Times New Roman"/>
      <w:szCs w:val="24"/>
    </w:rPr>
  </w:style>
  <w:style w:type="paragraph" w:styleId="4">
    <w:name w:val="toc 4"/>
    <w:basedOn w:val="a"/>
    <w:next w:val="a"/>
    <w:qFormat/>
    <w:rsid w:val="00BC1C9C"/>
    <w:pPr>
      <w:spacing w:after="160" w:line="259" w:lineRule="auto"/>
      <w:ind w:leftChars="600" w:left="1260"/>
    </w:pPr>
    <w:rPr>
      <w:rFonts w:ascii="Calibri" w:eastAsia="宋体" w:hAnsi="Calibri" w:cs="Times New Roman"/>
      <w:szCs w:val="24"/>
    </w:rPr>
  </w:style>
  <w:style w:type="character" w:customStyle="1" w:styleId="Char14">
    <w:name w:val="页脚 Char1"/>
    <w:basedOn w:val="a0"/>
    <w:uiPriority w:val="99"/>
    <w:semiHidden/>
    <w:rsid w:val="00BC1C9C"/>
    <w:rPr>
      <w:rFonts w:ascii="Calibri" w:hAnsi="Calibri"/>
      <w:kern w:val="2"/>
      <w:sz w:val="18"/>
      <w:szCs w:val="18"/>
    </w:rPr>
  </w:style>
  <w:style w:type="paragraph" w:styleId="11">
    <w:name w:val="toc 1"/>
    <w:basedOn w:val="a"/>
    <w:next w:val="a"/>
    <w:qFormat/>
    <w:rsid w:val="00BC1C9C"/>
    <w:pPr>
      <w:spacing w:after="160" w:line="259" w:lineRule="auto"/>
    </w:pPr>
    <w:rPr>
      <w:rFonts w:ascii="Calibri" w:eastAsia="宋体" w:hAnsi="Calibri" w:cs="Times New Roman"/>
      <w:szCs w:val="24"/>
    </w:rPr>
  </w:style>
  <w:style w:type="paragraph" w:styleId="af">
    <w:name w:val="Normal (Web)"/>
    <w:basedOn w:val="a"/>
    <w:qFormat/>
    <w:rsid w:val="00BC1C9C"/>
    <w:pPr>
      <w:widowControl/>
      <w:spacing w:before="100" w:beforeAutospacing="1" w:after="100" w:afterAutospacing="1" w:line="259" w:lineRule="auto"/>
      <w:jc w:val="left"/>
    </w:pPr>
    <w:rPr>
      <w:rFonts w:ascii="宋体" w:eastAsia="宋体" w:hAnsi="Calibri" w:cs="Times New Roman"/>
      <w:kern w:val="0"/>
      <w:sz w:val="18"/>
      <w:szCs w:val="18"/>
    </w:rPr>
  </w:style>
  <w:style w:type="paragraph" w:styleId="20">
    <w:name w:val="toc 2"/>
    <w:basedOn w:val="a"/>
    <w:next w:val="a"/>
    <w:qFormat/>
    <w:rsid w:val="00BC1C9C"/>
    <w:pPr>
      <w:spacing w:after="160" w:line="259" w:lineRule="auto"/>
      <w:ind w:leftChars="200" w:left="420"/>
    </w:pPr>
    <w:rPr>
      <w:rFonts w:ascii="Calibri" w:eastAsia="宋体" w:hAnsi="Calibri" w:cs="Times New Roman"/>
      <w:szCs w:val="24"/>
    </w:rPr>
  </w:style>
  <w:style w:type="paragraph" w:customStyle="1" w:styleId="21">
    <w:name w:val="修订2"/>
    <w:uiPriority w:val="99"/>
    <w:unhideWhenUsed/>
    <w:qFormat/>
    <w:rsid w:val="00BC1C9C"/>
    <w:rPr>
      <w:rFonts w:ascii="Calibri" w:eastAsia="宋体" w:hAnsi="Calibri" w:cs="Times New Roman"/>
      <w:szCs w:val="24"/>
    </w:rPr>
  </w:style>
  <w:style w:type="paragraph" w:customStyle="1" w:styleId="22">
    <w:name w:val="样式 首行缩进:  2 字符"/>
    <w:basedOn w:val="a"/>
    <w:qFormat/>
    <w:rsid w:val="00BC1C9C"/>
    <w:pPr>
      <w:spacing w:after="160" w:line="400" w:lineRule="exact"/>
      <w:ind w:firstLineChars="200" w:firstLine="200"/>
    </w:pPr>
    <w:rPr>
      <w:rFonts w:ascii="Calibri" w:eastAsia="宋体" w:hAnsi="Calibri" w:cs="宋体"/>
      <w:sz w:val="24"/>
      <w:szCs w:val="24"/>
    </w:rPr>
  </w:style>
  <w:style w:type="paragraph" w:customStyle="1" w:styleId="12">
    <w:name w:val="正文1"/>
    <w:qFormat/>
    <w:rsid w:val="00BC1C9C"/>
    <w:pPr>
      <w:widowControl w:val="0"/>
      <w:adjustRightInd w:val="0"/>
      <w:spacing w:after="160" w:line="312" w:lineRule="atLeast"/>
      <w:jc w:val="both"/>
      <w:textAlignment w:val="baseline"/>
    </w:pPr>
    <w:rPr>
      <w:rFonts w:ascii="宋体" w:eastAsia="宋体" w:hAnsi="Calibri" w:cs="Times New Roman"/>
      <w:kern w:val="0"/>
      <w:sz w:val="34"/>
    </w:rPr>
  </w:style>
  <w:style w:type="paragraph" w:customStyle="1" w:styleId="Style2">
    <w:name w:val="_Style 2"/>
    <w:basedOn w:val="a"/>
    <w:qFormat/>
    <w:rsid w:val="00BC1C9C"/>
    <w:pPr>
      <w:spacing w:after="160" w:line="259" w:lineRule="auto"/>
      <w:ind w:firstLineChars="200" w:firstLine="420"/>
    </w:pPr>
    <w:rPr>
      <w:rFonts w:ascii="Calibri" w:eastAsia="宋体" w:hAnsi="Calibri" w:cs="Times New Roman"/>
      <w:sz w:val="18"/>
      <w:szCs w:val="18"/>
    </w:rPr>
  </w:style>
  <w:style w:type="paragraph" w:customStyle="1" w:styleId="13">
    <w:name w:val="列出段落1"/>
    <w:basedOn w:val="a"/>
    <w:uiPriority w:val="99"/>
    <w:unhideWhenUsed/>
    <w:qFormat/>
    <w:rsid w:val="00BC1C9C"/>
    <w:pPr>
      <w:spacing w:after="160" w:line="259" w:lineRule="auto"/>
      <w:ind w:firstLineChars="200" w:firstLine="420"/>
    </w:pPr>
    <w:rPr>
      <w:rFonts w:ascii="Calibri" w:eastAsia="宋体" w:hAnsi="Calibri" w:cs="Times New Roman"/>
      <w:szCs w:val="24"/>
    </w:rPr>
  </w:style>
  <w:style w:type="paragraph" w:customStyle="1" w:styleId="14">
    <w:name w:val="修订1"/>
    <w:uiPriority w:val="99"/>
    <w:semiHidden/>
    <w:qFormat/>
    <w:rsid w:val="00BC1C9C"/>
    <w:rPr>
      <w:rFonts w:ascii="Calibri" w:eastAsia="宋体" w:hAnsi="Calibri" w:cs="Times New Roman"/>
      <w:szCs w:val="24"/>
    </w:rPr>
  </w:style>
  <w:style w:type="paragraph" w:customStyle="1" w:styleId="af0">
    <w:name w:val="正文首行缩进两字符"/>
    <w:basedOn w:val="a"/>
    <w:qFormat/>
    <w:rsid w:val="00BC1C9C"/>
    <w:pPr>
      <w:spacing w:after="160" w:line="360" w:lineRule="auto"/>
      <w:ind w:firstLineChars="200" w:firstLine="200"/>
    </w:pPr>
    <w:rPr>
      <w:rFonts w:ascii="Calibri" w:eastAsia="宋体" w:hAnsi="Calibri" w:cs="Times New Roman"/>
      <w:szCs w:val="24"/>
    </w:rPr>
  </w:style>
  <w:style w:type="paragraph" w:customStyle="1" w:styleId="af1">
    <w:name w:val="封面标准名称"/>
    <w:uiPriority w:val="99"/>
    <w:qFormat/>
    <w:rsid w:val="00BC1C9C"/>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23">
    <w:name w:val="封面标准号2"/>
    <w:basedOn w:val="a"/>
    <w:uiPriority w:val="99"/>
    <w:qFormat/>
    <w:rsid w:val="00BC1C9C"/>
    <w:pPr>
      <w:framePr w:w="9138" w:h="1244" w:hRule="exact" w:wrap="around" w:vAnchor="page" w:hAnchor="margin" w:y="2908"/>
      <w:kinsoku w:val="0"/>
      <w:overflowPunct w:val="0"/>
      <w:autoSpaceDE w:val="0"/>
      <w:autoSpaceDN w:val="0"/>
      <w:adjustRightInd w:val="0"/>
      <w:spacing w:before="357" w:line="280" w:lineRule="exact"/>
      <w:jc w:val="right"/>
      <w:textAlignment w:val="center"/>
    </w:pPr>
    <w:rPr>
      <w:rFonts w:ascii="Times New Roman" w:eastAsia="宋体" w:hAnsi="Times New Roman" w:cs="Times New Roman"/>
      <w:kern w:val="0"/>
      <w:sz w:val="28"/>
      <w:szCs w:val="20"/>
    </w:rPr>
  </w:style>
  <w:style w:type="paragraph" w:customStyle="1" w:styleId="af2">
    <w:name w:val="样式"/>
    <w:qFormat/>
    <w:rsid w:val="00BC1C9C"/>
    <w:pPr>
      <w:widowControl w:val="0"/>
      <w:autoSpaceDE w:val="0"/>
      <w:autoSpaceDN w:val="0"/>
      <w:adjustRightInd w:val="0"/>
      <w:spacing w:after="160" w:line="259" w:lineRule="auto"/>
    </w:pPr>
    <w:rPr>
      <w:rFonts w:ascii="宋体" w:eastAsia="宋体" w:hAnsi="宋体" w:cs="宋体"/>
      <w:kern w:val="0"/>
      <w:sz w:val="24"/>
      <w:szCs w:val="24"/>
    </w:rPr>
  </w:style>
  <w:style w:type="table" w:styleId="af3">
    <w:name w:val="Table Grid"/>
    <w:basedOn w:val="a1"/>
    <w:qFormat/>
    <w:rsid w:val="00BC1C9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annotation text" w:uiPriority="0" w:qFormat="1"/>
    <w:lsdException w:name="header" w:uiPriority="0"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BC1C9C"/>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qFormat/>
    <w:rsid w:val="00BC1C9C"/>
    <w:pPr>
      <w:keepNext/>
      <w:keepLines/>
      <w:spacing w:before="260" w:after="260" w:line="415" w:lineRule="auto"/>
      <w:outlineLvl w:val="1"/>
    </w:pPr>
    <w:rPr>
      <w:rFonts w:ascii="Arial" w:eastAsia="黑体" w:hAnsi="Arial" w:cs="Times New Roman"/>
      <w:b/>
      <w:bCs/>
      <w:sz w:val="32"/>
      <w:szCs w:val="32"/>
    </w:rPr>
  </w:style>
  <w:style w:type="paragraph" w:styleId="3">
    <w:name w:val="heading 3"/>
    <w:basedOn w:val="a"/>
    <w:next w:val="a"/>
    <w:link w:val="3Char"/>
    <w:qFormat/>
    <w:rsid w:val="00BC1C9C"/>
    <w:pPr>
      <w:keepNext/>
      <w:keepLines/>
      <w:spacing w:before="260" w:after="260" w:line="415" w:lineRule="auto"/>
      <w:outlineLvl w:val="2"/>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BC1C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C1C9C"/>
    <w:rPr>
      <w:sz w:val="18"/>
      <w:szCs w:val="18"/>
    </w:rPr>
  </w:style>
  <w:style w:type="paragraph" w:styleId="a4">
    <w:name w:val="footer"/>
    <w:basedOn w:val="a"/>
    <w:link w:val="Char0"/>
    <w:uiPriority w:val="99"/>
    <w:unhideWhenUsed/>
    <w:qFormat/>
    <w:rsid w:val="00BC1C9C"/>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BC1C9C"/>
    <w:rPr>
      <w:sz w:val="18"/>
      <w:szCs w:val="18"/>
    </w:rPr>
  </w:style>
  <w:style w:type="character" w:customStyle="1" w:styleId="1Char">
    <w:name w:val="标题 1 Char"/>
    <w:basedOn w:val="a0"/>
    <w:link w:val="1"/>
    <w:qFormat/>
    <w:rsid w:val="00BC1C9C"/>
    <w:rPr>
      <w:rFonts w:ascii="Calibri" w:eastAsia="宋体" w:hAnsi="Calibri" w:cs="Times New Roman"/>
      <w:b/>
      <w:bCs/>
      <w:kern w:val="44"/>
      <w:sz w:val="44"/>
      <w:szCs w:val="44"/>
    </w:rPr>
  </w:style>
  <w:style w:type="character" w:customStyle="1" w:styleId="2Char">
    <w:name w:val="标题 2 Char"/>
    <w:basedOn w:val="a0"/>
    <w:link w:val="2"/>
    <w:rsid w:val="00BC1C9C"/>
    <w:rPr>
      <w:rFonts w:ascii="Arial" w:eastAsia="黑体" w:hAnsi="Arial" w:cs="Times New Roman"/>
      <w:b/>
      <w:bCs/>
      <w:sz w:val="32"/>
      <w:szCs w:val="32"/>
    </w:rPr>
  </w:style>
  <w:style w:type="character" w:customStyle="1" w:styleId="3Char">
    <w:name w:val="标题 3 Char"/>
    <w:basedOn w:val="a0"/>
    <w:link w:val="3"/>
    <w:rsid w:val="00BC1C9C"/>
    <w:rPr>
      <w:rFonts w:ascii="Calibri" w:eastAsia="宋体" w:hAnsi="Calibri" w:cs="Times New Roman"/>
      <w:b/>
      <w:bCs/>
      <w:sz w:val="32"/>
      <w:szCs w:val="32"/>
    </w:rPr>
  </w:style>
  <w:style w:type="numbering" w:customStyle="1" w:styleId="10">
    <w:name w:val="无列表1"/>
    <w:next w:val="a2"/>
    <w:uiPriority w:val="99"/>
    <w:semiHidden/>
    <w:unhideWhenUsed/>
    <w:rsid w:val="00BC1C9C"/>
  </w:style>
  <w:style w:type="character" w:styleId="a5">
    <w:name w:val="annotation reference"/>
    <w:uiPriority w:val="99"/>
    <w:qFormat/>
    <w:rsid w:val="00BC1C9C"/>
    <w:rPr>
      <w:sz w:val="21"/>
      <w:szCs w:val="21"/>
    </w:rPr>
  </w:style>
  <w:style w:type="character" w:styleId="a6">
    <w:name w:val="Hyperlink"/>
    <w:uiPriority w:val="99"/>
    <w:unhideWhenUsed/>
    <w:qFormat/>
    <w:rsid w:val="00BC1C9C"/>
    <w:rPr>
      <w:color w:val="0563C1"/>
      <w:u w:val="single"/>
    </w:rPr>
  </w:style>
  <w:style w:type="character" w:styleId="a7">
    <w:name w:val="page number"/>
    <w:qFormat/>
    <w:rsid w:val="00BC1C9C"/>
  </w:style>
  <w:style w:type="character" w:customStyle="1" w:styleId="font91">
    <w:name w:val="font91"/>
    <w:qFormat/>
    <w:rsid w:val="00BC1C9C"/>
    <w:rPr>
      <w:rFonts w:ascii="宋体" w:eastAsia="宋体" w:hAnsi="宋体" w:cs="宋体" w:hint="eastAsia"/>
      <w:color w:val="FF0000"/>
      <w:sz w:val="21"/>
      <w:szCs w:val="21"/>
      <w:u w:val="single"/>
    </w:rPr>
  </w:style>
  <w:style w:type="character" w:customStyle="1" w:styleId="Char1">
    <w:name w:val="批注主题 Char"/>
    <w:link w:val="a8"/>
    <w:qFormat/>
    <w:rsid w:val="00BC1C9C"/>
    <w:rPr>
      <w:b/>
      <w:bCs/>
      <w:szCs w:val="24"/>
    </w:rPr>
  </w:style>
  <w:style w:type="character" w:customStyle="1" w:styleId="font111">
    <w:name w:val="font111"/>
    <w:qFormat/>
    <w:rsid w:val="00BC1C9C"/>
    <w:rPr>
      <w:rFonts w:ascii="Eʩ" w:eastAsia="Eʩ" w:hAnsi="Eʩ" w:cs="Eʩ" w:hint="default"/>
      <w:color w:val="000000"/>
      <w:sz w:val="21"/>
      <w:szCs w:val="21"/>
      <w:u w:val="single"/>
    </w:rPr>
  </w:style>
  <w:style w:type="character" w:customStyle="1" w:styleId="Char10">
    <w:name w:val="批注文字 Char1"/>
    <w:qFormat/>
    <w:rsid w:val="00BC1C9C"/>
    <w:rPr>
      <w:rFonts w:ascii="Times New Roman" w:eastAsia="宋体" w:hAnsi="Times New Roman" w:cs="Times New Roman"/>
      <w:szCs w:val="24"/>
    </w:rPr>
  </w:style>
  <w:style w:type="character" w:customStyle="1" w:styleId="Char2">
    <w:name w:val="批注框文本 Char"/>
    <w:link w:val="a9"/>
    <w:qFormat/>
    <w:rsid w:val="00BC1C9C"/>
    <w:rPr>
      <w:sz w:val="18"/>
      <w:szCs w:val="18"/>
    </w:rPr>
  </w:style>
  <w:style w:type="character" w:customStyle="1" w:styleId="font31">
    <w:name w:val="font31"/>
    <w:qFormat/>
    <w:rsid w:val="00BC1C9C"/>
    <w:rPr>
      <w:rFonts w:ascii="宋体" w:eastAsia="宋体" w:hAnsi="宋体" w:cs="宋体" w:hint="eastAsia"/>
      <w:color w:val="000000"/>
      <w:sz w:val="21"/>
      <w:szCs w:val="21"/>
      <w:u w:val="none"/>
    </w:rPr>
  </w:style>
  <w:style w:type="character" w:customStyle="1" w:styleId="font101">
    <w:name w:val="font101"/>
    <w:qFormat/>
    <w:rsid w:val="00BC1C9C"/>
    <w:rPr>
      <w:rFonts w:ascii="宋体" w:eastAsia="宋体" w:hAnsi="宋体" w:cs="宋体" w:hint="eastAsia"/>
      <w:color w:val="000000"/>
      <w:sz w:val="21"/>
      <w:szCs w:val="21"/>
      <w:u w:val="single"/>
    </w:rPr>
  </w:style>
  <w:style w:type="character" w:customStyle="1" w:styleId="Char3">
    <w:name w:val="批注文字 Char"/>
    <w:qFormat/>
    <w:rsid w:val="00BC1C9C"/>
    <w:rPr>
      <w:kern w:val="2"/>
      <w:sz w:val="21"/>
      <w:szCs w:val="24"/>
    </w:rPr>
  </w:style>
  <w:style w:type="character" w:customStyle="1" w:styleId="Char4">
    <w:name w:val="文档结构图 Char"/>
    <w:link w:val="aa"/>
    <w:qFormat/>
    <w:rsid w:val="00BC1C9C"/>
    <w:rPr>
      <w:rFonts w:ascii="宋体"/>
      <w:sz w:val="18"/>
      <w:szCs w:val="18"/>
    </w:rPr>
  </w:style>
  <w:style w:type="paragraph" w:styleId="ab">
    <w:name w:val="Normal Indent"/>
    <w:basedOn w:val="a"/>
    <w:qFormat/>
    <w:rsid w:val="00BC1C9C"/>
    <w:pPr>
      <w:spacing w:after="160" w:line="259" w:lineRule="auto"/>
      <w:ind w:firstLineChars="200" w:firstLine="200"/>
    </w:pPr>
    <w:rPr>
      <w:rFonts w:ascii="Calibri" w:eastAsia="宋体" w:hAnsi="Calibri" w:cs="Times New Roman"/>
      <w:szCs w:val="24"/>
    </w:rPr>
  </w:style>
  <w:style w:type="paragraph" w:styleId="7">
    <w:name w:val="toc 7"/>
    <w:basedOn w:val="a"/>
    <w:next w:val="a"/>
    <w:qFormat/>
    <w:rsid w:val="00BC1C9C"/>
    <w:pPr>
      <w:spacing w:after="160" w:line="259" w:lineRule="auto"/>
      <w:ind w:leftChars="1200" w:left="2520"/>
    </w:pPr>
    <w:rPr>
      <w:rFonts w:ascii="Calibri" w:eastAsia="宋体" w:hAnsi="Calibri" w:cs="Times New Roman"/>
      <w:szCs w:val="24"/>
    </w:rPr>
  </w:style>
  <w:style w:type="paragraph" w:styleId="ac">
    <w:name w:val="annotation text"/>
    <w:basedOn w:val="a"/>
    <w:link w:val="Char20"/>
    <w:unhideWhenUsed/>
    <w:qFormat/>
    <w:rsid w:val="00BC1C9C"/>
    <w:pPr>
      <w:spacing w:after="160" w:line="259" w:lineRule="auto"/>
      <w:jc w:val="left"/>
    </w:pPr>
    <w:rPr>
      <w:rFonts w:ascii="Calibri" w:eastAsia="宋体" w:hAnsi="Calibri" w:cs="Times New Roman"/>
      <w:szCs w:val="24"/>
    </w:rPr>
  </w:style>
  <w:style w:type="character" w:customStyle="1" w:styleId="Char20">
    <w:name w:val="批注文字 Char2"/>
    <w:basedOn w:val="a0"/>
    <w:link w:val="ac"/>
    <w:rsid w:val="00BC1C9C"/>
    <w:rPr>
      <w:rFonts w:ascii="Calibri" w:eastAsia="宋体" w:hAnsi="Calibri" w:cs="Times New Roman"/>
      <w:szCs w:val="24"/>
    </w:rPr>
  </w:style>
  <w:style w:type="paragraph" w:styleId="a8">
    <w:name w:val="annotation subject"/>
    <w:basedOn w:val="ac"/>
    <w:next w:val="ac"/>
    <w:link w:val="Char1"/>
    <w:qFormat/>
    <w:rsid w:val="00BC1C9C"/>
    <w:rPr>
      <w:rFonts w:asciiTheme="minorHAnsi" w:eastAsiaTheme="minorEastAsia" w:hAnsiTheme="minorHAnsi" w:cstheme="minorBidi"/>
      <w:b/>
      <w:bCs/>
    </w:rPr>
  </w:style>
  <w:style w:type="character" w:customStyle="1" w:styleId="Char11">
    <w:name w:val="批注主题 Char1"/>
    <w:basedOn w:val="Char20"/>
    <w:uiPriority w:val="99"/>
    <w:semiHidden/>
    <w:rsid w:val="00BC1C9C"/>
    <w:rPr>
      <w:rFonts w:ascii="Calibri" w:eastAsia="宋体" w:hAnsi="Calibri" w:cs="Times New Roman"/>
      <w:b/>
      <w:bCs/>
      <w:szCs w:val="24"/>
    </w:rPr>
  </w:style>
  <w:style w:type="paragraph" w:styleId="9">
    <w:name w:val="toc 9"/>
    <w:basedOn w:val="a"/>
    <w:next w:val="a"/>
    <w:qFormat/>
    <w:rsid w:val="00BC1C9C"/>
    <w:pPr>
      <w:spacing w:after="160" w:line="259" w:lineRule="auto"/>
      <w:ind w:leftChars="1600" w:left="3360"/>
    </w:pPr>
    <w:rPr>
      <w:rFonts w:ascii="Calibri" w:eastAsia="宋体" w:hAnsi="Calibri" w:cs="Times New Roman"/>
      <w:szCs w:val="24"/>
    </w:rPr>
  </w:style>
  <w:style w:type="paragraph" w:styleId="8">
    <w:name w:val="toc 8"/>
    <w:basedOn w:val="a"/>
    <w:next w:val="a"/>
    <w:qFormat/>
    <w:rsid w:val="00BC1C9C"/>
    <w:pPr>
      <w:spacing w:after="160" w:line="259" w:lineRule="auto"/>
      <w:ind w:leftChars="1400" w:left="2940"/>
    </w:pPr>
    <w:rPr>
      <w:rFonts w:ascii="Calibri" w:eastAsia="宋体" w:hAnsi="Calibri" w:cs="Times New Roman"/>
      <w:szCs w:val="24"/>
    </w:rPr>
  </w:style>
  <w:style w:type="paragraph" w:styleId="aa">
    <w:name w:val="Document Map"/>
    <w:basedOn w:val="a"/>
    <w:link w:val="Char4"/>
    <w:qFormat/>
    <w:rsid w:val="00BC1C9C"/>
    <w:pPr>
      <w:spacing w:after="160" w:line="259" w:lineRule="auto"/>
    </w:pPr>
    <w:rPr>
      <w:rFonts w:ascii="宋体"/>
      <w:sz w:val="18"/>
      <w:szCs w:val="18"/>
    </w:rPr>
  </w:style>
  <w:style w:type="character" w:customStyle="1" w:styleId="Char12">
    <w:name w:val="文档结构图 Char1"/>
    <w:basedOn w:val="a0"/>
    <w:uiPriority w:val="99"/>
    <w:semiHidden/>
    <w:rsid w:val="00BC1C9C"/>
    <w:rPr>
      <w:rFonts w:ascii="宋体" w:eastAsia="宋体"/>
      <w:sz w:val="18"/>
      <w:szCs w:val="18"/>
    </w:rPr>
  </w:style>
  <w:style w:type="paragraph" w:styleId="ad">
    <w:name w:val="Body Text Indent"/>
    <w:basedOn w:val="a"/>
    <w:link w:val="Char5"/>
    <w:qFormat/>
    <w:rsid w:val="00BC1C9C"/>
    <w:pPr>
      <w:spacing w:after="160" w:line="259" w:lineRule="auto"/>
      <w:ind w:firstLine="630"/>
    </w:pPr>
    <w:rPr>
      <w:rFonts w:ascii="Calibri" w:eastAsia="宋体" w:hAnsi="Calibri" w:cs="Times New Roman"/>
      <w:sz w:val="32"/>
      <w:szCs w:val="20"/>
    </w:rPr>
  </w:style>
  <w:style w:type="character" w:customStyle="1" w:styleId="Char5">
    <w:name w:val="正文文本缩进 Char"/>
    <w:basedOn w:val="a0"/>
    <w:link w:val="ad"/>
    <w:rsid w:val="00BC1C9C"/>
    <w:rPr>
      <w:rFonts w:ascii="Calibri" w:eastAsia="宋体" w:hAnsi="Calibri" w:cs="Times New Roman"/>
      <w:sz w:val="32"/>
      <w:szCs w:val="20"/>
    </w:rPr>
  </w:style>
  <w:style w:type="paragraph" w:styleId="6">
    <w:name w:val="toc 6"/>
    <w:basedOn w:val="a"/>
    <w:next w:val="a"/>
    <w:qFormat/>
    <w:rsid w:val="00BC1C9C"/>
    <w:pPr>
      <w:spacing w:after="160" w:line="259" w:lineRule="auto"/>
      <w:ind w:leftChars="1000" w:left="2100"/>
    </w:pPr>
    <w:rPr>
      <w:rFonts w:ascii="Calibri" w:eastAsia="宋体" w:hAnsi="Calibri" w:cs="Times New Roman"/>
      <w:szCs w:val="24"/>
    </w:rPr>
  </w:style>
  <w:style w:type="paragraph" w:styleId="a9">
    <w:name w:val="Balloon Text"/>
    <w:basedOn w:val="a"/>
    <w:link w:val="Char2"/>
    <w:qFormat/>
    <w:rsid w:val="00BC1C9C"/>
    <w:pPr>
      <w:spacing w:after="160" w:line="259" w:lineRule="auto"/>
    </w:pPr>
    <w:rPr>
      <w:sz w:val="18"/>
      <w:szCs w:val="18"/>
    </w:rPr>
  </w:style>
  <w:style w:type="character" w:customStyle="1" w:styleId="Char13">
    <w:name w:val="批注框文本 Char1"/>
    <w:basedOn w:val="a0"/>
    <w:uiPriority w:val="99"/>
    <w:semiHidden/>
    <w:rsid w:val="00BC1C9C"/>
    <w:rPr>
      <w:sz w:val="18"/>
      <w:szCs w:val="18"/>
    </w:rPr>
  </w:style>
  <w:style w:type="paragraph" w:styleId="5">
    <w:name w:val="toc 5"/>
    <w:basedOn w:val="a"/>
    <w:next w:val="a"/>
    <w:qFormat/>
    <w:rsid w:val="00BC1C9C"/>
    <w:pPr>
      <w:spacing w:after="160" w:line="259" w:lineRule="auto"/>
      <w:ind w:leftChars="800" w:left="1680"/>
    </w:pPr>
    <w:rPr>
      <w:rFonts w:ascii="Calibri" w:eastAsia="宋体" w:hAnsi="Calibri" w:cs="Times New Roman"/>
      <w:szCs w:val="24"/>
    </w:rPr>
  </w:style>
  <w:style w:type="paragraph" w:styleId="30">
    <w:name w:val="toc 3"/>
    <w:basedOn w:val="a"/>
    <w:next w:val="a"/>
    <w:qFormat/>
    <w:rsid w:val="00BC1C9C"/>
    <w:pPr>
      <w:spacing w:after="160" w:line="259" w:lineRule="auto"/>
      <w:ind w:leftChars="400" w:left="840"/>
    </w:pPr>
    <w:rPr>
      <w:rFonts w:ascii="Calibri" w:eastAsia="宋体" w:hAnsi="Calibri" w:cs="Times New Roman"/>
      <w:szCs w:val="24"/>
    </w:rPr>
  </w:style>
  <w:style w:type="paragraph" w:styleId="ae">
    <w:name w:val="Plain Text"/>
    <w:basedOn w:val="a"/>
    <w:link w:val="Char6"/>
    <w:qFormat/>
    <w:rsid w:val="00BC1C9C"/>
    <w:pPr>
      <w:spacing w:after="160" w:line="259" w:lineRule="auto"/>
    </w:pPr>
    <w:rPr>
      <w:rFonts w:ascii="宋体" w:eastAsia="宋体" w:hAnsi="Courier New" w:cs="Times New Roman"/>
      <w:szCs w:val="24"/>
    </w:rPr>
  </w:style>
  <w:style w:type="character" w:customStyle="1" w:styleId="Char6">
    <w:name w:val="纯文本 Char"/>
    <w:basedOn w:val="a0"/>
    <w:link w:val="ae"/>
    <w:rsid w:val="00BC1C9C"/>
    <w:rPr>
      <w:rFonts w:ascii="宋体" w:eastAsia="宋体" w:hAnsi="Courier New" w:cs="Times New Roman"/>
      <w:szCs w:val="24"/>
    </w:rPr>
  </w:style>
  <w:style w:type="paragraph" w:styleId="4">
    <w:name w:val="toc 4"/>
    <w:basedOn w:val="a"/>
    <w:next w:val="a"/>
    <w:qFormat/>
    <w:rsid w:val="00BC1C9C"/>
    <w:pPr>
      <w:spacing w:after="160" w:line="259" w:lineRule="auto"/>
      <w:ind w:leftChars="600" w:left="1260"/>
    </w:pPr>
    <w:rPr>
      <w:rFonts w:ascii="Calibri" w:eastAsia="宋体" w:hAnsi="Calibri" w:cs="Times New Roman"/>
      <w:szCs w:val="24"/>
    </w:rPr>
  </w:style>
  <w:style w:type="character" w:customStyle="1" w:styleId="Char14">
    <w:name w:val="页脚 Char1"/>
    <w:basedOn w:val="a0"/>
    <w:uiPriority w:val="99"/>
    <w:semiHidden/>
    <w:rsid w:val="00BC1C9C"/>
    <w:rPr>
      <w:rFonts w:ascii="Calibri" w:hAnsi="Calibri"/>
      <w:kern w:val="2"/>
      <w:sz w:val="18"/>
      <w:szCs w:val="18"/>
    </w:rPr>
  </w:style>
  <w:style w:type="paragraph" w:styleId="11">
    <w:name w:val="toc 1"/>
    <w:basedOn w:val="a"/>
    <w:next w:val="a"/>
    <w:qFormat/>
    <w:rsid w:val="00BC1C9C"/>
    <w:pPr>
      <w:spacing w:after="160" w:line="259" w:lineRule="auto"/>
    </w:pPr>
    <w:rPr>
      <w:rFonts w:ascii="Calibri" w:eastAsia="宋体" w:hAnsi="Calibri" w:cs="Times New Roman"/>
      <w:szCs w:val="24"/>
    </w:rPr>
  </w:style>
  <w:style w:type="paragraph" w:styleId="af">
    <w:name w:val="Normal (Web)"/>
    <w:basedOn w:val="a"/>
    <w:qFormat/>
    <w:rsid w:val="00BC1C9C"/>
    <w:pPr>
      <w:widowControl/>
      <w:spacing w:before="100" w:beforeAutospacing="1" w:after="100" w:afterAutospacing="1" w:line="259" w:lineRule="auto"/>
      <w:jc w:val="left"/>
    </w:pPr>
    <w:rPr>
      <w:rFonts w:ascii="宋体" w:eastAsia="宋体" w:hAnsi="Calibri" w:cs="Times New Roman"/>
      <w:kern w:val="0"/>
      <w:sz w:val="18"/>
      <w:szCs w:val="18"/>
    </w:rPr>
  </w:style>
  <w:style w:type="paragraph" w:styleId="20">
    <w:name w:val="toc 2"/>
    <w:basedOn w:val="a"/>
    <w:next w:val="a"/>
    <w:qFormat/>
    <w:rsid w:val="00BC1C9C"/>
    <w:pPr>
      <w:spacing w:after="160" w:line="259" w:lineRule="auto"/>
      <w:ind w:leftChars="200" w:left="420"/>
    </w:pPr>
    <w:rPr>
      <w:rFonts w:ascii="Calibri" w:eastAsia="宋体" w:hAnsi="Calibri" w:cs="Times New Roman"/>
      <w:szCs w:val="24"/>
    </w:rPr>
  </w:style>
  <w:style w:type="paragraph" w:customStyle="1" w:styleId="21">
    <w:name w:val="修订2"/>
    <w:uiPriority w:val="99"/>
    <w:unhideWhenUsed/>
    <w:qFormat/>
    <w:rsid w:val="00BC1C9C"/>
    <w:rPr>
      <w:rFonts w:ascii="Calibri" w:eastAsia="宋体" w:hAnsi="Calibri" w:cs="Times New Roman"/>
      <w:szCs w:val="24"/>
    </w:rPr>
  </w:style>
  <w:style w:type="paragraph" w:customStyle="1" w:styleId="22">
    <w:name w:val="样式 首行缩进:  2 字符"/>
    <w:basedOn w:val="a"/>
    <w:qFormat/>
    <w:rsid w:val="00BC1C9C"/>
    <w:pPr>
      <w:spacing w:after="160" w:line="400" w:lineRule="exact"/>
      <w:ind w:firstLineChars="200" w:firstLine="200"/>
    </w:pPr>
    <w:rPr>
      <w:rFonts w:ascii="Calibri" w:eastAsia="宋体" w:hAnsi="Calibri" w:cs="宋体"/>
      <w:sz w:val="24"/>
      <w:szCs w:val="24"/>
    </w:rPr>
  </w:style>
  <w:style w:type="paragraph" w:customStyle="1" w:styleId="12">
    <w:name w:val="正文1"/>
    <w:qFormat/>
    <w:rsid w:val="00BC1C9C"/>
    <w:pPr>
      <w:widowControl w:val="0"/>
      <w:adjustRightInd w:val="0"/>
      <w:spacing w:after="160" w:line="312" w:lineRule="atLeast"/>
      <w:jc w:val="both"/>
      <w:textAlignment w:val="baseline"/>
    </w:pPr>
    <w:rPr>
      <w:rFonts w:ascii="宋体" w:eastAsia="宋体" w:hAnsi="Calibri" w:cs="Times New Roman"/>
      <w:kern w:val="0"/>
      <w:sz w:val="34"/>
    </w:rPr>
  </w:style>
  <w:style w:type="paragraph" w:customStyle="1" w:styleId="Style2">
    <w:name w:val="_Style 2"/>
    <w:basedOn w:val="a"/>
    <w:qFormat/>
    <w:rsid w:val="00BC1C9C"/>
    <w:pPr>
      <w:spacing w:after="160" w:line="259" w:lineRule="auto"/>
      <w:ind w:firstLineChars="200" w:firstLine="420"/>
    </w:pPr>
    <w:rPr>
      <w:rFonts w:ascii="Calibri" w:eastAsia="宋体" w:hAnsi="Calibri" w:cs="Times New Roman"/>
      <w:sz w:val="18"/>
      <w:szCs w:val="18"/>
    </w:rPr>
  </w:style>
  <w:style w:type="paragraph" w:customStyle="1" w:styleId="13">
    <w:name w:val="列出段落1"/>
    <w:basedOn w:val="a"/>
    <w:uiPriority w:val="99"/>
    <w:unhideWhenUsed/>
    <w:qFormat/>
    <w:rsid w:val="00BC1C9C"/>
    <w:pPr>
      <w:spacing w:after="160" w:line="259" w:lineRule="auto"/>
      <w:ind w:firstLineChars="200" w:firstLine="420"/>
    </w:pPr>
    <w:rPr>
      <w:rFonts w:ascii="Calibri" w:eastAsia="宋体" w:hAnsi="Calibri" w:cs="Times New Roman"/>
      <w:szCs w:val="24"/>
    </w:rPr>
  </w:style>
  <w:style w:type="paragraph" w:customStyle="1" w:styleId="14">
    <w:name w:val="修订1"/>
    <w:uiPriority w:val="99"/>
    <w:semiHidden/>
    <w:qFormat/>
    <w:rsid w:val="00BC1C9C"/>
    <w:rPr>
      <w:rFonts w:ascii="Calibri" w:eastAsia="宋体" w:hAnsi="Calibri" w:cs="Times New Roman"/>
      <w:szCs w:val="24"/>
    </w:rPr>
  </w:style>
  <w:style w:type="paragraph" w:customStyle="1" w:styleId="af0">
    <w:name w:val="正文首行缩进两字符"/>
    <w:basedOn w:val="a"/>
    <w:qFormat/>
    <w:rsid w:val="00BC1C9C"/>
    <w:pPr>
      <w:spacing w:after="160" w:line="360" w:lineRule="auto"/>
      <w:ind w:firstLineChars="200" w:firstLine="200"/>
    </w:pPr>
    <w:rPr>
      <w:rFonts w:ascii="Calibri" w:eastAsia="宋体" w:hAnsi="Calibri" w:cs="Times New Roman"/>
      <w:szCs w:val="24"/>
    </w:rPr>
  </w:style>
  <w:style w:type="paragraph" w:customStyle="1" w:styleId="af1">
    <w:name w:val="封面标准名称"/>
    <w:uiPriority w:val="99"/>
    <w:qFormat/>
    <w:rsid w:val="00BC1C9C"/>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23">
    <w:name w:val="封面标准号2"/>
    <w:basedOn w:val="a"/>
    <w:uiPriority w:val="99"/>
    <w:qFormat/>
    <w:rsid w:val="00BC1C9C"/>
    <w:pPr>
      <w:framePr w:w="9138" w:h="1244" w:hRule="exact" w:wrap="around" w:vAnchor="page" w:hAnchor="margin" w:y="2908"/>
      <w:kinsoku w:val="0"/>
      <w:overflowPunct w:val="0"/>
      <w:autoSpaceDE w:val="0"/>
      <w:autoSpaceDN w:val="0"/>
      <w:adjustRightInd w:val="0"/>
      <w:spacing w:before="357" w:line="280" w:lineRule="exact"/>
      <w:jc w:val="right"/>
      <w:textAlignment w:val="center"/>
    </w:pPr>
    <w:rPr>
      <w:rFonts w:ascii="Times New Roman" w:eastAsia="宋体" w:hAnsi="Times New Roman" w:cs="Times New Roman"/>
      <w:kern w:val="0"/>
      <w:sz w:val="28"/>
      <w:szCs w:val="20"/>
    </w:rPr>
  </w:style>
  <w:style w:type="paragraph" w:customStyle="1" w:styleId="af2">
    <w:name w:val="样式"/>
    <w:qFormat/>
    <w:rsid w:val="00BC1C9C"/>
    <w:pPr>
      <w:widowControl w:val="0"/>
      <w:autoSpaceDE w:val="0"/>
      <w:autoSpaceDN w:val="0"/>
      <w:adjustRightInd w:val="0"/>
      <w:spacing w:after="160" w:line="259" w:lineRule="auto"/>
    </w:pPr>
    <w:rPr>
      <w:rFonts w:ascii="宋体" w:eastAsia="宋体" w:hAnsi="宋体" w:cs="宋体"/>
      <w:kern w:val="0"/>
      <w:sz w:val="24"/>
      <w:szCs w:val="24"/>
    </w:rPr>
  </w:style>
  <w:style w:type="table" w:styleId="af3">
    <w:name w:val="Table Grid"/>
    <w:basedOn w:val="a1"/>
    <w:qFormat/>
    <w:rsid w:val="00BC1C9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3164</Words>
  <Characters>18039</Characters>
  <Application>Microsoft Office Word</Application>
  <DocSecurity>0</DocSecurity>
  <Lines>150</Lines>
  <Paragraphs>42</Paragraphs>
  <ScaleCrop>false</ScaleCrop>
  <Company>china</Company>
  <LinksUpToDate>false</LinksUpToDate>
  <CharactersWithSpaces>21161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匿名</dc:creator>
  <cp:keywords/>
  <dc:description/>
  <cp:lastModifiedBy>匿名</cp:lastModifiedBy>
  <cp:revision>3</cp:revision>
  <dcterms:created xsi:type="dcterms:W3CDTF">2021-07-22T03:27:00Z</dcterms:created>
  <dcterms:modified xsi:type="dcterms:W3CDTF">2021-07-22T03:28:00Z</dcterms:modified>
</cp:coreProperties>
</file>