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24" w:rsidRDefault="008C4624" w:rsidP="008C4624">
      <w:pPr>
        <w:pStyle w:val="2"/>
        <w:keepNext w:val="0"/>
        <w:keepLines w:val="0"/>
        <w:spacing w:before="0" w:after="0" w:line="400" w:lineRule="exact"/>
        <w:ind w:firstLineChars="49" w:firstLine="118"/>
        <w:jc w:val="left"/>
        <w:rPr>
          <w:rFonts w:ascii="仿宋" w:eastAsia="仿宋" w:hAnsi="仿宋"/>
          <w:sz w:val="24"/>
          <w:szCs w:val="24"/>
        </w:rPr>
      </w:pPr>
      <w:r>
        <w:rPr>
          <w:rFonts w:ascii="仿宋" w:eastAsia="仿宋" w:hAnsi="仿宋" w:hint="eastAsia"/>
          <w:sz w:val="24"/>
          <w:szCs w:val="24"/>
        </w:rPr>
        <w:t>前提：</w:t>
      </w:r>
      <w:r>
        <w:rPr>
          <w:rFonts w:ascii="仿宋" w:eastAsia="仿宋" w:hAnsi="仿宋"/>
          <w:sz w:val="24"/>
          <w:szCs w:val="24"/>
        </w:rPr>
        <w:t>本章采购需求中标注“*”号的条款为本次磋商采购项目的实质性要求，供应商应全部满足。</w:t>
      </w:r>
    </w:p>
    <w:p w:rsidR="008C4624" w:rsidRDefault="008C4624" w:rsidP="008C462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rsidR="008C4624" w:rsidRDefault="008C4624" w:rsidP="008C4624">
      <w:pPr>
        <w:pStyle w:val="a6"/>
        <w:spacing w:line="400" w:lineRule="exact"/>
        <w:ind w:firstLine="480"/>
        <w:rPr>
          <w:rFonts w:ascii="仿宋" w:eastAsia="仿宋" w:hAnsi="仿宋"/>
          <w:bCs/>
          <w:sz w:val="24"/>
        </w:rPr>
      </w:pPr>
      <w:r>
        <w:rPr>
          <w:rFonts w:ascii="仿宋" w:eastAsia="仿宋" w:hAnsi="仿宋" w:hint="eastAsia"/>
          <w:bCs/>
          <w:sz w:val="24"/>
        </w:rPr>
        <w:t>本项目共1个包，采购成都市龙泉驿区民政局社区嵌入式养老服务品牌打造和形象升级服务。</w:t>
      </w:r>
    </w:p>
    <w:p w:rsidR="008C4624" w:rsidRDefault="008C4624" w:rsidP="008C462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63"/>
        <w:gridCol w:w="1370"/>
        <w:gridCol w:w="1915"/>
        <w:gridCol w:w="1840"/>
        <w:gridCol w:w="1467"/>
      </w:tblGrid>
      <w:tr w:rsidR="008C4624" w:rsidTr="00852D0A">
        <w:trPr>
          <w:trHeight w:val="390"/>
        </w:trPr>
        <w:tc>
          <w:tcPr>
            <w:tcW w:w="507" w:type="pct"/>
            <w:vAlign w:val="center"/>
          </w:tcPr>
          <w:p w:rsidR="008C4624" w:rsidRDefault="008C4624" w:rsidP="00852D0A">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520" w:type="pct"/>
            <w:vAlign w:val="center"/>
          </w:tcPr>
          <w:p w:rsidR="008C4624" w:rsidRDefault="008C4624" w:rsidP="00852D0A">
            <w:pPr>
              <w:widowControl/>
              <w:spacing w:line="360" w:lineRule="atLeast"/>
              <w:jc w:val="center"/>
              <w:outlineLvl w:val="1"/>
              <w:rPr>
                <w:rFonts w:ascii="仿宋" w:eastAsia="仿宋" w:hAnsi="仿宋"/>
                <w:sz w:val="24"/>
              </w:rPr>
            </w:pPr>
            <w:r>
              <w:rPr>
                <w:rFonts w:ascii="仿宋" w:eastAsia="仿宋" w:hAnsi="仿宋" w:hint="eastAsia"/>
                <w:sz w:val="24"/>
              </w:rPr>
              <w:t>包号</w:t>
            </w:r>
          </w:p>
        </w:tc>
        <w:tc>
          <w:tcPr>
            <w:tcW w:w="826" w:type="pct"/>
          </w:tcPr>
          <w:p w:rsidR="008C4624" w:rsidRDefault="008C4624" w:rsidP="00852D0A">
            <w:pPr>
              <w:widowControl/>
              <w:spacing w:line="360" w:lineRule="atLeast"/>
              <w:jc w:val="center"/>
              <w:outlineLvl w:val="1"/>
              <w:rPr>
                <w:rFonts w:ascii="仿宋" w:eastAsia="仿宋" w:hAnsi="仿宋"/>
                <w:sz w:val="24"/>
              </w:rPr>
            </w:pPr>
            <w:r>
              <w:rPr>
                <w:rFonts w:ascii="仿宋" w:eastAsia="仿宋" w:hAnsi="仿宋" w:hint="eastAsia"/>
                <w:sz w:val="24"/>
              </w:rPr>
              <w:t>品目号</w:t>
            </w:r>
          </w:p>
        </w:tc>
        <w:tc>
          <w:tcPr>
            <w:tcW w:w="1154" w:type="pct"/>
            <w:vAlign w:val="center"/>
          </w:tcPr>
          <w:p w:rsidR="008C4624" w:rsidRDefault="008C4624" w:rsidP="00852D0A">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109" w:type="pct"/>
          </w:tcPr>
          <w:p w:rsidR="008C4624" w:rsidRDefault="008C4624" w:rsidP="00852D0A">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c>
          <w:tcPr>
            <w:tcW w:w="884" w:type="pct"/>
            <w:vAlign w:val="center"/>
          </w:tcPr>
          <w:p w:rsidR="008C4624" w:rsidRDefault="008C4624" w:rsidP="00852D0A">
            <w:pPr>
              <w:widowControl/>
              <w:spacing w:line="360" w:lineRule="atLeast"/>
              <w:jc w:val="center"/>
              <w:outlineLvl w:val="1"/>
              <w:rPr>
                <w:rFonts w:ascii="仿宋" w:eastAsia="仿宋" w:hAnsi="仿宋"/>
                <w:sz w:val="24"/>
              </w:rPr>
            </w:pPr>
            <w:r>
              <w:rPr>
                <w:rFonts w:ascii="仿宋" w:eastAsia="仿宋" w:hAnsi="仿宋" w:hint="eastAsia"/>
                <w:sz w:val="24"/>
              </w:rPr>
              <w:t>数量</w:t>
            </w:r>
          </w:p>
        </w:tc>
      </w:tr>
      <w:tr w:rsidR="008C4624" w:rsidTr="00852D0A">
        <w:trPr>
          <w:trHeight w:val="374"/>
        </w:trPr>
        <w:tc>
          <w:tcPr>
            <w:tcW w:w="507" w:type="pct"/>
          </w:tcPr>
          <w:p w:rsidR="008C4624" w:rsidRDefault="008C4624" w:rsidP="00852D0A">
            <w:pPr>
              <w:widowControl/>
              <w:spacing w:line="360" w:lineRule="atLeast"/>
              <w:jc w:val="center"/>
              <w:outlineLvl w:val="1"/>
              <w:rPr>
                <w:rFonts w:ascii="仿宋" w:eastAsia="仿宋" w:hAnsi="仿宋"/>
                <w:sz w:val="24"/>
              </w:rPr>
            </w:pPr>
            <w:r>
              <w:rPr>
                <w:rFonts w:ascii="仿宋" w:eastAsia="仿宋" w:hAnsi="仿宋" w:hint="eastAsia"/>
                <w:sz w:val="24"/>
              </w:rPr>
              <w:t>1</w:t>
            </w:r>
          </w:p>
        </w:tc>
        <w:tc>
          <w:tcPr>
            <w:tcW w:w="520" w:type="pct"/>
          </w:tcPr>
          <w:p w:rsidR="008C4624" w:rsidRDefault="008C4624" w:rsidP="00852D0A">
            <w:pPr>
              <w:widowControl/>
              <w:spacing w:line="360" w:lineRule="atLeast"/>
              <w:jc w:val="center"/>
              <w:outlineLvl w:val="1"/>
              <w:rPr>
                <w:rFonts w:ascii="仿宋" w:eastAsia="仿宋" w:hAnsi="仿宋"/>
                <w:sz w:val="24"/>
              </w:rPr>
            </w:pPr>
            <w:r>
              <w:rPr>
                <w:rFonts w:ascii="仿宋" w:eastAsia="仿宋" w:hAnsi="仿宋" w:hint="eastAsia"/>
                <w:sz w:val="24"/>
              </w:rPr>
              <w:t>0</w:t>
            </w:r>
            <w:r>
              <w:rPr>
                <w:rFonts w:ascii="仿宋" w:eastAsia="仿宋" w:hAnsi="仿宋"/>
                <w:sz w:val="24"/>
              </w:rPr>
              <w:t>1</w:t>
            </w:r>
          </w:p>
        </w:tc>
        <w:tc>
          <w:tcPr>
            <w:tcW w:w="826" w:type="pct"/>
          </w:tcPr>
          <w:p w:rsidR="008C4624" w:rsidRDefault="008C4624" w:rsidP="00852D0A">
            <w:pPr>
              <w:widowControl/>
              <w:spacing w:line="360" w:lineRule="atLeast"/>
              <w:jc w:val="center"/>
              <w:outlineLvl w:val="1"/>
              <w:rPr>
                <w:rFonts w:ascii="仿宋" w:eastAsia="仿宋" w:hAnsi="仿宋"/>
                <w:sz w:val="24"/>
              </w:rPr>
            </w:pPr>
            <w:r>
              <w:rPr>
                <w:rFonts w:ascii="仿宋" w:eastAsia="仿宋" w:hAnsi="仿宋" w:hint="eastAsia"/>
                <w:sz w:val="24"/>
              </w:rPr>
              <w:t>0</w:t>
            </w:r>
            <w:r>
              <w:rPr>
                <w:rFonts w:ascii="仿宋" w:eastAsia="仿宋" w:hAnsi="仿宋"/>
                <w:sz w:val="24"/>
              </w:rPr>
              <w:t>1</w:t>
            </w:r>
            <w:r>
              <w:rPr>
                <w:rFonts w:ascii="仿宋" w:eastAsia="仿宋" w:hAnsi="仿宋" w:hint="eastAsia"/>
                <w:sz w:val="24"/>
              </w:rPr>
              <w:t>-</w:t>
            </w:r>
            <w:r>
              <w:rPr>
                <w:rFonts w:ascii="仿宋" w:eastAsia="仿宋" w:hAnsi="仿宋"/>
                <w:sz w:val="24"/>
              </w:rPr>
              <w:t>01</w:t>
            </w:r>
          </w:p>
        </w:tc>
        <w:tc>
          <w:tcPr>
            <w:tcW w:w="1154" w:type="pct"/>
          </w:tcPr>
          <w:p w:rsidR="008C4624" w:rsidRDefault="008C4624" w:rsidP="00852D0A">
            <w:pPr>
              <w:widowControl/>
              <w:spacing w:line="360" w:lineRule="atLeast"/>
              <w:jc w:val="left"/>
              <w:outlineLvl w:val="1"/>
              <w:rPr>
                <w:rFonts w:ascii="仿宋" w:eastAsia="仿宋" w:hAnsi="仿宋"/>
                <w:sz w:val="24"/>
              </w:rPr>
            </w:pPr>
            <w:r>
              <w:rPr>
                <w:rFonts w:ascii="仿宋" w:eastAsia="仿宋" w:hAnsi="仿宋" w:hint="eastAsia"/>
                <w:bCs/>
                <w:sz w:val="24"/>
              </w:rPr>
              <w:t>社区嵌入式养老服务品牌打造和形象升级服务</w:t>
            </w:r>
          </w:p>
        </w:tc>
        <w:tc>
          <w:tcPr>
            <w:tcW w:w="1109" w:type="pct"/>
          </w:tcPr>
          <w:p w:rsidR="008C4624" w:rsidRDefault="008C4624" w:rsidP="00852D0A">
            <w:pPr>
              <w:widowControl/>
              <w:spacing w:line="360" w:lineRule="atLeast"/>
              <w:jc w:val="center"/>
              <w:outlineLvl w:val="1"/>
              <w:rPr>
                <w:rFonts w:ascii="仿宋" w:eastAsia="仿宋" w:hAnsi="仿宋"/>
                <w:sz w:val="24"/>
              </w:rPr>
            </w:pPr>
            <w:r>
              <w:rPr>
                <w:rFonts w:ascii="仿宋" w:eastAsia="仿宋" w:hAnsi="仿宋" w:hint="eastAsia"/>
                <w:sz w:val="24"/>
              </w:rPr>
              <w:t>其他未列明行业</w:t>
            </w:r>
          </w:p>
        </w:tc>
        <w:tc>
          <w:tcPr>
            <w:tcW w:w="884" w:type="pct"/>
          </w:tcPr>
          <w:p w:rsidR="008C4624" w:rsidRDefault="008C4624" w:rsidP="00852D0A">
            <w:pPr>
              <w:widowControl/>
              <w:spacing w:line="360" w:lineRule="atLeast"/>
              <w:jc w:val="center"/>
              <w:outlineLvl w:val="1"/>
              <w:rPr>
                <w:rFonts w:ascii="仿宋" w:eastAsia="仿宋" w:hAnsi="仿宋"/>
                <w:sz w:val="24"/>
              </w:rPr>
            </w:pPr>
            <w:r>
              <w:rPr>
                <w:rFonts w:ascii="仿宋" w:eastAsia="仿宋" w:hAnsi="仿宋" w:hint="eastAsia"/>
                <w:sz w:val="24"/>
              </w:rPr>
              <w:t>1</w:t>
            </w:r>
          </w:p>
        </w:tc>
      </w:tr>
    </w:tbl>
    <w:p w:rsidR="008C4624" w:rsidRDefault="008C4624" w:rsidP="008C4624">
      <w:pPr>
        <w:rPr>
          <w:rFonts w:ascii="仿宋" w:eastAsia="仿宋" w:hAnsi="仿宋"/>
        </w:rPr>
      </w:pPr>
    </w:p>
    <w:p w:rsidR="008C4624" w:rsidRDefault="008C4624" w:rsidP="008C462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三、项目要求</w:t>
      </w:r>
    </w:p>
    <w:p w:rsidR="008C4624" w:rsidRDefault="008C4624" w:rsidP="008C4624">
      <w:pPr>
        <w:spacing w:line="360" w:lineRule="auto"/>
        <w:rPr>
          <w:rFonts w:ascii="仿宋" w:eastAsia="仿宋" w:hAnsi="仿宋" w:cstheme="minorEastAsia"/>
          <w:sz w:val="24"/>
        </w:rPr>
      </w:pPr>
      <w:r>
        <w:rPr>
          <w:rFonts w:ascii="仿宋" w:eastAsia="仿宋" w:hAnsi="仿宋" w:cstheme="minorEastAsia" w:hint="eastAsia"/>
          <w:b/>
          <w:sz w:val="24"/>
        </w:rPr>
        <w:t>（一）工程地点：</w:t>
      </w:r>
      <w:r>
        <w:rPr>
          <w:rFonts w:ascii="仿宋" w:eastAsia="仿宋" w:hAnsi="仿宋" w:cstheme="minorEastAsia" w:hint="eastAsia"/>
          <w:sz w:val="24"/>
        </w:rPr>
        <w:t>本项目共计</w:t>
      </w:r>
      <w:r>
        <w:rPr>
          <w:rFonts w:ascii="仿宋" w:eastAsia="仿宋" w:hAnsi="仿宋" w:cstheme="minorEastAsia" w:hint="eastAsia"/>
          <w:color w:val="0000FF"/>
          <w:sz w:val="24"/>
        </w:rPr>
        <w:t>17</w:t>
      </w:r>
      <w:r>
        <w:rPr>
          <w:rFonts w:ascii="仿宋" w:eastAsia="仿宋" w:hAnsi="仿宋" w:cstheme="minorEastAsia" w:hint="eastAsia"/>
          <w:sz w:val="24"/>
        </w:rPr>
        <w:t>个社区养老服务设施点位(部分点位根据实际情况有可调整）。</w:t>
      </w:r>
    </w:p>
    <w:p w:rsidR="008C4624" w:rsidRDefault="008C4624" w:rsidP="008C4624">
      <w:pPr>
        <w:spacing w:line="360" w:lineRule="auto"/>
        <w:rPr>
          <w:rFonts w:ascii="仿宋" w:eastAsia="仿宋" w:hAnsi="仿宋" w:cstheme="minorEastAsia"/>
          <w:b/>
          <w:sz w:val="24"/>
        </w:rPr>
      </w:pPr>
      <w:r>
        <w:rPr>
          <w:rFonts w:ascii="仿宋" w:eastAsia="仿宋" w:hAnsi="仿宋" w:cstheme="minorEastAsia" w:hint="eastAsia"/>
          <w:b/>
          <w:sz w:val="24"/>
        </w:rPr>
        <w:t>（二）委托服务范围</w:t>
      </w:r>
    </w:p>
    <w:p w:rsidR="008C4624" w:rsidRDefault="008C4624" w:rsidP="008C4624">
      <w:pPr>
        <w:numPr>
          <w:ilvl w:val="0"/>
          <w:numId w:val="1"/>
        </w:numPr>
        <w:spacing w:line="360" w:lineRule="auto"/>
        <w:rPr>
          <w:rFonts w:ascii="仿宋" w:eastAsia="仿宋" w:hAnsi="仿宋"/>
          <w:color w:val="0000FF"/>
          <w:sz w:val="24"/>
        </w:rPr>
      </w:pPr>
      <w:r>
        <w:rPr>
          <w:rFonts w:ascii="仿宋" w:eastAsia="仿宋" w:hAnsi="仿宋" w:cstheme="minorEastAsia" w:hint="eastAsia"/>
          <w:sz w:val="24"/>
        </w:rPr>
        <w:t>设计范围：</w:t>
      </w:r>
      <w:r>
        <w:rPr>
          <w:rFonts w:ascii="仿宋" w:eastAsia="仿宋" w:hAnsi="仿宋" w:cstheme="minorEastAsia" w:hint="eastAsia"/>
          <w:color w:val="0000FF"/>
          <w:sz w:val="24"/>
        </w:rPr>
        <w:t>17</w:t>
      </w:r>
      <w:r>
        <w:rPr>
          <w:rFonts w:ascii="仿宋" w:eastAsia="仿宋" w:hAnsi="仿宋" w:hint="eastAsia"/>
          <w:color w:val="0000FF"/>
          <w:sz w:val="24"/>
        </w:rPr>
        <w:t>个点位包含</w:t>
      </w:r>
      <w:r>
        <w:rPr>
          <w:rFonts w:ascii="仿宋" w:eastAsia="仿宋" w:hAnsi="仿宋" w:cstheme="minorEastAsia" w:hint="eastAsia"/>
          <w:color w:val="0000FF"/>
          <w:sz w:val="24"/>
        </w:rPr>
        <w:t>8个</w:t>
      </w:r>
      <w:r>
        <w:rPr>
          <w:rFonts w:ascii="仿宋" w:eastAsia="仿宋" w:hAnsi="仿宋" w:hint="eastAsia"/>
          <w:color w:val="0000FF"/>
          <w:sz w:val="24"/>
        </w:rPr>
        <w:t>社区嵌入式养老服务示范点及</w:t>
      </w:r>
      <w:r>
        <w:rPr>
          <w:rFonts w:ascii="仿宋" w:eastAsia="仿宋" w:hAnsi="仿宋" w:cstheme="minorEastAsia" w:hint="eastAsia"/>
          <w:color w:val="0000FF"/>
          <w:sz w:val="24"/>
        </w:rPr>
        <w:t>9个</w:t>
      </w:r>
      <w:r>
        <w:rPr>
          <w:rFonts w:ascii="仿宋" w:eastAsia="仿宋" w:hAnsi="仿宋" w:hint="eastAsia"/>
          <w:color w:val="0000FF"/>
          <w:sz w:val="24"/>
        </w:rPr>
        <w:t>社区养老服务综合体。</w:t>
      </w:r>
    </w:p>
    <w:p w:rsidR="008C4624" w:rsidRDefault="008C4624" w:rsidP="008C4624">
      <w:pPr>
        <w:numPr>
          <w:ilvl w:val="0"/>
          <w:numId w:val="1"/>
        </w:numPr>
        <w:spacing w:line="360" w:lineRule="auto"/>
        <w:rPr>
          <w:rFonts w:ascii="仿宋" w:eastAsia="仿宋" w:hAnsi="仿宋" w:cstheme="minorEastAsia"/>
          <w:sz w:val="24"/>
        </w:rPr>
      </w:pPr>
      <w:r>
        <w:rPr>
          <w:rFonts w:ascii="仿宋" w:eastAsia="仿宋" w:hAnsi="仿宋" w:cstheme="minorEastAsia" w:hint="eastAsia"/>
          <w:sz w:val="24"/>
        </w:rPr>
        <w:t>具体到每个点位的设计包括建筑改造、电梯加建、结构优化、室内空间、室外空间、门头等设计。</w:t>
      </w:r>
    </w:p>
    <w:p w:rsidR="008C4624" w:rsidRDefault="008C4624" w:rsidP="008C4624">
      <w:pPr>
        <w:spacing w:line="360" w:lineRule="auto"/>
        <w:rPr>
          <w:rFonts w:ascii="仿宋" w:eastAsia="仿宋" w:hAnsi="仿宋" w:cstheme="minorEastAsia"/>
          <w:b/>
          <w:sz w:val="24"/>
        </w:rPr>
      </w:pPr>
      <w:r>
        <w:rPr>
          <w:rFonts w:ascii="仿宋" w:eastAsia="仿宋" w:hAnsi="仿宋" w:cstheme="minorEastAsia" w:hint="eastAsia"/>
          <w:b/>
          <w:sz w:val="24"/>
        </w:rPr>
        <w:t>（三）设计服务要求</w:t>
      </w:r>
    </w:p>
    <w:p w:rsidR="008C4624" w:rsidRDefault="008C4624" w:rsidP="008C4624">
      <w:pPr>
        <w:numPr>
          <w:ilvl w:val="0"/>
          <w:numId w:val="2"/>
        </w:numPr>
        <w:spacing w:line="360" w:lineRule="auto"/>
        <w:rPr>
          <w:rFonts w:ascii="仿宋" w:eastAsia="仿宋" w:hAnsi="仿宋" w:cstheme="minorEastAsia"/>
          <w:sz w:val="24"/>
        </w:rPr>
      </w:pPr>
      <w:r>
        <w:rPr>
          <w:rFonts w:ascii="仿宋" w:eastAsia="仿宋" w:hAnsi="仿宋" w:cstheme="minorEastAsia" w:hint="eastAsia"/>
          <w:sz w:val="24"/>
        </w:rPr>
        <w:t>供应商应确定至少1人全程具体负责本项目，并配备4名相关专业人员配合设计工作。</w:t>
      </w:r>
    </w:p>
    <w:p w:rsidR="008C4624" w:rsidRDefault="008C4624" w:rsidP="008C4624">
      <w:pPr>
        <w:numPr>
          <w:ilvl w:val="0"/>
          <w:numId w:val="2"/>
        </w:numPr>
        <w:spacing w:line="360" w:lineRule="auto"/>
        <w:rPr>
          <w:rFonts w:ascii="仿宋" w:eastAsia="仿宋" w:hAnsi="仿宋"/>
          <w:color w:val="5B9BD5" w:themeColor="accent1"/>
          <w:sz w:val="24"/>
        </w:rPr>
      </w:pPr>
      <w:r>
        <w:rPr>
          <w:rFonts w:ascii="仿宋" w:eastAsia="仿宋" w:hAnsi="仿宋" w:cstheme="minorEastAsia" w:hint="eastAsia"/>
          <w:sz w:val="24"/>
        </w:rPr>
        <w:t>划分项目分类：根据项目面积及区域情况对项目点位进行分类为社区嵌入式养老或社区养老综合体，并提供专业依据及运营建议。</w:t>
      </w:r>
      <w:r>
        <w:rPr>
          <w:rFonts w:ascii="仿宋" w:eastAsia="仿宋" w:hAnsi="仿宋" w:cstheme="minorEastAsia" w:hint="eastAsia"/>
          <w:color w:val="5B9BD5" w:themeColor="accent1"/>
          <w:sz w:val="24"/>
        </w:rPr>
        <w:t>根据点位情况增加电梯及进行建筑结构优化调整。</w:t>
      </w:r>
    </w:p>
    <w:p w:rsidR="008C4624" w:rsidRDefault="008C4624" w:rsidP="008C4624">
      <w:pPr>
        <w:numPr>
          <w:ilvl w:val="0"/>
          <w:numId w:val="2"/>
        </w:numPr>
        <w:spacing w:line="360" w:lineRule="auto"/>
        <w:rPr>
          <w:rFonts w:ascii="仿宋" w:eastAsia="仿宋" w:hAnsi="仿宋" w:cstheme="minorEastAsia"/>
          <w:sz w:val="24"/>
        </w:rPr>
      </w:pPr>
      <w:r>
        <w:rPr>
          <w:rFonts w:ascii="仿宋" w:eastAsia="仿宋" w:hAnsi="仿宋" w:cstheme="minorEastAsia" w:hint="eastAsia"/>
          <w:sz w:val="24"/>
        </w:rPr>
        <w:t>装修标准化制定：根据社区养老项目的专业性制定装修标准（如：不同区域的标准用色、用材等），满足不同功能区域的使用特点和运营便利性且需要满足适老化设计标准。制作标准化装修手册，以达到</w:t>
      </w:r>
      <w:r>
        <w:rPr>
          <w:rFonts w:ascii="仿宋" w:eastAsia="仿宋" w:hAnsi="仿宋" w:cstheme="minorEastAsia" w:hint="eastAsia"/>
          <w:color w:val="0000FF"/>
          <w:sz w:val="24"/>
        </w:rPr>
        <w:t>17</w:t>
      </w:r>
      <w:r>
        <w:rPr>
          <w:rFonts w:ascii="仿宋" w:eastAsia="仿宋" w:hAnsi="仿宋" w:cstheme="minorEastAsia" w:hint="eastAsia"/>
          <w:sz w:val="24"/>
        </w:rPr>
        <w:t>个点位呈现效果的整体性、</w:t>
      </w:r>
      <w:r>
        <w:rPr>
          <w:rFonts w:ascii="仿宋" w:eastAsia="仿宋" w:hAnsi="仿宋" w:cstheme="minorEastAsia" w:hint="eastAsia"/>
          <w:sz w:val="24"/>
        </w:rPr>
        <w:lastRenderedPageBreak/>
        <w:t>规范性。</w:t>
      </w:r>
    </w:p>
    <w:p w:rsidR="008C4624" w:rsidRDefault="008C4624" w:rsidP="008C4624">
      <w:pPr>
        <w:numPr>
          <w:ilvl w:val="0"/>
          <w:numId w:val="2"/>
        </w:numPr>
        <w:spacing w:line="360" w:lineRule="auto"/>
        <w:rPr>
          <w:rFonts w:ascii="仿宋" w:eastAsia="仿宋" w:hAnsi="仿宋" w:cstheme="minorEastAsia"/>
          <w:sz w:val="24"/>
        </w:rPr>
      </w:pPr>
      <w:r>
        <w:rPr>
          <w:rFonts w:ascii="仿宋" w:eastAsia="仿宋" w:hAnsi="仿宋" w:cstheme="minorEastAsia" w:hint="eastAsia"/>
          <w:sz w:val="24"/>
        </w:rPr>
        <w:t>适老化专项设计：所有设计需满足</w:t>
      </w:r>
      <w:r>
        <w:rPr>
          <w:rFonts w:ascii="仿宋" w:eastAsia="仿宋" w:hAnsi="仿宋" w:cstheme="minorEastAsia" w:hint="eastAsia"/>
          <w:color w:val="333333"/>
          <w:spacing w:val="12"/>
          <w:kern w:val="0"/>
          <w:sz w:val="24"/>
        </w:rPr>
        <w:t>《老年人照料设施建筑设计标准》（JGJ 450-2018）、《社区老年人日间照料中心设施设备配置》（GB/T 33169-2016)、《城镇老年人设施规划规范》（GB50437-2007）、《无障碍设计规范》（GB 50763-2012)等相关规范要求，并需要进行适老化设计专项汇报。</w:t>
      </w:r>
    </w:p>
    <w:p w:rsidR="008C4624" w:rsidRDefault="008C4624" w:rsidP="008C4624">
      <w:pPr>
        <w:numPr>
          <w:ilvl w:val="0"/>
          <w:numId w:val="2"/>
        </w:numPr>
        <w:spacing w:line="360" w:lineRule="auto"/>
        <w:rPr>
          <w:rFonts w:ascii="仿宋" w:eastAsia="仿宋" w:hAnsi="仿宋" w:cstheme="minorEastAsia"/>
          <w:sz w:val="24"/>
        </w:rPr>
      </w:pPr>
      <w:r>
        <w:rPr>
          <w:rFonts w:ascii="仿宋" w:eastAsia="仿宋" w:hAnsi="仿宋" w:cstheme="minorEastAsia" w:hint="eastAsia"/>
          <w:color w:val="333333"/>
          <w:spacing w:val="12"/>
          <w:kern w:val="0"/>
          <w:sz w:val="24"/>
        </w:rPr>
        <w:t>布局设计要求：所有点位布局需要融合社区自身情况进行服务内容的配置，满足运营可持续性，并邀请至少一位养老服务业专家提供布局建议。</w:t>
      </w:r>
    </w:p>
    <w:p w:rsidR="008C4624" w:rsidRDefault="008C4624" w:rsidP="008C4624">
      <w:pPr>
        <w:numPr>
          <w:ilvl w:val="0"/>
          <w:numId w:val="2"/>
        </w:numPr>
        <w:spacing w:line="360" w:lineRule="auto"/>
        <w:rPr>
          <w:rFonts w:ascii="仿宋" w:eastAsia="仿宋" w:hAnsi="仿宋" w:cstheme="minorEastAsia"/>
          <w:sz w:val="24"/>
        </w:rPr>
      </w:pPr>
      <w:r>
        <w:rPr>
          <w:rFonts w:ascii="仿宋" w:eastAsia="仿宋" w:hAnsi="仿宋" w:cstheme="minorEastAsia" w:hint="eastAsia"/>
          <w:color w:val="333333"/>
          <w:spacing w:val="12"/>
          <w:kern w:val="0"/>
          <w:sz w:val="24"/>
        </w:rPr>
        <w:t>装饰效果要求：满足老人审美要求并具有全龄友好的创新设计风格，符合项目自身定位。</w:t>
      </w:r>
    </w:p>
    <w:p w:rsidR="008C4624" w:rsidRDefault="008C4624" w:rsidP="008C4624">
      <w:pPr>
        <w:numPr>
          <w:ilvl w:val="0"/>
          <w:numId w:val="2"/>
        </w:numPr>
        <w:spacing w:line="360" w:lineRule="auto"/>
        <w:rPr>
          <w:rFonts w:ascii="仿宋" w:eastAsia="仿宋" w:hAnsi="仿宋" w:cstheme="minorEastAsia"/>
          <w:sz w:val="24"/>
        </w:rPr>
      </w:pPr>
      <w:r>
        <w:rPr>
          <w:rFonts w:ascii="仿宋" w:eastAsia="仿宋" w:hAnsi="仿宋" w:cstheme="minorEastAsia" w:hint="eastAsia"/>
          <w:color w:val="333333"/>
          <w:spacing w:val="12"/>
          <w:kern w:val="0"/>
          <w:sz w:val="24"/>
        </w:rPr>
        <w:t>其它要求：</w:t>
      </w:r>
      <w:r>
        <w:rPr>
          <w:rFonts w:ascii="仿宋" w:eastAsia="仿宋" w:hAnsi="仿宋" w:hint="eastAsia"/>
          <w:color w:val="0000FF"/>
          <w:spacing w:val="12"/>
          <w:kern w:val="0"/>
          <w:sz w:val="24"/>
        </w:rPr>
        <w:t>需要</w:t>
      </w:r>
      <w:r>
        <w:rPr>
          <w:rFonts w:ascii="仿宋" w:eastAsia="仿宋" w:hAnsi="仿宋" w:cstheme="minorEastAsia" w:hint="eastAsia"/>
          <w:color w:val="0000FF"/>
          <w:spacing w:val="12"/>
          <w:kern w:val="0"/>
          <w:sz w:val="24"/>
        </w:rPr>
        <w:t>合同签订10日内</w:t>
      </w:r>
      <w:r>
        <w:rPr>
          <w:rFonts w:ascii="仿宋" w:eastAsia="仿宋" w:hAnsi="仿宋" w:hint="eastAsia"/>
          <w:color w:val="0000FF"/>
          <w:spacing w:val="12"/>
          <w:kern w:val="0"/>
          <w:sz w:val="24"/>
        </w:rPr>
        <w:t>提供至少</w:t>
      </w:r>
      <w:r>
        <w:rPr>
          <w:rFonts w:ascii="仿宋" w:eastAsia="仿宋" w:hAnsi="仿宋" w:cstheme="minorEastAsia" w:hint="eastAsia"/>
          <w:color w:val="0000FF"/>
          <w:spacing w:val="12"/>
          <w:kern w:val="0"/>
          <w:sz w:val="24"/>
        </w:rPr>
        <w:t>4</w:t>
      </w:r>
      <w:r>
        <w:rPr>
          <w:rFonts w:ascii="仿宋" w:eastAsia="仿宋" w:hAnsi="仿宋" w:hint="eastAsia"/>
          <w:color w:val="0000FF"/>
          <w:spacing w:val="12"/>
          <w:kern w:val="0"/>
          <w:sz w:val="24"/>
        </w:rPr>
        <w:t>个点位</w:t>
      </w:r>
      <w:r>
        <w:rPr>
          <w:rFonts w:ascii="仿宋" w:eastAsia="仿宋" w:hAnsi="仿宋" w:cstheme="minorEastAsia" w:hint="eastAsia"/>
          <w:color w:val="333333"/>
          <w:spacing w:val="12"/>
          <w:kern w:val="0"/>
          <w:sz w:val="24"/>
        </w:rPr>
        <w:t>的平面布局设计及设计效果图进行汇报，便于以此进行装修标准的制定。</w:t>
      </w:r>
    </w:p>
    <w:p w:rsidR="008C4624" w:rsidRDefault="008C4624" w:rsidP="008C4624">
      <w:pPr>
        <w:spacing w:line="360" w:lineRule="auto"/>
        <w:rPr>
          <w:rFonts w:ascii="仿宋" w:eastAsia="仿宋" w:hAnsi="仿宋" w:cstheme="minorEastAsia"/>
          <w:b/>
          <w:sz w:val="24"/>
        </w:rPr>
      </w:pPr>
      <w:r>
        <w:rPr>
          <w:rFonts w:ascii="仿宋" w:eastAsia="仿宋" w:hAnsi="仿宋" w:cstheme="minorEastAsia" w:hint="eastAsia"/>
          <w:b/>
          <w:sz w:val="24"/>
        </w:rPr>
        <w:t>（四）成果提交</w:t>
      </w:r>
    </w:p>
    <w:p w:rsidR="008C4624" w:rsidRDefault="008C4624" w:rsidP="008C4624">
      <w:pPr>
        <w:numPr>
          <w:ilvl w:val="0"/>
          <w:numId w:val="3"/>
        </w:numPr>
        <w:spacing w:line="360" w:lineRule="auto"/>
        <w:rPr>
          <w:rFonts w:ascii="仿宋" w:eastAsia="仿宋" w:hAnsi="仿宋" w:cstheme="minorEastAsia"/>
          <w:sz w:val="24"/>
        </w:rPr>
      </w:pPr>
      <w:r>
        <w:rPr>
          <w:rFonts w:ascii="仿宋" w:eastAsia="仿宋" w:hAnsi="仿宋" w:cstheme="minorEastAsia" w:hint="eastAsia"/>
          <w:sz w:val="24"/>
        </w:rPr>
        <w:t>所有点位的装饰效果图</w:t>
      </w:r>
    </w:p>
    <w:p w:rsidR="008C4624" w:rsidRDefault="008C4624" w:rsidP="008C4624">
      <w:pPr>
        <w:numPr>
          <w:ilvl w:val="0"/>
          <w:numId w:val="3"/>
        </w:numPr>
        <w:spacing w:line="360" w:lineRule="auto"/>
        <w:rPr>
          <w:rFonts w:ascii="仿宋" w:eastAsia="仿宋" w:hAnsi="仿宋" w:cstheme="minorEastAsia"/>
          <w:sz w:val="24"/>
        </w:rPr>
      </w:pPr>
      <w:r>
        <w:rPr>
          <w:rFonts w:ascii="仿宋" w:eastAsia="仿宋" w:hAnsi="仿宋" w:cstheme="minorEastAsia" w:hint="eastAsia"/>
          <w:sz w:val="24"/>
        </w:rPr>
        <w:t>所有点位的完整施工图</w:t>
      </w:r>
    </w:p>
    <w:p w:rsidR="008C4624" w:rsidRDefault="008C4624" w:rsidP="008C4624">
      <w:pPr>
        <w:numPr>
          <w:ilvl w:val="0"/>
          <w:numId w:val="3"/>
        </w:numPr>
        <w:spacing w:line="360" w:lineRule="auto"/>
        <w:rPr>
          <w:rFonts w:ascii="仿宋" w:eastAsia="仿宋" w:hAnsi="仿宋" w:cstheme="minorEastAsia"/>
          <w:sz w:val="24"/>
        </w:rPr>
      </w:pPr>
      <w:r>
        <w:rPr>
          <w:rFonts w:ascii="仿宋" w:eastAsia="仿宋" w:hAnsi="仿宋" w:cstheme="minorEastAsia" w:hint="eastAsia"/>
          <w:sz w:val="24"/>
        </w:rPr>
        <w:t>标准化装修手册</w:t>
      </w:r>
    </w:p>
    <w:p w:rsidR="008C4624" w:rsidRDefault="008C4624" w:rsidP="008C4624">
      <w:pPr>
        <w:numPr>
          <w:ilvl w:val="0"/>
          <w:numId w:val="3"/>
        </w:numPr>
        <w:spacing w:line="360" w:lineRule="auto"/>
        <w:rPr>
          <w:rFonts w:ascii="仿宋" w:eastAsia="仿宋" w:hAnsi="仿宋" w:cstheme="minorEastAsia"/>
          <w:sz w:val="24"/>
        </w:rPr>
      </w:pPr>
      <w:r>
        <w:rPr>
          <w:rFonts w:ascii="仿宋" w:eastAsia="仿宋" w:hAnsi="仿宋" w:cstheme="minorEastAsia" w:hint="eastAsia"/>
          <w:sz w:val="24"/>
        </w:rPr>
        <w:t>适老化专项汇报文本</w:t>
      </w:r>
    </w:p>
    <w:p w:rsidR="008C4624" w:rsidRDefault="008C4624" w:rsidP="008C4624">
      <w:pPr>
        <w:numPr>
          <w:ilvl w:val="0"/>
          <w:numId w:val="3"/>
        </w:numPr>
        <w:spacing w:line="360" w:lineRule="auto"/>
        <w:rPr>
          <w:rFonts w:ascii="仿宋" w:eastAsia="仿宋" w:hAnsi="仿宋" w:cstheme="minorEastAsia"/>
          <w:sz w:val="24"/>
        </w:rPr>
      </w:pPr>
      <w:r>
        <w:rPr>
          <w:rFonts w:ascii="仿宋" w:eastAsia="仿宋" w:hAnsi="仿宋" w:cstheme="minorEastAsia" w:hint="eastAsia"/>
          <w:sz w:val="24"/>
        </w:rPr>
        <w:t>主要材料清单及材料样品</w:t>
      </w:r>
    </w:p>
    <w:p w:rsidR="008C4624" w:rsidRDefault="008C4624" w:rsidP="008C4624">
      <w:pPr>
        <w:numPr>
          <w:ilvl w:val="0"/>
          <w:numId w:val="3"/>
        </w:numPr>
        <w:spacing w:line="360" w:lineRule="auto"/>
        <w:rPr>
          <w:rFonts w:ascii="仿宋" w:eastAsia="仿宋" w:hAnsi="仿宋" w:cstheme="minorEastAsia"/>
          <w:sz w:val="24"/>
        </w:rPr>
      </w:pPr>
      <w:r>
        <w:rPr>
          <w:rFonts w:ascii="仿宋" w:eastAsia="仿宋" w:hAnsi="仿宋" w:cstheme="minorEastAsia" w:hint="eastAsia"/>
          <w:sz w:val="24"/>
        </w:rPr>
        <w:t>完整设计方案PPT</w:t>
      </w:r>
    </w:p>
    <w:p w:rsidR="008C4624" w:rsidRDefault="008C4624" w:rsidP="008C4624">
      <w:pPr>
        <w:spacing w:line="360" w:lineRule="auto"/>
        <w:rPr>
          <w:rFonts w:ascii="仿宋" w:eastAsia="仿宋" w:hAnsi="仿宋" w:cs="宋体"/>
          <w:sz w:val="24"/>
          <w:lang w:val="zh-CN"/>
        </w:rPr>
      </w:pPr>
      <w:r>
        <w:rPr>
          <w:rFonts w:ascii="仿宋" w:eastAsia="仿宋" w:hAnsi="仿宋" w:cstheme="minorEastAsia" w:hint="eastAsia"/>
          <w:b/>
          <w:sz w:val="24"/>
        </w:rPr>
        <w:t>*（五</w:t>
      </w:r>
      <w:r>
        <w:rPr>
          <w:rFonts w:ascii="仿宋" w:eastAsia="仿宋" w:hAnsi="仿宋" w:cstheme="minorEastAsia" w:hint="eastAsia"/>
          <w:b/>
          <w:color w:val="0000FF"/>
          <w:sz w:val="24"/>
        </w:rPr>
        <w:t>）付款方式：</w:t>
      </w:r>
      <w:r>
        <w:rPr>
          <w:rFonts w:ascii="仿宋" w:eastAsia="仿宋" w:hAnsi="仿宋" w:cs="仿宋" w:hint="eastAsia"/>
          <w:color w:val="0000FF"/>
          <w:kern w:val="0"/>
          <w:sz w:val="24"/>
        </w:rPr>
        <w:t>双方签订合同后，采购人自收到成交供应商正规增值税发票之日起30日内支付合同总金额40%的预付款；供应商完成</w:t>
      </w:r>
      <w:r>
        <w:rPr>
          <w:rFonts w:ascii="仿宋" w:eastAsia="仿宋" w:hAnsi="仿宋" w:cstheme="minorEastAsia" w:hint="eastAsia"/>
          <w:color w:val="0000FF"/>
          <w:sz w:val="24"/>
        </w:rPr>
        <w:t>标准化装修手册、</w:t>
      </w:r>
      <w:r>
        <w:rPr>
          <w:rFonts w:ascii="仿宋" w:eastAsia="仿宋" w:hAnsi="仿宋" w:cs="仿宋" w:hint="eastAsia"/>
          <w:color w:val="0000FF"/>
          <w:kern w:val="0"/>
          <w:sz w:val="24"/>
        </w:rPr>
        <w:t>社区养老服务综合体的</w:t>
      </w:r>
      <w:r>
        <w:rPr>
          <w:rFonts w:ascii="仿宋" w:eastAsia="仿宋" w:hAnsi="仿宋" w:cstheme="minorEastAsia" w:hint="eastAsia"/>
          <w:color w:val="0000FF"/>
          <w:sz w:val="24"/>
        </w:rPr>
        <w:t>装饰效果图和完整施工图</w:t>
      </w:r>
      <w:r>
        <w:rPr>
          <w:rFonts w:ascii="仿宋" w:eastAsia="仿宋" w:hAnsi="仿宋" w:cs="仿宋" w:hint="eastAsia"/>
          <w:color w:val="0000FF"/>
          <w:kern w:val="0"/>
          <w:sz w:val="24"/>
        </w:rPr>
        <w:t>，经采购人确认后，采购人收到供应商开具的增值税发票30日内向供应商支付合同总金额的40%；供应商完成项目并通过采购人审核验收后，采购人收到供应商开具的增值税发票30日内向供应商支付合同总金额的20%。</w:t>
      </w:r>
    </w:p>
    <w:p w:rsidR="00F85D32" w:rsidRDefault="00F85D32">
      <w:bookmarkStart w:id="0" w:name="_GoBack"/>
      <w:bookmarkEnd w:id="0"/>
    </w:p>
    <w:sectPr w:rsidR="00F85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AD6" w:rsidRDefault="00AE2AD6" w:rsidP="008C4624">
      <w:r>
        <w:separator/>
      </w:r>
    </w:p>
  </w:endnote>
  <w:endnote w:type="continuationSeparator" w:id="0">
    <w:p w:rsidR="00AE2AD6" w:rsidRDefault="00AE2AD6" w:rsidP="008C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AD6" w:rsidRDefault="00AE2AD6" w:rsidP="008C4624">
      <w:r>
        <w:separator/>
      </w:r>
    </w:p>
  </w:footnote>
  <w:footnote w:type="continuationSeparator" w:id="0">
    <w:p w:rsidR="00AE2AD6" w:rsidRDefault="00AE2AD6" w:rsidP="008C4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E4E504"/>
    <w:multiLevelType w:val="singleLevel"/>
    <w:tmpl w:val="DDE4E504"/>
    <w:lvl w:ilvl="0">
      <w:start w:val="1"/>
      <w:numFmt w:val="decimal"/>
      <w:suff w:val="nothing"/>
      <w:lvlText w:val="%1、"/>
      <w:lvlJc w:val="left"/>
    </w:lvl>
  </w:abstractNum>
  <w:abstractNum w:abstractNumId="1">
    <w:nsid w:val="43A15AEF"/>
    <w:multiLevelType w:val="singleLevel"/>
    <w:tmpl w:val="43A15AEF"/>
    <w:lvl w:ilvl="0">
      <w:start w:val="1"/>
      <w:numFmt w:val="decimal"/>
      <w:suff w:val="nothing"/>
      <w:lvlText w:val="%1、"/>
      <w:lvlJc w:val="left"/>
    </w:lvl>
  </w:abstractNum>
  <w:abstractNum w:abstractNumId="2">
    <w:nsid w:val="730C0E9D"/>
    <w:multiLevelType w:val="singleLevel"/>
    <w:tmpl w:val="730C0E9D"/>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F2"/>
    <w:rsid w:val="008C4624"/>
    <w:rsid w:val="00A758F2"/>
    <w:rsid w:val="00AE2AD6"/>
    <w:rsid w:val="00F8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8C873D-992E-41F6-9A7C-7CBCF0B9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C4624"/>
    <w:pPr>
      <w:widowControl w:val="0"/>
      <w:jc w:val="both"/>
    </w:pPr>
    <w:rPr>
      <w:rFonts w:ascii="Times New Roman" w:eastAsia="宋体" w:hAnsi="Times New Roman" w:cs="Times New Roman"/>
      <w:szCs w:val="24"/>
    </w:rPr>
  </w:style>
  <w:style w:type="paragraph" w:styleId="2">
    <w:name w:val="heading 2"/>
    <w:basedOn w:val="a"/>
    <w:next w:val="a"/>
    <w:link w:val="2Char"/>
    <w:qFormat/>
    <w:rsid w:val="008C4624"/>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C46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C4624"/>
    <w:rPr>
      <w:sz w:val="18"/>
      <w:szCs w:val="18"/>
    </w:rPr>
  </w:style>
  <w:style w:type="paragraph" w:styleId="a5">
    <w:name w:val="footer"/>
    <w:basedOn w:val="a"/>
    <w:link w:val="Char0"/>
    <w:uiPriority w:val="99"/>
    <w:unhideWhenUsed/>
    <w:rsid w:val="008C4624"/>
    <w:pPr>
      <w:tabs>
        <w:tab w:val="center" w:pos="4153"/>
        <w:tab w:val="right" w:pos="8306"/>
      </w:tabs>
      <w:snapToGrid w:val="0"/>
      <w:jc w:val="left"/>
    </w:pPr>
    <w:rPr>
      <w:sz w:val="18"/>
      <w:szCs w:val="18"/>
    </w:rPr>
  </w:style>
  <w:style w:type="character" w:customStyle="1" w:styleId="Char0">
    <w:name w:val="页脚 Char"/>
    <w:basedOn w:val="a1"/>
    <w:link w:val="a5"/>
    <w:uiPriority w:val="99"/>
    <w:rsid w:val="008C4624"/>
    <w:rPr>
      <w:sz w:val="18"/>
      <w:szCs w:val="18"/>
    </w:rPr>
  </w:style>
  <w:style w:type="character" w:customStyle="1" w:styleId="2Char">
    <w:name w:val="标题 2 Char"/>
    <w:basedOn w:val="a1"/>
    <w:link w:val="2"/>
    <w:qFormat/>
    <w:rsid w:val="008C4624"/>
    <w:rPr>
      <w:rFonts w:ascii="Arial" w:eastAsia="黑体" w:hAnsi="Arial" w:cs="Times New Roman"/>
      <w:b/>
      <w:bCs/>
      <w:sz w:val="32"/>
      <w:szCs w:val="32"/>
    </w:rPr>
  </w:style>
  <w:style w:type="paragraph" w:styleId="a6">
    <w:name w:val="Normal Indent"/>
    <w:basedOn w:val="a"/>
    <w:link w:val="Char1"/>
    <w:qFormat/>
    <w:rsid w:val="008C4624"/>
    <w:pPr>
      <w:ind w:firstLineChars="200" w:firstLine="420"/>
    </w:pPr>
  </w:style>
  <w:style w:type="character" w:customStyle="1" w:styleId="Char1">
    <w:name w:val="正文缩进 Char"/>
    <w:link w:val="a6"/>
    <w:qFormat/>
    <w:rsid w:val="008C4624"/>
    <w:rPr>
      <w:rFonts w:ascii="Times New Roman" w:eastAsia="宋体" w:hAnsi="Times New Roman" w:cs="Times New Roman"/>
      <w:szCs w:val="24"/>
    </w:rPr>
  </w:style>
  <w:style w:type="paragraph" w:styleId="a0">
    <w:name w:val="Body Text"/>
    <w:basedOn w:val="a"/>
    <w:link w:val="Char2"/>
    <w:uiPriority w:val="99"/>
    <w:semiHidden/>
    <w:unhideWhenUsed/>
    <w:rsid w:val="008C4624"/>
    <w:pPr>
      <w:spacing w:after="120"/>
    </w:pPr>
  </w:style>
  <w:style w:type="character" w:customStyle="1" w:styleId="Char2">
    <w:name w:val="正文文本 Char"/>
    <w:basedOn w:val="a1"/>
    <w:link w:val="a0"/>
    <w:uiPriority w:val="99"/>
    <w:semiHidden/>
    <w:rsid w:val="008C462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964</Characters>
  <Application>Microsoft Office Word</Application>
  <DocSecurity>0</DocSecurity>
  <Lines>8</Lines>
  <Paragraphs>2</Paragraphs>
  <ScaleCrop>false</ScaleCrop>
  <Company>Microsoft</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2021-06-15T07:38:00Z</dcterms:created>
  <dcterms:modified xsi:type="dcterms:W3CDTF">2021-06-15T07:38:00Z</dcterms:modified>
</cp:coreProperties>
</file>