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3A" w:rsidRDefault="00EA033A" w:rsidP="00EA033A">
      <w:pPr>
        <w:pStyle w:val="1"/>
        <w:jc w:val="center"/>
        <w:rPr>
          <w:rFonts w:ascii="仿宋" w:eastAsia="仿宋" w:hAnsi="仿宋"/>
          <w:sz w:val="36"/>
          <w:szCs w:val="36"/>
        </w:rPr>
      </w:pPr>
      <w:bookmarkStart w:id="0" w:name="_GoBack"/>
      <w:bookmarkEnd w:id="0"/>
      <w:r>
        <w:rPr>
          <w:rFonts w:ascii="仿宋" w:eastAsia="仿宋" w:hAnsi="仿宋" w:hint="eastAsia"/>
          <w:sz w:val="36"/>
          <w:szCs w:val="36"/>
        </w:rPr>
        <w:t>招标项目技术、服务、政府采购合同内容条款及其他商务要求</w:t>
      </w:r>
    </w:p>
    <w:p w:rsidR="00EA033A" w:rsidRDefault="00EA033A" w:rsidP="00EA033A">
      <w:pPr>
        <w:spacing w:line="400" w:lineRule="exact"/>
        <w:ind w:firstLineChars="98" w:firstLine="235"/>
        <w:rPr>
          <w:rFonts w:ascii="仿宋" w:eastAsia="仿宋" w:hAnsi="仿宋"/>
          <w:sz w:val="24"/>
        </w:rPr>
      </w:pPr>
      <w:bookmarkStart w:id="1"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bookmarkEnd w:id="1"/>
    <w:p w:rsidR="00EA033A" w:rsidRDefault="00EA033A" w:rsidP="00EA033A">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一、项目概述、标的名称及所属行业</w:t>
      </w:r>
      <w:bookmarkStart w:id="2" w:name="_Toc217446095"/>
    </w:p>
    <w:tbl>
      <w:tblPr>
        <w:tblStyle w:val="2"/>
        <w:tblW w:w="4997" w:type="pct"/>
        <w:jc w:val="center"/>
        <w:tblLook w:val="04A0" w:firstRow="1" w:lastRow="0" w:firstColumn="1" w:lastColumn="0" w:noHBand="0" w:noVBand="1"/>
      </w:tblPr>
      <w:tblGrid>
        <w:gridCol w:w="751"/>
        <w:gridCol w:w="2272"/>
        <w:gridCol w:w="1756"/>
        <w:gridCol w:w="1245"/>
        <w:gridCol w:w="2267"/>
      </w:tblGrid>
      <w:tr w:rsidR="00EA033A" w:rsidRPr="00A85B82" w:rsidTr="00B51882">
        <w:trPr>
          <w:jc w:val="center"/>
        </w:trPr>
        <w:tc>
          <w:tcPr>
            <w:tcW w:w="452" w:type="pct"/>
            <w:vAlign w:val="center"/>
          </w:tcPr>
          <w:p w:rsidR="00EA033A" w:rsidRPr="00A85B82" w:rsidRDefault="00EA033A" w:rsidP="00B51882">
            <w:pPr>
              <w:spacing w:line="400" w:lineRule="exact"/>
              <w:jc w:val="center"/>
              <w:rPr>
                <w:rFonts w:ascii="仿宋" w:eastAsia="仿宋" w:hAnsi="仿宋"/>
                <w:bCs/>
                <w:szCs w:val="21"/>
              </w:rPr>
            </w:pPr>
            <w:r w:rsidRPr="00A85B82">
              <w:rPr>
                <w:rFonts w:ascii="仿宋" w:eastAsia="仿宋" w:hAnsi="仿宋" w:hint="eastAsia"/>
                <w:bCs/>
                <w:szCs w:val="21"/>
              </w:rPr>
              <w:t>包号</w:t>
            </w:r>
          </w:p>
        </w:tc>
        <w:tc>
          <w:tcPr>
            <w:tcW w:w="1370"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Cs/>
                <w:szCs w:val="21"/>
              </w:rPr>
              <w:t>标的</w:t>
            </w:r>
            <w:r w:rsidRPr="00A85B82">
              <w:rPr>
                <w:rFonts w:ascii="仿宋" w:eastAsia="仿宋" w:hAnsi="仿宋"/>
                <w:bCs/>
                <w:szCs w:val="21"/>
              </w:rPr>
              <w:t>名称</w:t>
            </w:r>
          </w:p>
        </w:tc>
        <w:tc>
          <w:tcPr>
            <w:tcW w:w="1059"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Cs/>
                <w:szCs w:val="21"/>
              </w:rPr>
              <w:t>所属行业</w:t>
            </w:r>
          </w:p>
        </w:tc>
        <w:tc>
          <w:tcPr>
            <w:tcW w:w="751"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Cs/>
                <w:szCs w:val="21"/>
              </w:rPr>
              <w:t>数量</w:t>
            </w:r>
          </w:p>
        </w:tc>
        <w:tc>
          <w:tcPr>
            <w:tcW w:w="1367"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Cs/>
                <w:szCs w:val="21"/>
              </w:rPr>
              <w:t>备注</w:t>
            </w:r>
          </w:p>
        </w:tc>
      </w:tr>
      <w:tr w:rsidR="00EA033A" w:rsidRPr="00A85B82" w:rsidTr="00B51882">
        <w:trPr>
          <w:jc w:val="center"/>
        </w:trPr>
        <w:tc>
          <w:tcPr>
            <w:tcW w:w="452" w:type="pct"/>
            <w:vMerge w:val="restart"/>
            <w:vAlign w:val="center"/>
          </w:tcPr>
          <w:p w:rsidR="00EA033A" w:rsidRPr="00A85B82" w:rsidRDefault="00EA033A" w:rsidP="00B51882">
            <w:pPr>
              <w:spacing w:line="400" w:lineRule="exact"/>
              <w:jc w:val="center"/>
              <w:rPr>
                <w:rFonts w:ascii="仿宋" w:eastAsia="仿宋" w:hAnsi="仿宋"/>
                <w:bCs/>
                <w:szCs w:val="21"/>
              </w:rPr>
            </w:pPr>
            <w:r w:rsidRPr="00A85B82">
              <w:rPr>
                <w:rFonts w:ascii="仿宋" w:eastAsia="仿宋" w:hAnsi="仿宋"/>
                <w:bCs/>
                <w:szCs w:val="21"/>
              </w:rPr>
              <w:t>01</w:t>
            </w:r>
          </w:p>
        </w:tc>
        <w:tc>
          <w:tcPr>
            <w:tcW w:w="1370"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
                <w:bCs/>
                <w:szCs w:val="21"/>
              </w:rPr>
              <w:t>智慧财务报销模块</w:t>
            </w:r>
          </w:p>
        </w:tc>
        <w:tc>
          <w:tcPr>
            <w:tcW w:w="1059" w:type="pct"/>
            <w:vMerge w:val="restar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Cs/>
                <w:szCs w:val="21"/>
              </w:rPr>
              <w:t>软件和信息技术服务业</w:t>
            </w:r>
          </w:p>
        </w:tc>
        <w:tc>
          <w:tcPr>
            <w:tcW w:w="751" w:type="pct"/>
            <w:vMerge w:val="restart"/>
            <w:vAlign w:val="center"/>
          </w:tcPr>
          <w:p w:rsidR="00EA033A" w:rsidRPr="00A85B82" w:rsidRDefault="00EA033A" w:rsidP="00B51882">
            <w:pPr>
              <w:spacing w:line="400" w:lineRule="exact"/>
              <w:rPr>
                <w:rFonts w:ascii="仿宋" w:eastAsia="仿宋" w:hAnsi="仿宋"/>
                <w:bCs/>
                <w:szCs w:val="21"/>
              </w:rPr>
            </w:pPr>
            <w:r>
              <w:rPr>
                <w:rFonts w:ascii="仿宋" w:eastAsia="仿宋" w:hAnsi="仿宋" w:hint="eastAsia"/>
                <w:bCs/>
                <w:szCs w:val="21"/>
              </w:rPr>
              <w:t>壹</w:t>
            </w:r>
            <w:r w:rsidRPr="00A85B82">
              <w:rPr>
                <w:rFonts w:ascii="仿宋" w:eastAsia="仿宋" w:hAnsi="仿宋" w:hint="eastAsia"/>
                <w:bCs/>
                <w:szCs w:val="21"/>
              </w:rPr>
              <w:t>套</w:t>
            </w:r>
          </w:p>
        </w:tc>
        <w:tc>
          <w:tcPr>
            <w:tcW w:w="1367" w:type="pct"/>
            <w:vMerge w:val="restar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Cs/>
                <w:szCs w:val="21"/>
              </w:rPr>
              <w:t>无站点和用户数量授权限制</w:t>
            </w:r>
          </w:p>
        </w:tc>
      </w:tr>
      <w:tr w:rsidR="00EA033A" w:rsidRPr="00A85B82" w:rsidTr="00B51882">
        <w:trPr>
          <w:jc w:val="center"/>
        </w:trPr>
        <w:tc>
          <w:tcPr>
            <w:tcW w:w="452" w:type="pct"/>
            <w:vMerge/>
            <w:vAlign w:val="center"/>
          </w:tcPr>
          <w:p w:rsidR="00EA033A" w:rsidRPr="00A85B82" w:rsidRDefault="00EA033A" w:rsidP="00B51882">
            <w:pPr>
              <w:spacing w:line="400" w:lineRule="exact"/>
              <w:jc w:val="center"/>
              <w:rPr>
                <w:rFonts w:ascii="仿宋" w:eastAsia="仿宋" w:hAnsi="仿宋"/>
                <w:bCs/>
                <w:szCs w:val="21"/>
              </w:rPr>
            </w:pPr>
          </w:p>
        </w:tc>
        <w:tc>
          <w:tcPr>
            <w:tcW w:w="1370"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
                <w:bCs/>
                <w:szCs w:val="21"/>
              </w:rPr>
              <w:t>供应链管理</w:t>
            </w:r>
          </w:p>
        </w:tc>
        <w:tc>
          <w:tcPr>
            <w:tcW w:w="1059" w:type="pct"/>
            <w:vMerge/>
            <w:vAlign w:val="center"/>
          </w:tcPr>
          <w:p w:rsidR="00EA033A" w:rsidRPr="00A85B82" w:rsidRDefault="00EA033A" w:rsidP="00B51882">
            <w:pPr>
              <w:spacing w:line="400" w:lineRule="exact"/>
              <w:rPr>
                <w:rFonts w:ascii="仿宋" w:eastAsia="仿宋" w:hAnsi="仿宋"/>
                <w:bCs/>
                <w:szCs w:val="21"/>
              </w:rPr>
            </w:pPr>
          </w:p>
        </w:tc>
        <w:tc>
          <w:tcPr>
            <w:tcW w:w="751" w:type="pct"/>
            <w:vMerge/>
            <w:vAlign w:val="center"/>
          </w:tcPr>
          <w:p w:rsidR="00EA033A" w:rsidRPr="00A85B82" w:rsidRDefault="00EA033A" w:rsidP="00B51882">
            <w:pPr>
              <w:spacing w:line="400" w:lineRule="exact"/>
              <w:rPr>
                <w:rFonts w:ascii="仿宋" w:eastAsia="仿宋" w:hAnsi="仿宋"/>
                <w:bCs/>
                <w:szCs w:val="21"/>
              </w:rPr>
            </w:pPr>
          </w:p>
        </w:tc>
        <w:tc>
          <w:tcPr>
            <w:tcW w:w="1367" w:type="pct"/>
            <w:vMerge/>
            <w:vAlign w:val="center"/>
          </w:tcPr>
          <w:p w:rsidR="00EA033A" w:rsidRPr="00A85B82" w:rsidRDefault="00EA033A" w:rsidP="00B51882">
            <w:pPr>
              <w:spacing w:line="400" w:lineRule="exact"/>
              <w:rPr>
                <w:rFonts w:ascii="仿宋" w:eastAsia="仿宋" w:hAnsi="仿宋"/>
                <w:bCs/>
                <w:szCs w:val="21"/>
              </w:rPr>
            </w:pPr>
          </w:p>
        </w:tc>
      </w:tr>
      <w:tr w:rsidR="00EA033A" w:rsidRPr="00A85B82" w:rsidTr="00B51882">
        <w:trPr>
          <w:jc w:val="center"/>
        </w:trPr>
        <w:tc>
          <w:tcPr>
            <w:tcW w:w="452" w:type="pct"/>
            <w:vMerge/>
            <w:vAlign w:val="center"/>
          </w:tcPr>
          <w:p w:rsidR="00EA033A" w:rsidRPr="00A85B82" w:rsidRDefault="00EA033A" w:rsidP="00B51882">
            <w:pPr>
              <w:spacing w:line="400" w:lineRule="exact"/>
              <w:jc w:val="center"/>
              <w:rPr>
                <w:rFonts w:ascii="仿宋" w:eastAsia="仿宋" w:hAnsi="仿宋"/>
                <w:bCs/>
                <w:szCs w:val="21"/>
              </w:rPr>
            </w:pPr>
          </w:p>
        </w:tc>
        <w:tc>
          <w:tcPr>
            <w:tcW w:w="1370"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
                <w:bCs/>
                <w:szCs w:val="21"/>
              </w:rPr>
              <w:t>物资管理</w:t>
            </w:r>
          </w:p>
        </w:tc>
        <w:tc>
          <w:tcPr>
            <w:tcW w:w="1059" w:type="pct"/>
            <w:vMerge/>
            <w:vAlign w:val="center"/>
          </w:tcPr>
          <w:p w:rsidR="00EA033A" w:rsidRPr="00A85B82" w:rsidRDefault="00EA033A" w:rsidP="00B51882">
            <w:pPr>
              <w:spacing w:line="400" w:lineRule="exact"/>
              <w:rPr>
                <w:rFonts w:ascii="仿宋" w:eastAsia="仿宋" w:hAnsi="仿宋"/>
                <w:bCs/>
                <w:szCs w:val="21"/>
              </w:rPr>
            </w:pPr>
          </w:p>
        </w:tc>
        <w:tc>
          <w:tcPr>
            <w:tcW w:w="751" w:type="pct"/>
            <w:vMerge/>
            <w:vAlign w:val="center"/>
          </w:tcPr>
          <w:p w:rsidR="00EA033A" w:rsidRPr="00A85B82" w:rsidRDefault="00EA033A" w:rsidP="00B51882">
            <w:pPr>
              <w:spacing w:line="400" w:lineRule="exact"/>
              <w:rPr>
                <w:rFonts w:ascii="仿宋" w:eastAsia="仿宋" w:hAnsi="仿宋"/>
                <w:bCs/>
                <w:szCs w:val="21"/>
              </w:rPr>
            </w:pPr>
          </w:p>
        </w:tc>
        <w:tc>
          <w:tcPr>
            <w:tcW w:w="1367" w:type="pct"/>
            <w:vMerge/>
            <w:vAlign w:val="center"/>
          </w:tcPr>
          <w:p w:rsidR="00EA033A" w:rsidRPr="00A85B82" w:rsidRDefault="00EA033A" w:rsidP="00B51882">
            <w:pPr>
              <w:spacing w:line="400" w:lineRule="exact"/>
              <w:rPr>
                <w:rFonts w:ascii="仿宋" w:eastAsia="仿宋" w:hAnsi="仿宋"/>
                <w:bCs/>
                <w:szCs w:val="21"/>
              </w:rPr>
            </w:pPr>
          </w:p>
        </w:tc>
      </w:tr>
      <w:tr w:rsidR="00EA033A" w:rsidRPr="00A85B82" w:rsidTr="00B51882">
        <w:trPr>
          <w:jc w:val="center"/>
        </w:trPr>
        <w:tc>
          <w:tcPr>
            <w:tcW w:w="452" w:type="pct"/>
            <w:vMerge/>
            <w:vAlign w:val="center"/>
          </w:tcPr>
          <w:p w:rsidR="00EA033A" w:rsidRPr="00A85B82" w:rsidRDefault="00EA033A" w:rsidP="00B51882">
            <w:pPr>
              <w:spacing w:line="400" w:lineRule="exact"/>
              <w:jc w:val="center"/>
              <w:rPr>
                <w:rFonts w:ascii="仿宋" w:eastAsia="仿宋" w:hAnsi="仿宋"/>
                <w:bCs/>
                <w:szCs w:val="21"/>
              </w:rPr>
            </w:pPr>
          </w:p>
        </w:tc>
        <w:tc>
          <w:tcPr>
            <w:tcW w:w="1370"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
                <w:bCs/>
                <w:szCs w:val="21"/>
              </w:rPr>
              <w:t>人力资源管理</w:t>
            </w:r>
          </w:p>
        </w:tc>
        <w:tc>
          <w:tcPr>
            <w:tcW w:w="1059" w:type="pct"/>
            <w:vMerge/>
            <w:vAlign w:val="center"/>
          </w:tcPr>
          <w:p w:rsidR="00EA033A" w:rsidRPr="00A85B82" w:rsidRDefault="00EA033A" w:rsidP="00B51882">
            <w:pPr>
              <w:spacing w:line="400" w:lineRule="exact"/>
              <w:rPr>
                <w:rFonts w:ascii="仿宋" w:eastAsia="仿宋" w:hAnsi="仿宋"/>
                <w:bCs/>
                <w:szCs w:val="21"/>
              </w:rPr>
            </w:pPr>
          </w:p>
        </w:tc>
        <w:tc>
          <w:tcPr>
            <w:tcW w:w="751" w:type="pct"/>
            <w:vMerge/>
            <w:vAlign w:val="center"/>
          </w:tcPr>
          <w:p w:rsidR="00EA033A" w:rsidRPr="00A85B82" w:rsidRDefault="00EA033A" w:rsidP="00B51882">
            <w:pPr>
              <w:spacing w:line="400" w:lineRule="exact"/>
              <w:rPr>
                <w:rFonts w:ascii="仿宋" w:eastAsia="仿宋" w:hAnsi="仿宋"/>
                <w:bCs/>
                <w:szCs w:val="21"/>
              </w:rPr>
            </w:pPr>
          </w:p>
        </w:tc>
        <w:tc>
          <w:tcPr>
            <w:tcW w:w="1367" w:type="pct"/>
            <w:vMerge/>
            <w:vAlign w:val="center"/>
          </w:tcPr>
          <w:p w:rsidR="00EA033A" w:rsidRPr="00A85B82" w:rsidRDefault="00EA033A" w:rsidP="00B51882">
            <w:pPr>
              <w:spacing w:line="400" w:lineRule="exact"/>
              <w:rPr>
                <w:rFonts w:ascii="仿宋" w:eastAsia="仿宋" w:hAnsi="仿宋"/>
                <w:bCs/>
                <w:szCs w:val="21"/>
              </w:rPr>
            </w:pPr>
          </w:p>
        </w:tc>
      </w:tr>
      <w:tr w:rsidR="00EA033A" w:rsidRPr="00A85B82" w:rsidTr="00B51882">
        <w:trPr>
          <w:jc w:val="center"/>
        </w:trPr>
        <w:tc>
          <w:tcPr>
            <w:tcW w:w="452" w:type="pct"/>
            <w:vMerge/>
            <w:vAlign w:val="center"/>
          </w:tcPr>
          <w:p w:rsidR="00EA033A" w:rsidRPr="00A85B82" w:rsidRDefault="00EA033A" w:rsidP="00B51882">
            <w:pPr>
              <w:spacing w:line="400" w:lineRule="exact"/>
              <w:jc w:val="center"/>
              <w:rPr>
                <w:rFonts w:ascii="仿宋" w:eastAsia="仿宋" w:hAnsi="仿宋"/>
                <w:bCs/>
                <w:szCs w:val="21"/>
              </w:rPr>
            </w:pPr>
          </w:p>
        </w:tc>
        <w:tc>
          <w:tcPr>
            <w:tcW w:w="1370"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
                <w:bCs/>
                <w:szCs w:val="21"/>
              </w:rPr>
              <w:t>OA协同办公系统</w:t>
            </w:r>
          </w:p>
        </w:tc>
        <w:tc>
          <w:tcPr>
            <w:tcW w:w="1059" w:type="pct"/>
            <w:vMerge/>
            <w:vAlign w:val="center"/>
          </w:tcPr>
          <w:p w:rsidR="00EA033A" w:rsidRPr="00A85B82" w:rsidRDefault="00EA033A" w:rsidP="00B51882">
            <w:pPr>
              <w:spacing w:line="400" w:lineRule="exact"/>
              <w:rPr>
                <w:rFonts w:ascii="仿宋" w:eastAsia="仿宋" w:hAnsi="仿宋"/>
                <w:bCs/>
                <w:szCs w:val="21"/>
              </w:rPr>
            </w:pPr>
          </w:p>
        </w:tc>
        <w:tc>
          <w:tcPr>
            <w:tcW w:w="751" w:type="pct"/>
            <w:vMerge/>
            <w:vAlign w:val="center"/>
          </w:tcPr>
          <w:p w:rsidR="00EA033A" w:rsidRPr="00A85B82" w:rsidRDefault="00EA033A" w:rsidP="00B51882">
            <w:pPr>
              <w:spacing w:line="400" w:lineRule="exact"/>
              <w:rPr>
                <w:rFonts w:ascii="仿宋" w:eastAsia="仿宋" w:hAnsi="仿宋"/>
                <w:bCs/>
                <w:szCs w:val="21"/>
              </w:rPr>
            </w:pPr>
          </w:p>
        </w:tc>
        <w:tc>
          <w:tcPr>
            <w:tcW w:w="1367" w:type="pct"/>
            <w:vMerge/>
            <w:vAlign w:val="center"/>
          </w:tcPr>
          <w:p w:rsidR="00EA033A" w:rsidRPr="00A85B82" w:rsidRDefault="00EA033A" w:rsidP="00B51882">
            <w:pPr>
              <w:spacing w:line="400" w:lineRule="exact"/>
              <w:rPr>
                <w:rFonts w:ascii="仿宋" w:eastAsia="仿宋" w:hAnsi="仿宋"/>
                <w:bCs/>
                <w:szCs w:val="21"/>
              </w:rPr>
            </w:pPr>
          </w:p>
        </w:tc>
      </w:tr>
      <w:tr w:rsidR="00EA033A" w:rsidRPr="00A85B82" w:rsidTr="00B51882">
        <w:trPr>
          <w:jc w:val="center"/>
        </w:trPr>
        <w:tc>
          <w:tcPr>
            <w:tcW w:w="452" w:type="pct"/>
            <w:vMerge/>
            <w:vAlign w:val="center"/>
          </w:tcPr>
          <w:p w:rsidR="00EA033A" w:rsidRPr="00A85B82" w:rsidRDefault="00EA033A" w:rsidP="00B51882">
            <w:pPr>
              <w:spacing w:line="400" w:lineRule="exact"/>
              <w:jc w:val="center"/>
              <w:rPr>
                <w:rFonts w:ascii="仿宋" w:eastAsia="仿宋" w:hAnsi="仿宋"/>
                <w:bCs/>
                <w:szCs w:val="21"/>
              </w:rPr>
            </w:pPr>
          </w:p>
        </w:tc>
        <w:tc>
          <w:tcPr>
            <w:tcW w:w="1370"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
                <w:bCs/>
                <w:szCs w:val="21"/>
              </w:rPr>
              <w:t>合同管理</w:t>
            </w:r>
          </w:p>
        </w:tc>
        <w:tc>
          <w:tcPr>
            <w:tcW w:w="1059" w:type="pct"/>
            <w:vMerge/>
            <w:vAlign w:val="center"/>
          </w:tcPr>
          <w:p w:rsidR="00EA033A" w:rsidRPr="00A85B82" w:rsidRDefault="00EA033A" w:rsidP="00B51882">
            <w:pPr>
              <w:spacing w:line="400" w:lineRule="exact"/>
              <w:rPr>
                <w:rFonts w:ascii="仿宋" w:eastAsia="仿宋" w:hAnsi="仿宋"/>
                <w:bCs/>
                <w:szCs w:val="21"/>
              </w:rPr>
            </w:pPr>
          </w:p>
        </w:tc>
        <w:tc>
          <w:tcPr>
            <w:tcW w:w="751" w:type="pct"/>
            <w:vMerge/>
            <w:vAlign w:val="center"/>
          </w:tcPr>
          <w:p w:rsidR="00EA033A" w:rsidRPr="00A85B82" w:rsidRDefault="00EA033A" w:rsidP="00B51882">
            <w:pPr>
              <w:spacing w:line="400" w:lineRule="exact"/>
              <w:rPr>
                <w:rFonts w:ascii="仿宋" w:eastAsia="仿宋" w:hAnsi="仿宋"/>
                <w:bCs/>
                <w:szCs w:val="21"/>
              </w:rPr>
            </w:pPr>
          </w:p>
        </w:tc>
        <w:tc>
          <w:tcPr>
            <w:tcW w:w="1367" w:type="pct"/>
            <w:vMerge/>
            <w:vAlign w:val="center"/>
          </w:tcPr>
          <w:p w:rsidR="00EA033A" w:rsidRPr="00A85B82" w:rsidRDefault="00EA033A" w:rsidP="00B51882">
            <w:pPr>
              <w:spacing w:line="400" w:lineRule="exact"/>
              <w:rPr>
                <w:rFonts w:ascii="仿宋" w:eastAsia="仿宋" w:hAnsi="仿宋"/>
                <w:bCs/>
                <w:szCs w:val="21"/>
              </w:rPr>
            </w:pPr>
          </w:p>
        </w:tc>
      </w:tr>
      <w:tr w:rsidR="00EA033A" w:rsidRPr="00A85B82" w:rsidTr="00B51882">
        <w:trPr>
          <w:jc w:val="center"/>
        </w:trPr>
        <w:tc>
          <w:tcPr>
            <w:tcW w:w="452" w:type="pct"/>
            <w:vMerge/>
            <w:vAlign w:val="center"/>
          </w:tcPr>
          <w:p w:rsidR="00EA033A" w:rsidRPr="00A85B82" w:rsidRDefault="00EA033A" w:rsidP="00B51882">
            <w:pPr>
              <w:spacing w:line="400" w:lineRule="exact"/>
              <w:jc w:val="center"/>
              <w:rPr>
                <w:rFonts w:ascii="仿宋" w:eastAsia="仿宋" w:hAnsi="仿宋"/>
                <w:bCs/>
                <w:szCs w:val="21"/>
              </w:rPr>
            </w:pPr>
          </w:p>
        </w:tc>
        <w:tc>
          <w:tcPr>
            <w:tcW w:w="1370" w:type="pct"/>
            <w:vAlign w:val="center"/>
          </w:tcPr>
          <w:p w:rsidR="00EA033A" w:rsidRPr="00A85B82" w:rsidRDefault="00EA033A" w:rsidP="00B51882">
            <w:pPr>
              <w:spacing w:line="400" w:lineRule="exact"/>
              <w:rPr>
                <w:rFonts w:ascii="仿宋" w:eastAsia="仿宋" w:hAnsi="仿宋"/>
                <w:b/>
                <w:bCs/>
                <w:szCs w:val="21"/>
              </w:rPr>
            </w:pPr>
            <w:r w:rsidRPr="00A85B82">
              <w:rPr>
                <w:rFonts w:ascii="仿宋" w:eastAsia="仿宋" w:hAnsi="仿宋" w:hint="eastAsia"/>
                <w:b/>
                <w:bCs/>
                <w:szCs w:val="21"/>
              </w:rPr>
              <w:t>防火墙（</w:t>
            </w:r>
            <w:r w:rsidRPr="00A85B82">
              <w:rPr>
                <w:rFonts w:ascii="仿宋" w:eastAsia="仿宋" w:hAnsi="仿宋"/>
                <w:b/>
                <w:bCs/>
                <w:szCs w:val="21"/>
              </w:rPr>
              <w:t>安全网关</w:t>
            </w:r>
            <w:r w:rsidRPr="00A85B82">
              <w:rPr>
                <w:rFonts w:ascii="仿宋" w:eastAsia="仿宋" w:hAnsi="仿宋" w:hint="eastAsia"/>
                <w:b/>
                <w:bCs/>
                <w:szCs w:val="21"/>
              </w:rPr>
              <w:t>）</w:t>
            </w:r>
          </w:p>
        </w:tc>
        <w:tc>
          <w:tcPr>
            <w:tcW w:w="1059"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Cs/>
                <w:szCs w:val="21"/>
              </w:rPr>
              <w:t>工业</w:t>
            </w:r>
          </w:p>
        </w:tc>
        <w:tc>
          <w:tcPr>
            <w:tcW w:w="751" w:type="pct"/>
            <w:vAlign w:val="center"/>
          </w:tcPr>
          <w:p w:rsidR="00EA033A" w:rsidRPr="00A85B82" w:rsidRDefault="00EA033A" w:rsidP="00B51882">
            <w:pPr>
              <w:spacing w:line="400" w:lineRule="exact"/>
              <w:rPr>
                <w:rFonts w:ascii="仿宋" w:eastAsia="仿宋" w:hAnsi="仿宋"/>
                <w:bCs/>
                <w:szCs w:val="21"/>
              </w:rPr>
            </w:pPr>
            <w:r w:rsidRPr="00A85B82">
              <w:rPr>
                <w:rFonts w:ascii="仿宋" w:eastAsia="仿宋" w:hAnsi="仿宋" w:hint="eastAsia"/>
                <w:bCs/>
                <w:szCs w:val="21"/>
              </w:rPr>
              <w:t>壹台</w:t>
            </w:r>
          </w:p>
        </w:tc>
        <w:tc>
          <w:tcPr>
            <w:tcW w:w="1367" w:type="pct"/>
            <w:vAlign w:val="center"/>
          </w:tcPr>
          <w:p w:rsidR="00EA033A" w:rsidRPr="00A85B82" w:rsidRDefault="00EA033A" w:rsidP="00B51882">
            <w:pPr>
              <w:spacing w:line="400" w:lineRule="exact"/>
              <w:rPr>
                <w:rFonts w:ascii="仿宋" w:eastAsia="仿宋" w:hAnsi="仿宋"/>
                <w:bCs/>
                <w:szCs w:val="21"/>
              </w:rPr>
            </w:pPr>
          </w:p>
        </w:tc>
      </w:tr>
    </w:tbl>
    <w:p w:rsidR="00EA033A" w:rsidRDefault="00EA033A" w:rsidP="00EA033A">
      <w:pPr>
        <w:keepNext/>
        <w:keepLines/>
        <w:spacing w:before="260" w:after="260" w:line="400" w:lineRule="exact"/>
        <w:outlineLvl w:val="1"/>
        <w:rPr>
          <w:rFonts w:ascii="仿宋" w:eastAsia="仿宋" w:hAnsi="仿宋"/>
          <w:b/>
          <w:bCs/>
          <w:sz w:val="24"/>
        </w:rPr>
      </w:pPr>
      <w:r>
        <w:rPr>
          <w:rFonts w:ascii="仿宋" w:eastAsia="仿宋" w:hAnsi="仿宋" w:hint="eastAsia"/>
          <w:b/>
          <w:bCs/>
          <w:sz w:val="24"/>
        </w:rPr>
        <w:t>*二、医院资源运营管理平台软件的所需系统基本要求</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bCs/>
          <w:sz w:val="24"/>
        </w:rPr>
        <w:t>1.</w:t>
      </w:r>
      <w:r>
        <w:rPr>
          <w:rFonts w:ascii="仿宋" w:eastAsia="仿宋" w:hAnsi="仿宋" w:hint="eastAsia"/>
          <w:bCs/>
          <w:sz w:val="24"/>
        </w:rPr>
        <w:t>该资源运营管理平台软件须全部基于“集成整合模块</w:t>
      </w:r>
      <w:r>
        <w:rPr>
          <w:rFonts w:ascii="仿宋" w:eastAsia="仿宋" w:hAnsi="仿宋"/>
          <w:bCs/>
          <w:sz w:val="24"/>
        </w:rPr>
        <w:t>”</w:t>
      </w:r>
      <w:r>
        <w:rPr>
          <w:rFonts w:ascii="仿宋" w:eastAsia="仿宋" w:hAnsi="仿宋" w:hint="eastAsia"/>
          <w:bCs/>
          <w:sz w:val="24"/>
        </w:rPr>
        <w:t>来实施。</w:t>
      </w:r>
    </w:p>
    <w:p w:rsidR="00EA033A" w:rsidRPr="001D42A3" w:rsidRDefault="00EA033A" w:rsidP="00EA033A">
      <w:pPr>
        <w:spacing w:line="400" w:lineRule="exact"/>
        <w:ind w:firstLineChars="200" w:firstLine="480"/>
        <w:rPr>
          <w:rFonts w:ascii="仿宋" w:eastAsia="仿宋" w:hAnsi="仿宋"/>
          <w:b/>
          <w:bCs/>
          <w:sz w:val="24"/>
        </w:rPr>
      </w:pPr>
      <w:r>
        <w:rPr>
          <w:rFonts w:ascii="仿宋" w:eastAsia="仿宋" w:hAnsi="仿宋"/>
          <w:bCs/>
          <w:sz w:val="24"/>
        </w:rPr>
        <w:t>2.</w:t>
      </w:r>
      <w:r>
        <w:rPr>
          <w:rFonts w:ascii="仿宋" w:eastAsia="仿宋" w:hAnsi="仿宋" w:hint="eastAsia"/>
          <w:bCs/>
          <w:sz w:val="24"/>
        </w:rPr>
        <w:t>中标方须负责完成与医院现有信息系统的对接任务（包括院内HIS系统，财务、成本、预算、物资出入库系统），提供现场技术支持及接口相关后续维护服务，同时提供详细技术文档，本项目产生的所有接口费用（包括应支付给第三方的接口费）均由中标方承担。</w:t>
      </w:r>
      <w:r w:rsidRPr="001D42A3">
        <w:rPr>
          <w:rFonts w:ascii="仿宋" w:eastAsia="仿宋" w:hAnsi="仿宋" w:hint="eastAsia"/>
          <w:b/>
          <w:bCs/>
          <w:sz w:val="24"/>
        </w:rPr>
        <w:t>（供应商可在投标截止日前自行前往采购人处进行现场踏勘）</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bCs/>
          <w:sz w:val="24"/>
        </w:rPr>
        <w:t>3.</w:t>
      </w:r>
      <w:r>
        <w:rPr>
          <w:rFonts w:ascii="仿宋" w:eastAsia="仿宋" w:hAnsi="仿宋" w:hint="eastAsia"/>
          <w:bCs/>
          <w:sz w:val="24"/>
        </w:rPr>
        <w:t>若医院后期进行信息集成平台建设，中标方须负责配合医院完成信息集成平台的相关集成，并提供技术文档及后续维护服务。</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bCs/>
          <w:sz w:val="24"/>
        </w:rPr>
        <w:t>4.</w:t>
      </w:r>
      <w:r>
        <w:rPr>
          <w:rFonts w:ascii="仿宋" w:eastAsia="仿宋" w:hAnsi="仿宋" w:hint="eastAsia"/>
          <w:bCs/>
          <w:sz w:val="24"/>
        </w:rPr>
        <w:t>投标人须承诺软件系统的安装数量和用户数量以满足采购人实际需要为准，不限制站点数和用户数。</w:t>
      </w:r>
    </w:p>
    <w:p w:rsidR="00EA033A" w:rsidRDefault="00EA033A" w:rsidP="00EA033A">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lastRenderedPageBreak/>
        <w:t>*三、商务要求</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1．服务期限及实施地点</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1.1 服务期限：合同签订后</w:t>
      </w:r>
      <w:r>
        <w:rPr>
          <w:rFonts w:ascii="仿宋" w:eastAsia="仿宋" w:hAnsi="仿宋"/>
          <w:bCs/>
          <w:sz w:val="24"/>
        </w:rPr>
        <w:t>18</w:t>
      </w:r>
      <w:r>
        <w:rPr>
          <w:rFonts w:ascii="仿宋" w:eastAsia="仿宋" w:hAnsi="仿宋" w:hint="eastAsia"/>
          <w:bCs/>
          <w:sz w:val="24"/>
        </w:rPr>
        <w:t>个月内完成系统安装、调试、培训。</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1.2 实施地点：成都市公共卫生临床医疗中心。</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2．付款方法和条件</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合同签订后</w:t>
      </w:r>
      <w:r>
        <w:rPr>
          <w:rFonts w:ascii="仿宋" w:eastAsia="仿宋" w:hAnsi="仿宋"/>
          <w:bCs/>
          <w:sz w:val="24"/>
        </w:rPr>
        <w:t>5</w:t>
      </w:r>
      <w:r>
        <w:rPr>
          <w:rFonts w:ascii="仿宋" w:eastAsia="仿宋" w:hAnsi="仿宋" w:hint="eastAsia"/>
          <w:bCs/>
          <w:sz w:val="24"/>
        </w:rPr>
        <w:t>日内预付合同总金额的30%，系统安装、调试验收合格后</w:t>
      </w:r>
      <w:r w:rsidRPr="001D42A3">
        <w:rPr>
          <w:rFonts w:ascii="仿宋" w:eastAsia="仿宋" w:hAnsi="仿宋" w:hint="eastAsia"/>
          <w:bCs/>
          <w:sz w:val="24"/>
        </w:rPr>
        <w:t>采购人在收到供应商正式发票后1</w:t>
      </w:r>
      <w:r w:rsidRPr="001D42A3">
        <w:rPr>
          <w:rFonts w:ascii="仿宋" w:eastAsia="仿宋" w:hAnsi="仿宋"/>
          <w:bCs/>
          <w:sz w:val="24"/>
        </w:rPr>
        <w:t>5日内</w:t>
      </w:r>
      <w:r>
        <w:rPr>
          <w:rFonts w:ascii="仿宋" w:eastAsia="仿宋" w:hAnsi="仿宋" w:hint="eastAsia"/>
          <w:bCs/>
          <w:sz w:val="24"/>
        </w:rPr>
        <w:t>支付合同总金额的65%，余下5%合同款待质保期满后7日内无息支付。</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 xml:space="preserve"> </w:t>
      </w:r>
      <w:r>
        <w:rPr>
          <w:rFonts w:ascii="仿宋" w:eastAsia="仿宋" w:hAnsi="仿宋"/>
          <w:bCs/>
          <w:sz w:val="24"/>
        </w:rPr>
        <w:t xml:space="preserve"> </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2.1 按项目的模块进行单项报价。</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2.2 按照模块实施进度，已完成模块的单项清单来付款；</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2.3整个项目满18个月后，核心模块（财务报销、供应链管理、物资管理、人力资源、</w:t>
      </w:r>
      <w:r>
        <w:rPr>
          <w:rFonts w:ascii="仿宋" w:eastAsia="仿宋" w:hAnsi="仿宋"/>
          <w:bCs/>
          <w:sz w:val="24"/>
        </w:rPr>
        <w:t>OA</w:t>
      </w:r>
      <w:r>
        <w:rPr>
          <w:rFonts w:ascii="仿宋" w:eastAsia="仿宋" w:hAnsi="仿宋" w:hint="eastAsia"/>
          <w:bCs/>
          <w:sz w:val="24"/>
        </w:rPr>
        <w:t>系统）到期无法运行，款项仅支付预付款，付款终止。</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3.质保期</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3.1质保期：验收合格之日起一年。</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4.安装调试及验收、服务和其它条件</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4.1中标供应商负责系统安装、调试，项目负责人需长期在医院驻点，时间为合同签订后24个月内。提供本项目人员配备清单本驻场人员不少于3名（含项目负责人）专职负责医院HRP项目正常运行和维护。</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4.</w:t>
      </w:r>
      <w:r>
        <w:rPr>
          <w:rFonts w:ascii="仿宋" w:eastAsia="仿宋" w:hAnsi="仿宋"/>
          <w:bCs/>
          <w:sz w:val="24"/>
        </w:rPr>
        <w:t>2</w:t>
      </w:r>
      <w:r>
        <w:rPr>
          <w:rFonts w:ascii="仿宋" w:eastAsia="仿宋" w:hAnsi="仿宋" w:hint="eastAsia"/>
          <w:bCs/>
          <w:sz w:val="24"/>
        </w:rPr>
        <w:t>中标供应商应就系统的安装、调试、操作、维修、保养等对采购人维修技术人员进行培训。系统安装、调试完毕后，中标供应商应对采购人操作人员进行现场培训，直至采购人的技术人员能独立操作，同时能完成一般常见故障的维修工作。维护期内，提供7×24小时电话技术支持，接到故障通知后1小时内响应，4小时内到达现场维修，12小时内保证合同软件恢复正常。</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4.</w:t>
      </w:r>
      <w:r>
        <w:rPr>
          <w:rFonts w:ascii="仿宋" w:eastAsia="仿宋" w:hAnsi="仿宋"/>
          <w:bCs/>
          <w:sz w:val="24"/>
        </w:rPr>
        <w:t>3</w:t>
      </w:r>
      <w:r>
        <w:rPr>
          <w:rFonts w:ascii="仿宋" w:eastAsia="仿宋" w:hAnsi="仿宋" w:hint="eastAsia"/>
          <w:bCs/>
          <w:sz w:val="24"/>
        </w:rPr>
        <w:t>本项目预算包含该系统所有费用。</w:t>
      </w:r>
    </w:p>
    <w:p w:rsidR="00EA033A" w:rsidRDefault="00EA033A" w:rsidP="00EA033A">
      <w:pPr>
        <w:spacing w:line="400" w:lineRule="exact"/>
        <w:ind w:firstLineChars="200" w:firstLine="480"/>
        <w:rPr>
          <w:rFonts w:ascii="仿宋" w:eastAsia="仿宋" w:hAnsi="仿宋"/>
          <w:bCs/>
          <w:sz w:val="24"/>
        </w:rPr>
      </w:pPr>
      <w:r>
        <w:rPr>
          <w:rFonts w:ascii="仿宋" w:eastAsia="仿宋" w:hAnsi="仿宋" w:hint="eastAsia"/>
          <w:bCs/>
          <w:sz w:val="24"/>
        </w:rPr>
        <w:t>4.</w:t>
      </w:r>
      <w:r>
        <w:rPr>
          <w:rFonts w:ascii="仿宋" w:eastAsia="仿宋" w:hAnsi="仿宋"/>
          <w:bCs/>
          <w:sz w:val="24"/>
        </w:rPr>
        <w:t>4</w:t>
      </w:r>
      <w:r>
        <w:rPr>
          <w:rFonts w:ascii="仿宋" w:eastAsia="仿宋" w:hAnsi="仿宋" w:hint="eastAsia"/>
          <w:bCs/>
          <w:sz w:val="24"/>
        </w:rPr>
        <w:t>根据《财政部关于进一步加强政府采购需求和履约验收管理的指导意见》（财库〔2016〕205号），相关国家行业规范及招标文件要求为验收依据进行验收。双方如对质量要求和技术指标的约定标准有相互抵触或异议的事项，由采购</w:t>
      </w:r>
      <w:r>
        <w:rPr>
          <w:rFonts w:ascii="仿宋" w:eastAsia="仿宋" w:hAnsi="仿宋" w:hint="eastAsia"/>
          <w:bCs/>
          <w:sz w:val="24"/>
        </w:rPr>
        <w:lastRenderedPageBreak/>
        <w:t>人在招标文件与投标文件中按质量要求和技术指标比较优胜的原则确定该项的约定标准进行验收。如产品验收不能满足招标文件要求，或者中标供应商虚假响应招标文件要求导致产品不能达到招标文件要求的，合同设备经中标供应商1次优化、维修或设备上线后5个工作日内仍不能达到上述质量及验收标准的，采购人有权退货，并视作中标供应商不能交付货物而须支付违约赔偿金给采购人，采购人还可依法追究中标供应商的违约责任。</w:t>
      </w:r>
    </w:p>
    <w:p w:rsidR="00EA033A" w:rsidRDefault="00EA033A" w:rsidP="00EA033A">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四、技术</w:t>
      </w:r>
      <w:r>
        <w:rPr>
          <w:rFonts w:ascii="仿宋" w:eastAsia="仿宋" w:hAnsi="仿宋"/>
          <w:b/>
          <w:bCs/>
          <w:sz w:val="24"/>
        </w:rPr>
        <w:t>、服务要求</w:t>
      </w:r>
      <w:bookmarkEnd w:id="2"/>
    </w:p>
    <w:p w:rsidR="00EA033A" w:rsidRDefault="00EA033A" w:rsidP="00EA033A">
      <w:pPr>
        <w:pStyle w:val="3"/>
        <w:ind w:firstLineChars="200" w:firstLine="482"/>
        <w:rPr>
          <w:rFonts w:ascii="仿宋" w:eastAsia="仿宋" w:hAnsi="仿宋"/>
          <w:sz w:val="24"/>
        </w:rPr>
      </w:pPr>
      <w:r>
        <w:rPr>
          <w:rFonts w:ascii="仿宋" w:eastAsia="仿宋" w:hAnsi="仿宋" w:hint="eastAsia"/>
          <w:sz w:val="24"/>
        </w:rPr>
        <w:t>1、项目概述（此项为告知项，不作评分要求）</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 xml:space="preserve">医院目前面临着巨大的竞争压力，其内部改革也迫在眉睫。提高医院的管理水平，做好成本控制工作，改进和完善资金管控手段和方式，确保按照经营管理目标科学合理的利用资金，通过有效的资金管控手段，建立使用部门、项目经费开支责任制，不仅可以降低医院在经营过程中的成本，提高医院财务管理的水平，同时还能增强医院资源的使用效率，保证医院的经济增长。 </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我院目前对人财物的管理软件是采用独自管理的模式，手工信息较多，未进行统一的系统管理，信息化支撑薄弱。其中，财务核算、成本管理、全面预算管理、物资管理、资产管理等采用的是金算盘软件，未建立合同管理系统、智慧报销、人力资源系统，O</w:t>
      </w:r>
      <w:r>
        <w:rPr>
          <w:rFonts w:ascii="仿宋" w:eastAsia="仿宋" w:hAnsi="仿宋"/>
          <w:sz w:val="24"/>
        </w:rPr>
        <w:t>A</w:t>
      </w:r>
      <w:r>
        <w:rPr>
          <w:rFonts w:ascii="仿宋" w:eastAsia="仿宋" w:hAnsi="仿宋" w:hint="eastAsia"/>
          <w:sz w:val="24"/>
        </w:rPr>
        <w:t>协同办公系统、物资系统未建立高值耗材、二级库、供应链的管理；且与东华HIS等相关业务系统接口薄弱，目前均无接口。缺乏高效、精细化的过程管理和结果管理，对更深层次的科研以及医院决策基本无法支撑。亟需对现有系统进行升级改造，以实现统一的平台集成管理。</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通过这次医院的运营管理系统的实施，加强各系统的业务整合，协同运作，建立以财务为中心的医院运营一体化平台，实现资金流、业务流、数据流的同步和信息共享。应用先进的医院管理理念，建立智慧报销、物流管理体系、HR、OA，建立事前、事中、事后控制体系，促进医院运营目标的落实和实现，进一步提高医院总体运营效率。</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本项目建设的主要总目标是：以医院综合运营管理为导向，整合医院所有</w:t>
      </w:r>
      <w:r>
        <w:rPr>
          <w:rFonts w:ascii="仿宋" w:eastAsia="仿宋" w:hAnsi="仿宋" w:hint="eastAsia"/>
          <w:sz w:val="24"/>
        </w:rPr>
        <w:lastRenderedPageBreak/>
        <w:t>的财务数据、成本数据、业务数据及人事数据，并对各数据的来源、走向及共享进行顶层指导与干预。规范医院的后台运营管理、明细医院的医疗行为过程、明确医院的真实价值，在分析决策及政策性的指引下，提高医院的经济运行效率，扩大医院的社会效率。</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sz w:val="24"/>
        </w:rPr>
        <w:t>建立数据集成交换存储平台，为医院各业务系统和管理系统实现基础字典编码的统一维护；</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sz w:val="24"/>
        </w:rPr>
        <w:t>建立医院资产、物流实物账与财务账进行账实核对、账账核对，初步实现以财务视角对医院的资产和物流进行监管的管理模式。</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（3）</w:t>
      </w:r>
      <w:r>
        <w:rPr>
          <w:rFonts w:ascii="仿宋" w:eastAsia="仿宋" w:hAnsi="仿宋"/>
          <w:sz w:val="24"/>
        </w:rPr>
        <w:t>建立医用耗材、后勤物资的分类多级库管理模式。特别是针对高值医用耗材通过条形码技术与HIS建立接口，实现高值医用耗材实时核销、全流程追踪管理、医嘱核销。</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（4）</w:t>
      </w:r>
      <w:r>
        <w:rPr>
          <w:rFonts w:ascii="仿宋" w:eastAsia="仿宋" w:hAnsi="仿宋"/>
          <w:sz w:val="24"/>
        </w:rPr>
        <w:t>建立起医院固定资产的条码化管理和全生命周期管理和全过程跟踪。</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（5）</w:t>
      </w:r>
      <w:r>
        <w:rPr>
          <w:rFonts w:ascii="仿宋" w:eastAsia="仿宋" w:hAnsi="仿宋"/>
          <w:sz w:val="24"/>
        </w:rPr>
        <w:t>建立医院预算管理和内部控制机制，实现对医院收支预算的管理，以及对医院的办公用品、医疗耗材、日常性支出的控制。</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（6）</w:t>
      </w:r>
      <w:r>
        <w:rPr>
          <w:rFonts w:ascii="仿宋" w:eastAsia="仿宋" w:hAnsi="仿宋"/>
          <w:sz w:val="24"/>
        </w:rPr>
        <w:t>支持医院职工从入职到离退的全面档案管理，考勤管理和薪酬管理，公费医疗的费用管理等。</w:t>
      </w:r>
    </w:p>
    <w:p w:rsidR="00EA033A" w:rsidRDefault="00EA033A" w:rsidP="00EA033A">
      <w:pPr>
        <w:pStyle w:val="3"/>
        <w:ind w:firstLineChars="200" w:firstLine="482"/>
        <w:rPr>
          <w:rFonts w:ascii="仿宋" w:eastAsia="仿宋" w:hAnsi="仿宋"/>
          <w:sz w:val="24"/>
        </w:rPr>
      </w:pPr>
      <w:r>
        <w:rPr>
          <w:rFonts w:ascii="仿宋" w:eastAsia="仿宋" w:hAnsi="仿宋" w:hint="eastAsia"/>
          <w:sz w:val="24"/>
        </w:rPr>
        <w:t>2、技术</w:t>
      </w:r>
      <w:r>
        <w:rPr>
          <w:rFonts w:ascii="仿宋" w:eastAsia="仿宋" w:hAnsi="仿宋"/>
          <w:sz w:val="24"/>
        </w:rPr>
        <w:t>、</w:t>
      </w:r>
      <w:r>
        <w:rPr>
          <w:rFonts w:ascii="仿宋" w:eastAsia="仿宋" w:hAnsi="仿宋" w:hint="eastAsia"/>
          <w:sz w:val="24"/>
        </w:rPr>
        <w:t>服务要求</w:t>
      </w:r>
    </w:p>
    <w:p w:rsidR="00EA033A" w:rsidRDefault="00EA033A" w:rsidP="00EA033A">
      <w:pPr>
        <w:adjustRightInd w:val="0"/>
        <w:snapToGrid w:val="0"/>
        <w:spacing w:line="500" w:lineRule="exact"/>
        <w:ind w:firstLineChars="200" w:firstLine="480"/>
        <w:jc w:val="left"/>
        <w:rPr>
          <w:rFonts w:ascii="仿宋" w:eastAsia="仿宋" w:hAnsi="仿宋"/>
          <w:sz w:val="24"/>
        </w:rPr>
      </w:pPr>
      <w:r>
        <w:rPr>
          <w:rFonts w:ascii="仿宋" w:eastAsia="仿宋" w:hAnsi="仿宋" w:hint="eastAsia"/>
          <w:sz w:val="24"/>
        </w:rPr>
        <w:t>由于本项目实施周期紧、费用有限，本项目不再单独进行前期设计，由投标人自行根据各系统功能基本要求在实施方案中进行初步设计并详细描述。各系统模块功能技术要求需根据医院实际情况设计，各系统功能要求及相关细节至少包含以下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248"/>
        <w:gridCol w:w="5889"/>
      </w:tblGrid>
      <w:tr w:rsidR="00EA033A" w:rsidTr="00B51882">
        <w:trPr>
          <w:trHeight w:val="629"/>
          <w:jc w:val="center"/>
        </w:trPr>
        <w:tc>
          <w:tcPr>
            <w:tcW w:w="5000" w:type="pct"/>
            <w:gridSpan w:val="3"/>
            <w:vAlign w:val="center"/>
          </w:tcPr>
          <w:p w:rsidR="00EA033A" w:rsidRDefault="00EA033A" w:rsidP="00EA033A">
            <w:pPr>
              <w:numPr>
                <w:ilvl w:val="0"/>
                <w:numId w:val="1"/>
              </w:numPr>
              <w:adjustRightInd w:val="0"/>
              <w:snapToGrid w:val="0"/>
              <w:spacing w:line="360" w:lineRule="auto"/>
              <w:jc w:val="center"/>
              <w:rPr>
                <w:rFonts w:ascii="仿宋" w:eastAsia="仿宋" w:hAnsi="仿宋"/>
                <w:b/>
                <w:szCs w:val="21"/>
              </w:rPr>
            </w:pPr>
            <w:r>
              <w:rPr>
                <w:rFonts w:ascii="仿宋" w:eastAsia="仿宋" w:hAnsi="仿宋" w:hint="eastAsia"/>
                <w:b/>
                <w:szCs w:val="21"/>
              </w:rPr>
              <w:t>智慧财务报销模块</w:t>
            </w:r>
          </w:p>
        </w:tc>
      </w:tr>
      <w:tr w:rsidR="00EA033A" w:rsidTr="00B51882">
        <w:trPr>
          <w:trHeight w:val="411"/>
          <w:jc w:val="center"/>
        </w:trPr>
        <w:tc>
          <w:tcPr>
            <w:tcW w:w="699"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模块</w:t>
            </w: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子系统</w:t>
            </w:r>
          </w:p>
        </w:tc>
        <w:tc>
          <w:tcPr>
            <w:tcW w:w="3549" w:type="pct"/>
            <w:vAlign w:val="center"/>
          </w:tcPr>
          <w:p w:rsidR="00EA033A" w:rsidRDefault="00EA033A" w:rsidP="00B51882">
            <w:pPr>
              <w:widowControl/>
              <w:adjustRightInd w:val="0"/>
              <w:snapToGrid w:val="0"/>
              <w:spacing w:after="0" w:line="360" w:lineRule="auto"/>
              <w:jc w:val="center"/>
              <w:textAlignment w:val="bottom"/>
              <w:rPr>
                <w:rFonts w:ascii="仿宋" w:eastAsia="仿宋" w:hAnsi="仿宋"/>
                <w:szCs w:val="21"/>
              </w:rPr>
            </w:pPr>
            <w:r>
              <w:rPr>
                <w:rFonts w:ascii="仿宋" w:eastAsia="仿宋" w:hAnsi="仿宋" w:hint="eastAsia"/>
                <w:szCs w:val="21"/>
              </w:rPr>
              <w:t>功能要求</w:t>
            </w:r>
          </w:p>
        </w:tc>
      </w:tr>
      <w:tr w:rsidR="00EA033A" w:rsidTr="00B51882">
        <w:trPr>
          <w:trHeight w:val="1905"/>
          <w:jc w:val="center"/>
        </w:trPr>
        <w:tc>
          <w:tcPr>
            <w:tcW w:w="699" w:type="pct"/>
            <w:vMerge w:val="restart"/>
            <w:vAlign w:val="center"/>
          </w:tcPr>
          <w:p w:rsidR="00EA033A" w:rsidRDefault="00EA033A" w:rsidP="00B51882">
            <w:pPr>
              <w:adjustRightInd w:val="0"/>
              <w:snapToGrid w:val="0"/>
              <w:spacing w:line="360" w:lineRule="auto"/>
              <w:jc w:val="left"/>
              <w:rPr>
                <w:rFonts w:ascii="仿宋" w:eastAsia="仿宋" w:hAnsi="仿宋"/>
                <w:szCs w:val="21"/>
              </w:rPr>
            </w:pPr>
            <w:r>
              <w:rPr>
                <w:rFonts w:ascii="仿宋" w:eastAsia="仿宋" w:hAnsi="仿宋" w:hint="eastAsia"/>
                <w:szCs w:val="21"/>
              </w:rPr>
              <w:lastRenderedPageBreak/>
              <w:t>智慧财务报销</w:t>
            </w:r>
          </w:p>
        </w:tc>
        <w:tc>
          <w:tcPr>
            <w:tcW w:w="752" w:type="pct"/>
            <w:vAlign w:val="center"/>
          </w:tcPr>
          <w:p w:rsidR="00EA033A" w:rsidRDefault="00EA033A" w:rsidP="00B51882">
            <w:pPr>
              <w:adjustRightInd w:val="0"/>
              <w:snapToGrid w:val="0"/>
              <w:spacing w:line="360" w:lineRule="auto"/>
              <w:jc w:val="left"/>
              <w:rPr>
                <w:rFonts w:ascii="仿宋" w:eastAsia="仿宋" w:hAnsi="仿宋"/>
                <w:szCs w:val="21"/>
              </w:rPr>
            </w:pPr>
            <w:r>
              <w:rPr>
                <w:rFonts w:ascii="仿宋" w:eastAsia="仿宋" w:hAnsi="仿宋" w:hint="eastAsia"/>
                <w:szCs w:val="21"/>
              </w:rPr>
              <w:t>基础管理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cs="宋体"/>
                <w:szCs w:val="21"/>
              </w:rPr>
            </w:pPr>
            <w:r>
              <w:rPr>
                <w:rFonts w:ascii="仿宋" w:eastAsia="仿宋" w:hAnsi="仿宋" w:hint="eastAsia"/>
                <w:szCs w:val="21"/>
              </w:rPr>
              <w:t>系统需支持费用计划编制、费用计划批复、费用申请、借款、费用报销、出纳收付款、费用会计记账的全流程管理，实现对费用的集中管理和实时监控关联全面预算管理系统，在费用报销时，进行预算额的控制</w:t>
            </w:r>
          </w:p>
        </w:tc>
      </w:tr>
      <w:tr w:rsidR="00EA033A" w:rsidTr="00B51882">
        <w:trPr>
          <w:trHeight w:val="1870"/>
          <w:jc w:val="center"/>
        </w:trPr>
        <w:tc>
          <w:tcPr>
            <w:tcW w:w="699" w:type="pct"/>
            <w:vMerge/>
            <w:vAlign w:val="center"/>
          </w:tcPr>
          <w:p w:rsidR="00EA033A" w:rsidRDefault="00EA033A" w:rsidP="00B51882">
            <w:pPr>
              <w:adjustRightInd w:val="0"/>
              <w:snapToGrid w:val="0"/>
              <w:spacing w:line="360" w:lineRule="auto"/>
              <w:jc w:val="left"/>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left"/>
              <w:rPr>
                <w:rFonts w:ascii="仿宋" w:eastAsia="仿宋" w:hAnsi="仿宋"/>
                <w:szCs w:val="21"/>
              </w:rPr>
            </w:pPr>
            <w:r>
              <w:rPr>
                <w:rFonts w:ascii="仿宋" w:eastAsia="仿宋" w:hAnsi="仿宋" w:hint="eastAsia"/>
                <w:szCs w:val="21"/>
              </w:rPr>
              <w:t>费用计划管理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系统需支持费用数据通过公式自动取数、从EXCEL导入和手工录入方式完成数据录入，形成费用计划，支持基于角色的多层级多环节费用计划审批流程可根据业务类型灵活设置报销单格式，以满足医院个性化要求</w:t>
            </w:r>
          </w:p>
        </w:tc>
      </w:tr>
      <w:tr w:rsidR="00EA033A" w:rsidTr="00B51882">
        <w:trPr>
          <w:trHeight w:val="1347"/>
          <w:jc w:val="center"/>
        </w:trPr>
        <w:tc>
          <w:tcPr>
            <w:tcW w:w="699" w:type="pct"/>
            <w:vMerge/>
            <w:vAlign w:val="center"/>
          </w:tcPr>
          <w:p w:rsidR="00EA033A" w:rsidRDefault="00EA033A" w:rsidP="00B51882">
            <w:pPr>
              <w:adjustRightInd w:val="0"/>
              <w:snapToGrid w:val="0"/>
              <w:spacing w:line="360" w:lineRule="auto"/>
              <w:jc w:val="left"/>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left"/>
              <w:rPr>
                <w:rFonts w:ascii="仿宋" w:eastAsia="仿宋" w:hAnsi="仿宋"/>
                <w:szCs w:val="21"/>
              </w:rPr>
            </w:pPr>
            <w:r>
              <w:rPr>
                <w:rFonts w:ascii="仿宋" w:eastAsia="仿宋" w:hAnsi="仿宋" w:hint="eastAsia"/>
                <w:szCs w:val="21"/>
              </w:rPr>
              <w:t>费用控制</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支持费用执行前费用申请，费用执行后费用报销，费用报销单自动传递到财务系统，生成财务凭证</w:t>
            </w:r>
          </w:p>
        </w:tc>
      </w:tr>
      <w:tr w:rsidR="00EA033A" w:rsidTr="00B51882">
        <w:trPr>
          <w:trHeight w:val="1550"/>
          <w:jc w:val="center"/>
        </w:trPr>
        <w:tc>
          <w:tcPr>
            <w:tcW w:w="699" w:type="pct"/>
            <w:vMerge/>
            <w:vAlign w:val="center"/>
          </w:tcPr>
          <w:p w:rsidR="00EA033A" w:rsidRDefault="00EA033A" w:rsidP="00B51882">
            <w:pPr>
              <w:adjustRightInd w:val="0"/>
              <w:snapToGrid w:val="0"/>
              <w:spacing w:line="360" w:lineRule="auto"/>
              <w:jc w:val="left"/>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left"/>
              <w:rPr>
                <w:rFonts w:ascii="仿宋" w:eastAsia="仿宋" w:hAnsi="仿宋"/>
                <w:szCs w:val="21"/>
              </w:rPr>
            </w:pPr>
            <w:r>
              <w:rPr>
                <w:rFonts w:ascii="仿宋" w:eastAsia="仿宋" w:hAnsi="仿宋" w:hint="eastAsia"/>
                <w:szCs w:val="21"/>
              </w:rPr>
              <w:t>费用分析</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需支持根据不同的费用科目、费用科室、资金来源、项目类型展开费用分析，包括费用执行情况分析、费用执行进度分析、费用执行排名分析、费用执行对比分析等</w:t>
            </w:r>
          </w:p>
        </w:tc>
      </w:tr>
      <w:tr w:rsidR="00EA033A" w:rsidTr="00B51882">
        <w:trPr>
          <w:trHeight w:val="556"/>
          <w:jc w:val="center"/>
        </w:trPr>
        <w:tc>
          <w:tcPr>
            <w:tcW w:w="699" w:type="pct"/>
            <w:vMerge/>
            <w:vAlign w:val="center"/>
          </w:tcPr>
          <w:p w:rsidR="00EA033A" w:rsidRDefault="00EA033A" w:rsidP="00B51882">
            <w:pPr>
              <w:adjustRightInd w:val="0"/>
              <w:snapToGrid w:val="0"/>
              <w:spacing w:line="360" w:lineRule="auto"/>
              <w:jc w:val="left"/>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left"/>
              <w:rPr>
                <w:rFonts w:ascii="仿宋" w:eastAsia="仿宋" w:hAnsi="仿宋"/>
                <w:szCs w:val="21"/>
              </w:rPr>
            </w:pPr>
            <w:r>
              <w:rPr>
                <w:rFonts w:ascii="仿宋" w:eastAsia="仿宋" w:hAnsi="仿宋" w:hint="eastAsia"/>
                <w:szCs w:val="21"/>
              </w:rPr>
              <w:t>移动审批</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#提供基于医院微信端的移动报销功能（演示佐证）</w:t>
            </w:r>
          </w:p>
        </w:tc>
      </w:tr>
      <w:tr w:rsidR="00EA033A" w:rsidTr="00B51882">
        <w:trPr>
          <w:trHeight w:val="1119"/>
          <w:jc w:val="center"/>
        </w:trPr>
        <w:tc>
          <w:tcPr>
            <w:tcW w:w="699" w:type="pct"/>
            <w:vMerge/>
            <w:vAlign w:val="center"/>
          </w:tcPr>
          <w:p w:rsidR="00EA033A" w:rsidRDefault="00EA033A" w:rsidP="00B51882">
            <w:pPr>
              <w:adjustRightInd w:val="0"/>
              <w:snapToGrid w:val="0"/>
              <w:spacing w:line="360" w:lineRule="auto"/>
              <w:jc w:val="left"/>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left"/>
              <w:rPr>
                <w:rFonts w:ascii="仿宋" w:eastAsia="仿宋" w:hAnsi="仿宋"/>
                <w:szCs w:val="21"/>
              </w:rPr>
            </w:pPr>
            <w:r>
              <w:rPr>
                <w:rFonts w:ascii="仿宋" w:eastAsia="仿宋" w:hAnsi="仿宋" w:hint="eastAsia"/>
                <w:szCs w:val="21"/>
              </w:rPr>
              <w:t>一体化应用</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能满足与医院现有财务核算成本系统的无缝连接，预算、费用报销业务数据可以和财务成本数据之间相互关联，并生成财务凭证</w:t>
            </w:r>
          </w:p>
        </w:tc>
      </w:tr>
      <w:tr w:rsidR="00EA033A" w:rsidTr="00B51882">
        <w:trPr>
          <w:trHeight w:val="737"/>
          <w:jc w:val="center"/>
        </w:trPr>
        <w:tc>
          <w:tcPr>
            <w:tcW w:w="5000" w:type="pct"/>
            <w:gridSpan w:val="3"/>
            <w:vAlign w:val="center"/>
          </w:tcPr>
          <w:p w:rsidR="00EA033A" w:rsidRDefault="00EA033A" w:rsidP="00EA033A">
            <w:pPr>
              <w:numPr>
                <w:ilvl w:val="0"/>
                <w:numId w:val="1"/>
              </w:numPr>
              <w:adjustRightInd w:val="0"/>
              <w:snapToGrid w:val="0"/>
              <w:spacing w:line="360" w:lineRule="auto"/>
              <w:jc w:val="center"/>
              <w:rPr>
                <w:rFonts w:ascii="仿宋" w:eastAsia="仿宋" w:hAnsi="仿宋"/>
                <w:b/>
                <w:szCs w:val="21"/>
              </w:rPr>
            </w:pPr>
            <w:r>
              <w:rPr>
                <w:rFonts w:ascii="仿宋" w:eastAsia="仿宋" w:hAnsi="仿宋" w:hint="eastAsia"/>
                <w:b/>
                <w:szCs w:val="21"/>
              </w:rPr>
              <w:t>供应链管理</w:t>
            </w:r>
          </w:p>
        </w:tc>
      </w:tr>
      <w:tr w:rsidR="00EA033A" w:rsidTr="00B51882">
        <w:trPr>
          <w:trHeight w:val="411"/>
          <w:jc w:val="center"/>
        </w:trPr>
        <w:tc>
          <w:tcPr>
            <w:tcW w:w="699"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模块</w:t>
            </w: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子系统</w:t>
            </w:r>
          </w:p>
        </w:tc>
        <w:tc>
          <w:tcPr>
            <w:tcW w:w="3549" w:type="pct"/>
            <w:vAlign w:val="center"/>
          </w:tcPr>
          <w:p w:rsidR="00EA033A" w:rsidRDefault="00EA033A" w:rsidP="00B51882">
            <w:pPr>
              <w:widowControl/>
              <w:adjustRightInd w:val="0"/>
              <w:snapToGrid w:val="0"/>
              <w:spacing w:after="0" w:line="360" w:lineRule="auto"/>
              <w:jc w:val="center"/>
              <w:textAlignment w:val="bottom"/>
              <w:rPr>
                <w:rFonts w:ascii="仿宋" w:eastAsia="仿宋" w:hAnsi="仿宋"/>
                <w:szCs w:val="21"/>
              </w:rPr>
            </w:pPr>
            <w:r>
              <w:rPr>
                <w:rFonts w:ascii="仿宋" w:eastAsia="仿宋" w:hAnsi="仿宋" w:hint="eastAsia"/>
                <w:szCs w:val="21"/>
              </w:rPr>
              <w:t>功能要求</w:t>
            </w:r>
          </w:p>
        </w:tc>
      </w:tr>
      <w:tr w:rsidR="00EA033A" w:rsidTr="00B51882">
        <w:trPr>
          <w:trHeight w:val="1119"/>
          <w:jc w:val="center"/>
        </w:trPr>
        <w:tc>
          <w:tcPr>
            <w:tcW w:w="699" w:type="pct"/>
            <w:vMerge w:val="restar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供应链管理</w:t>
            </w: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基础管理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供应商档案管理：能对供应商证照进行管理，以及证照的有效期管理</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配送管理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#基于供应链服务平台，在医院与供应商之间实现订单发送、发货信息、到货接收确认功能（演示佐证）</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配送单签收</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#HRP物资系统普通材料自动生成入库单，高值耗材自动生成代管入库单（演示佐证）</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收货管理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医院可根据物资配送单进行入库操作，并自动生成入库单</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发票管理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支持供货发票在线维护、上传与审核，实现发票在线管理</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一体化管理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支持与医院现有物资系统高度集成，实现采购订单、配送单、发票业务协同</w:t>
            </w:r>
          </w:p>
        </w:tc>
      </w:tr>
      <w:tr w:rsidR="00EA033A" w:rsidTr="00B51882">
        <w:trPr>
          <w:trHeight w:val="590"/>
          <w:jc w:val="center"/>
        </w:trPr>
        <w:tc>
          <w:tcPr>
            <w:tcW w:w="5000" w:type="pct"/>
            <w:gridSpan w:val="3"/>
            <w:vAlign w:val="center"/>
          </w:tcPr>
          <w:p w:rsidR="00EA033A" w:rsidRDefault="00EA033A" w:rsidP="00EA033A">
            <w:pPr>
              <w:numPr>
                <w:ilvl w:val="0"/>
                <w:numId w:val="1"/>
              </w:numPr>
              <w:adjustRightInd w:val="0"/>
              <w:snapToGrid w:val="0"/>
              <w:spacing w:line="360" w:lineRule="auto"/>
              <w:jc w:val="center"/>
              <w:rPr>
                <w:rFonts w:ascii="仿宋" w:eastAsia="仿宋" w:hAnsi="仿宋"/>
                <w:b/>
                <w:szCs w:val="21"/>
              </w:rPr>
            </w:pPr>
            <w:r>
              <w:rPr>
                <w:rFonts w:ascii="仿宋" w:eastAsia="仿宋" w:hAnsi="仿宋" w:hint="eastAsia"/>
                <w:b/>
                <w:szCs w:val="21"/>
              </w:rPr>
              <w:t>物资管理</w:t>
            </w:r>
          </w:p>
        </w:tc>
      </w:tr>
      <w:tr w:rsidR="00EA033A" w:rsidTr="00B51882">
        <w:trPr>
          <w:trHeight w:val="411"/>
          <w:jc w:val="center"/>
        </w:trPr>
        <w:tc>
          <w:tcPr>
            <w:tcW w:w="699"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模块</w:t>
            </w: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子系统</w:t>
            </w:r>
          </w:p>
        </w:tc>
        <w:tc>
          <w:tcPr>
            <w:tcW w:w="3549" w:type="pct"/>
            <w:vAlign w:val="center"/>
          </w:tcPr>
          <w:p w:rsidR="00EA033A" w:rsidRDefault="00EA033A" w:rsidP="00B51882">
            <w:pPr>
              <w:widowControl/>
              <w:adjustRightInd w:val="0"/>
              <w:snapToGrid w:val="0"/>
              <w:spacing w:after="0" w:line="360" w:lineRule="auto"/>
              <w:jc w:val="center"/>
              <w:textAlignment w:val="bottom"/>
              <w:rPr>
                <w:rFonts w:ascii="仿宋" w:eastAsia="仿宋" w:hAnsi="仿宋"/>
                <w:szCs w:val="21"/>
              </w:rPr>
            </w:pPr>
            <w:r>
              <w:rPr>
                <w:rFonts w:ascii="仿宋" w:eastAsia="仿宋" w:hAnsi="仿宋" w:hint="eastAsia"/>
                <w:szCs w:val="21"/>
              </w:rPr>
              <w:t>功能要求</w:t>
            </w:r>
          </w:p>
        </w:tc>
      </w:tr>
      <w:tr w:rsidR="00EA033A" w:rsidTr="00B51882">
        <w:trPr>
          <w:trHeight w:val="1119"/>
          <w:jc w:val="center"/>
        </w:trPr>
        <w:tc>
          <w:tcPr>
            <w:tcW w:w="699" w:type="pct"/>
            <w:vMerge w:val="restart"/>
            <w:vAlign w:val="center"/>
          </w:tcPr>
          <w:p w:rsidR="00EA033A" w:rsidRDefault="00EA033A" w:rsidP="00B51882">
            <w:pPr>
              <w:widowControl/>
              <w:adjustRightInd w:val="0"/>
              <w:snapToGrid w:val="0"/>
              <w:spacing w:after="0" w:line="360" w:lineRule="auto"/>
              <w:jc w:val="center"/>
              <w:textAlignment w:val="bottom"/>
              <w:rPr>
                <w:rFonts w:ascii="仿宋" w:eastAsia="仿宋" w:hAnsi="仿宋"/>
                <w:szCs w:val="21"/>
              </w:rPr>
            </w:pPr>
            <w:r>
              <w:rPr>
                <w:rFonts w:ascii="仿宋" w:eastAsia="仿宋" w:hAnsi="仿宋" w:hint="eastAsia"/>
                <w:szCs w:val="21"/>
              </w:rPr>
              <w:t>物资管理</w:t>
            </w: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高值耗材管理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#建立高值耗材的全程跟踪体系，实现对高值耗材的领用、调拨、使用全程跟踪。支持高值耗材的序列号管理，一物一号，实现高值耗材的全程跟踪，防止高值耗材流失（演示佐证）</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二级（多级）库房管理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 xml:space="preserve">实现对二级库房的精细化管理，彻底打破以领代支的物资管理模式，实现实耗实销管理 </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对冲出入库</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#在做物品出库单时同时系统自动生成物品入库单（演示佐证）</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VMI(供应商管理库存)</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将医院自有物资与供应商代销物资等分开管理，分清权责，理顺关系，降低医院库存资金占用</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一体化应用</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采购入库、领用出库单自动生成凭证到医院财务系统，同时向成本提供成本核算数据功能，满足会计记账和成本核算的要求，并能追溯到业务发生的源头单据，实现财务业务一体化管理功能</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资产管理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实现资产的采购、入库、转移、变动、出库、条码管理、报废的全面管理</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资产出入库信息自动生成财务凭证，实现财务业务一体化</w:t>
            </w:r>
          </w:p>
        </w:tc>
      </w:tr>
      <w:tr w:rsidR="00EA033A" w:rsidTr="00B51882">
        <w:trPr>
          <w:trHeight w:val="1119"/>
          <w:jc w:val="center"/>
        </w:trPr>
        <w:tc>
          <w:tcPr>
            <w:tcW w:w="699" w:type="pct"/>
            <w:vMerge/>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p>
        </w:tc>
        <w:tc>
          <w:tcPr>
            <w:tcW w:w="752"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设备管理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实现设备的精细化管理，对设备的建档、保养计划、设备维修、设备的巡检等过程进行全面的管理</w:t>
            </w:r>
          </w:p>
        </w:tc>
      </w:tr>
      <w:tr w:rsidR="00EA033A" w:rsidTr="00B51882">
        <w:trPr>
          <w:trHeight w:val="432"/>
          <w:jc w:val="center"/>
        </w:trPr>
        <w:tc>
          <w:tcPr>
            <w:tcW w:w="5000" w:type="pct"/>
            <w:gridSpan w:val="3"/>
            <w:vAlign w:val="center"/>
          </w:tcPr>
          <w:p w:rsidR="00EA033A" w:rsidRDefault="00EA033A" w:rsidP="00EA033A">
            <w:pPr>
              <w:numPr>
                <w:ilvl w:val="0"/>
                <w:numId w:val="1"/>
              </w:numPr>
              <w:adjustRightInd w:val="0"/>
              <w:snapToGrid w:val="0"/>
              <w:spacing w:line="360" w:lineRule="auto"/>
              <w:jc w:val="center"/>
              <w:rPr>
                <w:rFonts w:ascii="仿宋" w:eastAsia="仿宋" w:hAnsi="仿宋"/>
                <w:b/>
                <w:szCs w:val="21"/>
              </w:rPr>
            </w:pPr>
            <w:r>
              <w:rPr>
                <w:rFonts w:ascii="仿宋" w:eastAsia="仿宋" w:hAnsi="仿宋" w:hint="eastAsia"/>
                <w:b/>
                <w:szCs w:val="21"/>
              </w:rPr>
              <w:lastRenderedPageBreak/>
              <w:t>人力资源管理</w:t>
            </w:r>
          </w:p>
        </w:tc>
      </w:tr>
      <w:tr w:rsidR="00EA033A" w:rsidTr="00B51882">
        <w:trPr>
          <w:trHeight w:val="411"/>
          <w:jc w:val="center"/>
        </w:trPr>
        <w:tc>
          <w:tcPr>
            <w:tcW w:w="699"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模块</w:t>
            </w: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子系统</w:t>
            </w:r>
          </w:p>
        </w:tc>
        <w:tc>
          <w:tcPr>
            <w:tcW w:w="3549" w:type="pct"/>
            <w:vAlign w:val="center"/>
          </w:tcPr>
          <w:p w:rsidR="00EA033A" w:rsidRDefault="00EA033A" w:rsidP="00B51882">
            <w:pPr>
              <w:widowControl/>
              <w:adjustRightInd w:val="0"/>
              <w:snapToGrid w:val="0"/>
              <w:spacing w:after="0" w:line="360" w:lineRule="auto"/>
              <w:jc w:val="center"/>
              <w:textAlignment w:val="bottom"/>
              <w:rPr>
                <w:rFonts w:ascii="仿宋" w:eastAsia="仿宋" w:hAnsi="仿宋"/>
                <w:szCs w:val="21"/>
              </w:rPr>
            </w:pPr>
            <w:r>
              <w:rPr>
                <w:rFonts w:ascii="仿宋" w:eastAsia="仿宋" w:hAnsi="仿宋" w:hint="eastAsia"/>
                <w:szCs w:val="21"/>
              </w:rPr>
              <w:t>功能要求</w:t>
            </w:r>
          </w:p>
        </w:tc>
      </w:tr>
      <w:tr w:rsidR="00EA033A" w:rsidTr="00B51882">
        <w:trPr>
          <w:trHeight w:val="411"/>
          <w:jc w:val="center"/>
        </w:trPr>
        <w:tc>
          <w:tcPr>
            <w:tcW w:w="699" w:type="pct"/>
            <w:vMerge w:val="restart"/>
            <w:vAlign w:val="center"/>
          </w:tcPr>
          <w:p w:rsidR="00EA033A" w:rsidRDefault="00EA033A" w:rsidP="00B51882">
            <w:pPr>
              <w:adjustRightInd w:val="0"/>
              <w:snapToGrid w:val="0"/>
              <w:spacing w:line="360" w:lineRule="auto"/>
              <w:jc w:val="left"/>
              <w:rPr>
                <w:rFonts w:ascii="仿宋" w:eastAsia="仿宋" w:hAnsi="仿宋"/>
                <w:szCs w:val="21"/>
              </w:rPr>
            </w:pPr>
            <w:r>
              <w:rPr>
                <w:rFonts w:ascii="仿宋" w:eastAsia="仿宋" w:hAnsi="仿宋" w:hint="eastAsia"/>
                <w:szCs w:val="21"/>
              </w:rPr>
              <w:t>人力资源管理</w:t>
            </w: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编制管理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实现医院组织机构管理、岗位编制管理、机构编现查询</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人员管理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实现人员信息管理、人员信息审核、人员历史查询、人员转正管理以及报表统计等</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合同管理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实现对医院全员的人事合同基础信息管理、人员合同预警、劳动合同签订、变更/解除、续签/终止、合同台账查询等管理。</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薪资管理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可自定义多套薪资标准，设定薪资发放人员、发放的薪资项目，可以根据医院薪资政策灵活制定各种调资业务模板及适用规则，针对不同人员能够实现如确定薪资、转正定级、职务变动、正常晋级、调整标准等各种调资业务</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提供业绩绩效、奖励绩效等薪资项目的总额控制功能，可对各科室的业绩、奖励绩效的计划额、已发额、剩余额等信息进行管理，满足医院对各科室奖金二次分配的管理需要</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保险管理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对参加社保人员五险、一金核算等</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考勤管理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实现请假管理、排班管理、假期管理、考勤信息统计</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招聘管理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提供外网招聘门户及微招聘门户，应聘人员可通过招聘门户查阅和申请职位信息，并可填写与提交个人简历，获悉职位申请状态，打印准考证，查询成绩，接收消息反馈等</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自助平台</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可根据自身权限查询个人基本信息和职业轨迹信息</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一体化应用</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组织架构及人员信息与医院财务系统实现同步，满足医院核算及人员统一管理的需求</w:t>
            </w:r>
          </w:p>
        </w:tc>
      </w:tr>
      <w:tr w:rsidR="00EA033A" w:rsidTr="00B51882">
        <w:trPr>
          <w:trHeight w:val="411"/>
          <w:jc w:val="center"/>
        </w:trPr>
        <w:tc>
          <w:tcPr>
            <w:tcW w:w="5000" w:type="pct"/>
            <w:gridSpan w:val="3"/>
            <w:vAlign w:val="center"/>
          </w:tcPr>
          <w:p w:rsidR="00EA033A" w:rsidRDefault="00EA033A" w:rsidP="00EA033A">
            <w:pPr>
              <w:numPr>
                <w:ilvl w:val="0"/>
                <w:numId w:val="1"/>
              </w:numPr>
              <w:adjustRightInd w:val="0"/>
              <w:snapToGrid w:val="0"/>
              <w:spacing w:line="360" w:lineRule="auto"/>
              <w:jc w:val="center"/>
              <w:rPr>
                <w:rFonts w:ascii="仿宋" w:eastAsia="仿宋" w:hAnsi="仿宋"/>
                <w:b/>
                <w:szCs w:val="21"/>
              </w:rPr>
            </w:pPr>
            <w:r>
              <w:rPr>
                <w:rFonts w:ascii="仿宋" w:eastAsia="仿宋" w:hAnsi="仿宋" w:hint="eastAsia"/>
                <w:b/>
                <w:szCs w:val="21"/>
              </w:rPr>
              <w:t>OA协同办公系统</w:t>
            </w:r>
          </w:p>
        </w:tc>
      </w:tr>
      <w:tr w:rsidR="00EA033A" w:rsidTr="00B51882">
        <w:trPr>
          <w:trHeight w:val="411"/>
          <w:jc w:val="center"/>
        </w:trPr>
        <w:tc>
          <w:tcPr>
            <w:tcW w:w="699"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模块</w:t>
            </w: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子系统</w:t>
            </w:r>
          </w:p>
        </w:tc>
        <w:tc>
          <w:tcPr>
            <w:tcW w:w="3549"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功能要求</w:t>
            </w:r>
          </w:p>
        </w:tc>
      </w:tr>
      <w:tr w:rsidR="00EA033A" w:rsidTr="00B51882">
        <w:trPr>
          <w:trHeight w:val="411"/>
          <w:jc w:val="center"/>
        </w:trPr>
        <w:tc>
          <w:tcPr>
            <w:tcW w:w="699" w:type="pct"/>
            <w:vMerge w:val="restar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OA协同办公系统</w:t>
            </w: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办公系统</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支持文件交互、文件审批功能</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支持群发消息、私发信息、消息提醒等功能</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支持主题讨论、调研及相关统计</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支持会议室管理及会议物资管理</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支持车辆管理</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lastRenderedPageBreak/>
              <w:t>支持与现有医院门户网站对接</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移动办公</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#支持微信或APP实现移动办公（演示佐证）</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支持IOS、安卓等系统手机、平板电脑实现随时随地的办公</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按医院管理要求实现移动业务应用，如移动办公审批、移动病事请申请、个人信息掌上查询、移动运营分析以及随时发起紧急医疗救治活动移动讨论沟通等事项</w:t>
            </w:r>
          </w:p>
        </w:tc>
      </w:tr>
      <w:tr w:rsidR="00EA033A" w:rsidTr="00B51882">
        <w:trPr>
          <w:trHeight w:val="411"/>
          <w:jc w:val="center"/>
        </w:trPr>
        <w:tc>
          <w:tcPr>
            <w:tcW w:w="699" w:type="pct"/>
            <w:vMerge/>
            <w:vAlign w:val="center"/>
          </w:tcPr>
          <w:p w:rsidR="00EA033A" w:rsidRDefault="00EA033A" w:rsidP="00B51882">
            <w:pPr>
              <w:adjustRightInd w:val="0"/>
              <w:snapToGrid w:val="0"/>
              <w:spacing w:line="360" w:lineRule="auto"/>
              <w:jc w:val="center"/>
              <w:rPr>
                <w:rFonts w:ascii="仿宋" w:eastAsia="仿宋" w:hAnsi="仿宋"/>
                <w:szCs w:val="21"/>
              </w:rPr>
            </w:pP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系统要求</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支持与HRP系统进行数据集成、信息集成、门户集成</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支持与人力资源系统进行组织集成、用户集成</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支持与合同管理审批提醒进行信息集成</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不限定使用人数，满足用户对于权限分配的需求</w:t>
            </w:r>
          </w:p>
        </w:tc>
      </w:tr>
      <w:tr w:rsidR="00EA033A" w:rsidTr="00B51882">
        <w:trPr>
          <w:trHeight w:val="411"/>
          <w:jc w:val="center"/>
        </w:trPr>
        <w:tc>
          <w:tcPr>
            <w:tcW w:w="5000" w:type="pct"/>
            <w:gridSpan w:val="3"/>
            <w:vAlign w:val="center"/>
          </w:tcPr>
          <w:p w:rsidR="00EA033A" w:rsidRDefault="00EA033A" w:rsidP="00EA033A">
            <w:pPr>
              <w:numPr>
                <w:ilvl w:val="0"/>
                <w:numId w:val="1"/>
              </w:numPr>
              <w:adjustRightInd w:val="0"/>
              <w:snapToGrid w:val="0"/>
              <w:spacing w:line="360" w:lineRule="auto"/>
              <w:jc w:val="center"/>
              <w:rPr>
                <w:rFonts w:ascii="仿宋" w:eastAsia="仿宋" w:hAnsi="仿宋"/>
                <w:szCs w:val="21"/>
              </w:rPr>
            </w:pPr>
            <w:r>
              <w:rPr>
                <w:rFonts w:ascii="仿宋" w:eastAsia="仿宋" w:hAnsi="仿宋" w:hint="eastAsia"/>
                <w:b/>
                <w:szCs w:val="21"/>
              </w:rPr>
              <w:t>合同管理</w:t>
            </w:r>
          </w:p>
        </w:tc>
      </w:tr>
      <w:tr w:rsidR="00EA033A" w:rsidTr="00B51882">
        <w:trPr>
          <w:trHeight w:val="411"/>
          <w:jc w:val="center"/>
        </w:trPr>
        <w:tc>
          <w:tcPr>
            <w:tcW w:w="699"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模块</w:t>
            </w: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子系统</w:t>
            </w:r>
          </w:p>
        </w:tc>
        <w:tc>
          <w:tcPr>
            <w:tcW w:w="3549"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功能要求</w:t>
            </w:r>
          </w:p>
        </w:tc>
      </w:tr>
      <w:tr w:rsidR="00EA033A" w:rsidTr="00B51882">
        <w:trPr>
          <w:trHeight w:val="411"/>
          <w:jc w:val="center"/>
        </w:trPr>
        <w:tc>
          <w:tcPr>
            <w:tcW w:w="699"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合同管理</w:t>
            </w:r>
          </w:p>
        </w:tc>
        <w:tc>
          <w:tcPr>
            <w:tcW w:w="752" w:type="pct"/>
            <w:vAlign w:val="center"/>
          </w:tcPr>
          <w:p w:rsidR="00EA033A" w:rsidRDefault="00EA033A" w:rsidP="00B51882">
            <w:pPr>
              <w:adjustRightInd w:val="0"/>
              <w:snapToGrid w:val="0"/>
              <w:spacing w:line="360" w:lineRule="auto"/>
              <w:jc w:val="center"/>
              <w:rPr>
                <w:rFonts w:ascii="仿宋" w:eastAsia="仿宋" w:hAnsi="仿宋"/>
                <w:szCs w:val="21"/>
              </w:rPr>
            </w:pPr>
            <w:r>
              <w:rPr>
                <w:rFonts w:ascii="仿宋" w:eastAsia="仿宋" w:hAnsi="仿宋" w:hint="eastAsia"/>
                <w:szCs w:val="21"/>
              </w:rPr>
              <w:t>合同全流程管理</w:t>
            </w:r>
          </w:p>
        </w:tc>
        <w:tc>
          <w:tcPr>
            <w:tcW w:w="3549" w:type="pct"/>
            <w:vAlign w:val="center"/>
          </w:tcPr>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支持合同模板制定管理</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支持供应商在线上传合同明细内容，在线审批供应商合同并存档，能够实时查阅电子版合同</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 xml:space="preserve">#支持合同在线审签，审签过程中，针对合同原文，拖拽选择原文内容至微信式对话框，直接发表意见给上游环节（演示佐证） </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#支持word文件格式、pdf文件格式合同原件提交上传（演示佐证）</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合同生命周期时间线管理</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支持合同存档管理</w:t>
            </w:r>
          </w:p>
          <w:p w:rsidR="00EA033A" w:rsidRDefault="00EA033A" w:rsidP="00EA033A">
            <w:pPr>
              <w:widowControl/>
              <w:numPr>
                <w:ilvl w:val="0"/>
                <w:numId w:val="2"/>
              </w:numPr>
              <w:adjustRightInd w:val="0"/>
              <w:snapToGrid w:val="0"/>
              <w:spacing w:after="0" w:line="360" w:lineRule="auto"/>
              <w:jc w:val="left"/>
              <w:textAlignment w:val="bottom"/>
              <w:rPr>
                <w:rFonts w:ascii="仿宋" w:eastAsia="仿宋" w:hAnsi="仿宋"/>
                <w:szCs w:val="21"/>
              </w:rPr>
            </w:pPr>
            <w:r>
              <w:rPr>
                <w:rFonts w:ascii="仿宋" w:eastAsia="仿宋" w:hAnsi="仿宋" w:hint="eastAsia"/>
                <w:szCs w:val="21"/>
              </w:rPr>
              <w:t>支持合同跟预算关联，可以按预算控制，可以查询预算额度</w:t>
            </w:r>
          </w:p>
        </w:tc>
      </w:tr>
      <w:tr w:rsidR="00EA033A" w:rsidTr="00B51882">
        <w:trPr>
          <w:trHeight w:val="411"/>
          <w:jc w:val="center"/>
        </w:trPr>
        <w:tc>
          <w:tcPr>
            <w:tcW w:w="5000" w:type="pct"/>
            <w:gridSpan w:val="3"/>
            <w:vAlign w:val="center"/>
          </w:tcPr>
          <w:p w:rsidR="00EA033A" w:rsidRDefault="00EA033A" w:rsidP="00B51882">
            <w:pPr>
              <w:widowControl/>
              <w:adjustRightInd w:val="0"/>
              <w:snapToGrid w:val="0"/>
              <w:spacing w:after="0" w:line="360" w:lineRule="auto"/>
              <w:jc w:val="center"/>
              <w:textAlignment w:val="bottom"/>
              <w:rPr>
                <w:rFonts w:ascii="仿宋" w:eastAsia="仿宋" w:hAnsi="仿宋"/>
                <w:b/>
                <w:szCs w:val="21"/>
              </w:rPr>
            </w:pPr>
            <w:r>
              <w:rPr>
                <w:rFonts w:ascii="仿宋" w:eastAsia="仿宋" w:hAnsi="仿宋"/>
                <w:b/>
                <w:szCs w:val="21"/>
              </w:rPr>
              <w:t>（七）防火墙</w:t>
            </w:r>
          </w:p>
        </w:tc>
      </w:tr>
      <w:tr w:rsidR="00EA033A" w:rsidTr="00B51882">
        <w:trPr>
          <w:trHeight w:val="411"/>
          <w:jc w:val="center"/>
        </w:trPr>
        <w:tc>
          <w:tcPr>
            <w:tcW w:w="1451" w:type="pct"/>
            <w:gridSpan w:val="2"/>
            <w:vAlign w:val="center"/>
          </w:tcPr>
          <w:p w:rsidR="00EA033A" w:rsidRDefault="00EA033A" w:rsidP="00B51882">
            <w:pPr>
              <w:widowControl/>
              <w:adjustRightInd w:val="0"/>
              <w:snapToGrid w:val="0"/>
              <w:spacing w:after="0" w:line="360" w:lineRule="auto"/>
              <w:jc w:val="left"/>
              <w:textAlignment w:val="bottom"/>
              <w:rPr>
                <w:rFonts w:ascii="仿宋" w:eastAsia="仿宋" w:hAnsi="仿宋"/>
                <w:b/>
                <w:szCs w:val="21"/>
              </w:rPr>
            </w:pPr>
            <w:r>
              <w:rPr>
                <w:rFonts w:ascii="仿宋" w:eastAsia="仿宋" w:hAnsi="仿宋"/>
                <w:b/>
                <w:szCs w:val="21"/>
              </w:rPr>
              <w:t>安全网关：数量</w:t>
            </w:r>
            <w:r>
              <w:rPr>
                <w:rFonts w:ascii="仿宋" w:eastAsia="仿宋" w:hAnsi="仿宋" w:hint="eastAsia"/>
                <w:b/>
                <w:szCs w:val="21"/>
              </w:rPr>
              <w:t>1台</w:t>
            </w:r>
          </w:p>
        </w:tc>
        <w:tc>
          <w:tcPr>
            <w:tcW w:w="3549" w:type="pct"/>
            <w:vAlign w:val="center"/>
          </w:tcPr>
          <w:p w:rsidR="00EA033A" w:rsidRDefault="00EA033A" w:rsidP="00B51882">
            <w:pPr>
              <w:widowControl/>
              <w:adjustRightInd w:val="0"/>
              <w:snapToGrid w:val="0"/>
              <w:spacing w:after="0" w:line="360" w:lineRule="auto"/>
              <w:jc w:val="left"/>
              <w:textAlignment w:val="bottom"/>
              <w:rPr>
                <w:rFonts w:ascii="仿宋" w:eastAsia="仿宋" w:hAnsi="仿宋"/>
                <w:b/>
                <w:szCs w:val="21"/>
              </w:rPr>
            </w:pPr>
            <w:r>
              <w:rPr>
                <w:rFonts w:ascii="仿宋" w:eastAsia="仿宋" w:hAnsi="仿宋"/>
                <w:b/>
                <w:szCs w:val="21"/>
              </w:rPr>
              <w:t>技术要求：</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▲网络接口≥6个10/100/1000电口，吞吐量≥3Gbps，最大并发连接数≥120万，每秒新建连接≥3万；</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▲支持用户双重身份认证：用户名/密码认证方式和基于用户的指纹生物识别认证（提供操作界面截图，加盖投标人公章）；</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lastRenderedPageBreak/>
              <w:t>支持透明、路由、混合三种工作模式；支持静态路由、策略路由、动态路由（RIP、OSPF）、组播路由；支持动态NAT、静态NAT、双向NAT，支持一对一、一对多、多对一和多对多的地址转换方式；</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支持基于状态检测的包过滤技术；支持H.323、FTP、SIP、SQL*NET、RTSP等多种动态协议；支持SYN FLOOD、ACK FLOOD、UDP FLOOD、ICMP FLOOD、DNS FLOOD（查询报文和响应报文）、HTTP GET/PUT FLOOD；支持定时免费发送ARP，支持ARP表管理和ARP固化功能；</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支持跨三层交换机的IP/MAC绑定策略；支持IP/MAC对应关系的自动探测和唯一性检测；</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支持蠕虫/木马/后门/DoS/DDoS攻击探测/扫描/间谍软件/利用漏洞的攻击/缓冲区溢出攻击/协议异常/ IPS逃逸攻击的攻击防护，特征库8000+多种；</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▲支持对终端已被种植了远控木马或者病毒等恶意软件进行检测，并且能够对检测到的恶意软件行为进行深入的分析；设备具备独立的僵尸网络识别库（提供操作界面截图，加盖投标人公章）</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szCs w:val="21"/>
              </w:rPr>
              <w:t>支持基于区域接口、IP地址、协议、服务</w:t>
            </w:r>
            <w:r>
              <w:rPr>
                <w:rFonts w:ascii="仿宋" w:eastAsia="仿宋" w:hAnsi="仿宋" w:hint="eastAsia"/>
                <w:szCs w:val="21"/>
              </w:rPr>
              <w:t>、ToS、DSCP</w:t>
            </w:r>
            <w:r>
              <w:rPr>
                <w:rFonts w:ascii="仿宋" w:eastAsia="仿宋" w:hAnsi="仿宋"/>
                <w:szCs w:val="21"/>
              </w:rPr>
              <w:t>分配带宽</w:t>
            </w:r>
            <w:r>
              <w:rPr>
                <w:rFonts w:ascii="仿宋" w:eastAsia="仿宋" w:hAnsi="仿宋" w:hint="eastAsia"/>
                <w:szCs w:val="21"/>
              </w:rPr>
              <w:t>；</w:t>
            </w:r>
            <w:r>
              <w:rPr>
                <w:rFonts w:ascii="仿宋" w:eastAsia="仿宋" w:hAnsi="仿宋"/>
                <w:szCs w:val="21"/>
              </w:rPr>
              <w:t>支持最小保留带宽和最大限制带宽；支持带宽共享和独占方式分配带宽</w:t>
            </w:r>
            <w:r>
              <w:rPr>
                <w:rFonts w:ascii="仿宋" w:eastAsia="仿宋" w:hAnsi="仿宋" w:hint="eastAsia"/>
                <w:szCs w:val="21"/>
              </w:rPr>
              <w:t>；</w:t>
            </w:r>
            <w:r>
              <w:rPr>
                <w:rFonts w:ascii="仿宋" w:eastAsia="仿宋" w:hAnsi="仿宋"/>
                <w:szCs w:val="21"/>
              </w:rPr>
              <w:t>支持多种优先级控制</w:t>
            </w:r>
            <w:r>
              <w:rPr>
                <w:rFonts w:ascii="仿宋" w:eastAsia="仿宋" w:hAnsi="仿宋" w:hint="eastAsia"/>
                <w:szCs w:val="21"/>
              </w:rPr>
              <w:t>；</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▲支持轮询、加权轮叫、最小连接、加权最小连接、源地址hash、目的地址hash等服务器负载均衡调度调度算法；支持TCP、UDP、ICMP等服务器健康检测；（提供操作界面截图，加盖投标人公章）</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支持OWASP定义10大web安全威胁，保护服务器免受基于Web应用的攻击，如SQL注入防护、XSS攻击防护、CSRF攻</w:t>
            </w:r>
            <w:r>
              <w:rPr>
                <w:rFonts w:ascii="仿宋" w:eastAsia="仿宋" w:hAnsi="仿宋" w:hint="eastAsia"/>
                <w:szCs w:val="21"/>
              </w:rPr>
              <w:lastRenderedPageBreak/>
              <w:t>击防护等；支持根据网站登录路径保护口令暴力破解；支持Web网站隐藏，可替换HTTP响应报文头出错页面；</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▲支持网络风险控制，可基于网络攻击风险指数采取不同的控制方法</w:t>
            </w:r>
            <w:r>
              <w:rPr>
                <w:rFonts w:ascii="仿宋" w:eastAsia="仿宋" w:hAnsi="仿宋"/>
                <w:szCs w:val="21"/>
              </w:rPr>
              <w:t>；（提供</w:t>
            </w:r>
            <w:r>
              <w:rPr>
                <w:rFonts w:ascii="仿宋" w:eastAsia="仿宋" w:hAnsi="仿宋" w:hint="eastAsia"/>
                <w:szCs w:val="21"/>
              </w:rPr>
              <w:t>国家认证认可的第三方权威机构出具的证书或检测报告的复印件</w:t>
            </w:r>
            <w:r>
              <w:rPr>
                <w:rFonts w:ascii="仿宋" w:eastAsia="仿宋" w:hAnsi="仿宋"/>
                <w:szCs w:val="21"/>
              </w:rPr>
              <w:t>，并加盖投标人公章）</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*具备</w:t>
            </w:r>
            <w:r>
              <w:rPr>
                <w:rFonts w:ascii="仿宋" w:eastAsia="仿宋" w:hAnsi="仿宋"/>
                <w:szCs w:val="21"/>
              </w:rPr>
              <w:t>公安部《计算机信息系统安全专用产品销售许可证》</w:t>
            </w:r>
            <w:r>
              <w:rPr>
                <w:rFonts w:ascii="仿宋" w:eastAsia="仿宋" w:hAnsi="仿宋" w:hint="eastAsia"/>
                <w:szCs w:val="21"/>
              </w:rPr>
              <w:t>（提供复印件并加盖投标人公章）。</w:t>
            </w:r>
          </w:p>
          <w:p w:rsidR="00EA033A" w:rsidRDefault="00EA033A" w:rsidP="00EA033A">
            <w:pPr>
              <w:widowControl/>
              <w:numPr>
                <w:ilvl w:val="0"/>
                <w:numId w:val="2"/>
              </w:numPr>
              <w:adjustRightInd w:val="0"/>
              <w:snapToGrid w:val="0"/>
              <w:spacing w:after="0" w:line="500" w:lineRule="exact"/>
              <w:jc w:val="left"/>
              <w:textAlignment w:val="bottom"/>
              <w:rPr>
                <w:rFonts w:ascii="仿宋" w:eastAsia="仿宋" w:hAnsi="仿宋"/>
                <w:szCs w:val="21"/>
              </w:rPr>
            </w:pPr>
            <w:r>
              <w:rPr>
                <w:rFonts w:ascii="仿宋" w:eastAsia="仿宋" w:hAnsi="仿宋" w:hint="eastAsia"/>
                <w:szCs w:val="21"/>
              </w:rPr>
              <w:t>*</w:t>
            </w:r>
            <w:r>
              <w:rPr>
                <w:rFonts w:ascii="仿宋" w:eastAsia="仿宋" w:hAnsi="仿宋" w:hint="eastAsia"/>
                <w:bCs/>
                <w:szCs w:val="21"/>
              </w:rPr>
              <w:t>提供所投产品由中国信息安全认证中心或中国</w:t>
            </w:r>
            <w:r>
              <w:rPr>
                <w:rFonts w:ascii="仿宋" w:eastAsia="仿宋" w:hAnsi="仿宋"/>
                <w:bCs/>
                <w:szCs w:val="21"/>
              </w:rPr>
              <w:t>网络</w:t>
            </w:r>
            <w:r>
              <w:rPr>
                <w:rFonts w:ascii="仿宋" w:eastAsia="仿宋" w:hAnsi="仿宋" w:hint="eastAsia"/>
                <w:bCs/>
                <w:szCs w:val="21"/>
              </w:rPr>
              <w:t>安全审查技术</w:t>
            </w:r>
            <w:r>
              <w:rPr>
                <w:rFonts w:ascii="仿宋" w:eastAsia="仿宋" w:hAnsi="仿宋"/>
                <w:bCs/>
                <w:szCs w:val="21"/>
              </w:rPr>
              <w:t>与</w:t>
            </w:r>
            <w:r>
              <w:rPr>
                <w:rFonts w:ascii="仿宋" w:eastAsia="仿宋" w:hAnsi="仿宋" w:hint="eastAsia"/>
                <w:bCs/>
                <w:szCs w:val="21"/>
              </w:rPr>
              <w:t>认证</w:t>
            </w:r>
            <w:r>
              <w:rPr>
                <w:rFonts w:ascii="仿宋" w:eastAsia="仿宋" w:hAnsi="仿宋"/>
                <w:bCs/>
                <w:szCs w:val="21"/>
              </w:rPr>
              <w:t>中心</w:t>
            </w:r>
            <w:r>
              <w:rPr>
                <w:rFonts w:ascii="仿宋" w:eastAsia="仿宋" w:hAnsi="仿宋" w:hint="eastAsia"/>
                <w:bCs/>
                <w:szCs w:val="21"/>
              </w:rPr>
              <w:t>按国家标准认证颁发的有效认证证书（提供</w:t>
            </w:r>
            <w:r>
              <w:rPr>
                <w:rFonts w:ascii="仿宋" w:eastAsia="仿宋" w:hAnsi="仿宋"/>
                <w:bCs/>
                <w:szCs w:val="21"/>
              </w:rPr>
              <w:t>认证证书复印件</w:t>
            </w:r>
            <w:r>
              <w:rPr>
                <w:rFonts w:ascii="仿宋" w:eastAsia="仿宋" w:hAnsi="仿宋" w:hint="eastAsia"/>
                <w:bCs/>
                <w:szCs w:val="21"/>
              </w:rPr>
              <w:t>）。</w:t>
            </w:r>
          </w:p>
        </w:tc>
      </w:tr>
    </w:tbl>
    <w:p w:rsidR="00EA033A" w:rsidRDefault="00EA033A" w:rsidP="00EA033A">
      <w:pPr>
        <w:adjustRightInd w:val="0"/>
        <w:snapToGrid w:val="0"/>
        <w:spacing w:line="360" w:lineRule="auto"/>
        <w:rPr>
          <w:rFonts w:ascii="仿宋" w:eastAsia="仿宋" w:hAnsi="仿宋"/>
          <w:b/>
          <w:sz w:val="24"/>
        </w:rPr>
      </w:pPr>
    </w:p>
    <w:p w:rsidR="00EA033A" w:rsidRDefault="00EA033A" w:rsidP="00EA033A">
      <w:pPr>
        <w:rPr>
          <w:rFonts w:ascii="仿宋" w:eastAsia="仿宋" w:hAnsi="仿宋"/>
          <w:sz w:val="36"/>
          <w:szCs w:val="36"/>
        </w:rPr>
        <w:sectPr w:rsidR="00EA033A">
          <w:pgSz w:w="11906" w:h="16838"/>
          <w:pgMar w:top="1440" w:right="1800" w:bottom="1440" w:left="1800" w:header="851" w:footer="992" w:gutter="0"/>
          <w:cols w:space="720"/>
          <w:docGrid w:type="lines" w:linePitch="312"/>
        </w:sectPr>
      </w:pPr>
    </w:p>
    <w:p w:rsidR="00D566CB" w:rsidRDefault="00D566CB"/>
    <w:sectPr w:rsidR="00D566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DengXian">
    <w:altName w:val="宋体"/>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47F2"/>
    <w:multiLevelType w:val="multilevel"/>
    <w:tmpl w:val="26A247F2"/>
    <w:lvl w:ilvl="0">
      <w:start w:val="1"/>
      <w:numFmt w:val="decimal"/>
      <w:lvlText w:val="%1."/>
      <w:lvlJc w:val="left"/>
      <w:pPr>
        <w:tabs>
          <w:tab w:val="left" w:pos="57"/>
        </w:tabs>
        <w:ind w:left="0" w:firstLine="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3A007DE"/>
    <w:multiLevelType w:val="multilevel"/>
    <w:tmpl w:val="43A007DE"/>
    <w:lvl w:ilvl="0">
      <w:start w:val="1"/>
      <w:numFmt w:val="japaneseCounting"/>
      <w:lvlText w:val="（%1）"/>
      <w:lvlJc w:val="left"/>
      <w:pPr>
        <w:ind w:left="780" w:hanging="780"/>
      </w:pPr>
      <w:rPr>
        <w:rFonts w:ascii="仿宋" w:eastAsia="仿宋" w:hAnsi="仿宋"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3A"/>
    <w:rsid w:val="00D566CB"/>
    <w:rsid w:val="00EA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F544"/>
  <w15:chartTrackingRefBased/>
  <w15:docId w15:val="{D700852A-2666-4217-9D43-428B5187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33A"/>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EA033A"/>
    <w:pPr>
      <w:keepNext/>
      <w:keepLines/>
      <w:spacing w:before="340" w:after="330" w:line="578" w:lineRule="auto"/>
      <w:outlineLvl w:val="0"/>
    </w:pPr>
    <w:rPr>
      <w:b/>
      <w:bCs/>
      <w:kern w:val="44"/>
      <w:sz w:val="44"/>
      <w:szCs w:val="44"/>
    </w:rPr>
  </w:style>
  <w:style w:type="paragraph" w:styleId="3">
    <w:name w:val="heading 3"/>
    <w:basedOn w:val="a"/>
    <w:next w:val="a"/>
    <w:link w:val="30"/>
    <w:qFormat/>
    <w:rsid w:val="00EA033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EA033A"/>
    <w:rPr>
      <w:rFonts w:ascii="Calibri" w:eastAsia="宋体" w:hAnsi="Calibri" w:cs="Times New Roman"/>
      <w:b/>
      <w:bCs/>
      <w:kern w:val="44"/>
      <w:sz w:val="44"/>
      <w:szCs w:val="44"/>
    </w:rPr>
  </w:style>
  <w:style w:type="character" w:customStyle="1" w:styleId="30">
    <w:name w:val="标题 3 字符"/>
    <w:basedOn w:val="a0"/>
    <w:link w:val="3"/>
    <w:rsid w:val="00EA033A"/>
    <w:rPr>
      <w:rFonts w:ascii="Calibri" w:eastAsia="宋体" w:hAnsi="Calibri" w:cs="Times New Roman"/>
      <w:b/>
      <w:bCs/>
      <w:sz w:val="32"/>
      <w:szCs w:val="32"/>
    </w:rPr>
  </w:style>
  <w:style w:type="table" w:customStyle="1" w:styleId="2">
    <w:name w:val="网格型2"/>
    <w:basedOn w:val="a1"/>
    <w:qFormat/>
    <w:rsid w:val="00EA033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2021-12-28T08:25:00Z</dcterms:created>
  <dcterms:modified xsi:type="dcterms:W3CDTF">2021-12-28T08:25:00Z</dcterms:modified>
</cp:coreProperties>
</file>