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CA" w:rsidRDefault="00B548CA" w:rsidP="00B548CA">
      <w:pPr>
        <w:keepNext/>
        <w:keepLines/>
        <w:spacing w:before="340" w:after="330" w:line="276" w:lineRule="auto"/>
        <w:jc w:val="center"/>
        <w:outlineLvl w:val="0"/>
        <w:rPr>
          <w:rFonts w:ascii="仿宋" w:eastAsia="仿宋" w:hAnsi="仿宋"/>
          <w:b/>
          <w:bCs/>
          <w:kern w:val="44"/>
          <w:sz w:val="36"/>
          <w:szCs w:val="36"/>
        </w:rPr>
      </w:pPr>
      <w:r>
        <w:rPr>
          <w:rFonts w:ascii="仿宋" w:eastAsia="仿宋" w:hAnsi="仿宋" w:hint="eastAsia"/>
          <w:b/>
          <w:bCs/>
          <w:kern w:val="44"/>
          <w:sz w:val="36"/>
          <w:szCs w:val="36"/>
        </w:rPr>
        <w:t>招标项目技术、服务、政府采购合同内容条款及其他商务要求</w:t>
      </w:r>
    </w:p>
    <w:p w:rsidR="00B548CA" w:rsidRDefault="00B548CA" w:rsidP="00B548CA">
      <w:pPr>
        <w:pStyle w:val="2"/>
        <w:spacing w:line="276" w:lineRule="auto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前提：本章中标注“*”的条款为本项目的实质性要求条款，投标人不满足或</w:t>
      </w:r>
      <w:r>
        <w:rPr>
          <w:rFonts w:ascii="仿宋" w:eastAsia="仿宋" w:hAnsi="仿宋"/>
          <w:sz w:val="24"/>
          <w:szCs w:val="24"/>
        </w:rPr>
        <w:t>未按照要求提供技术支持资料</w:t>
      </w:r>
      <w:r>
        <w:rPr>
          <w:rFonts w:ascii="仿宋" w:eastAsia="仿宋" w:hAnsi="仿宋" w:hint="eastAsia"/>
          <w:sz w:val="24"/>
          <w:szCs w:val="24"/>
        </w:rPr>
        <w:t>的，将在符合性审查时按照无效投标处理（针对投标产品的“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）；标注“★”得条款为重点扣分条款，不满足或未按照要求提供技术支持资料的作重点扣分处理，具体详见第七章“综合评分明细表”。</w:t>
      </w:r>
    </w:p>
    <w:p w:rsidR="00B548CA" w:rsidRDefault="00B548CA" w:rsidP="00B548C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  <w:bookmarkStart w:id="0" w:name="_Toc217446095"/>
      <w:r>
        <w:rPr>
          <w:rFonts w:ascii="仿宋" w:eastAsia="仿宋" w:hAnsi="仿宋" w:hint="eastAsia"/>
          <w:sz w:val="24"/>
          <w:szCs w:val="24"/>
        </w:rPr>
        <w:t>、标的名称</w:t>
      </w:r>
      <w:r>
        <w:rPr>
          <w:rFonts w:ascii="仿宋" w:eastAsia="仿宋" w:hAnsi="仿宋"/>
          <w:sz w:val="24"/>
          <w:szCs w:val="24"/>
        </w:rPr>
        <w:t>及所属行业</w:t>
      </w:r>
    </w:p>
    <w:p w:rsidR="00B548CA" w:rsidRDefault="00B548CA" w:rsidP="00B548C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64"/>
        <w:gridCol w:w="2125"/>
        <w:gridCol w:w="1112"/>
        <w:gridCol w:w="1075"/>
        <w:gridCol w:w="1142"/>
        <w:gridCol w:w="1140"/>
      </w:tblGrid>
      <w:tr w:rsidR="00B548CA" w:rsidTr="00F82EDD">
        <w:trPr>
          <w:trHeight w:val="341"/>
          <w:jc w:val="center"/>
        </w:trPr>
        <w:tc>
          <w:tcPr>
            <w:tcW w:w="505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包号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品目号</w:t>
            </w:r>
          </w:p>
        </w:tc>
        <w:tc>
          <w:tcPr>
            <w:tcW w:w="1281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名称</w:t>
            </w:r>
          </w:p>
        </w:tc>
        <w:tc>
          <w:tcPr>
            <w:tcW w:w="670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（台/件/套）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最高限价（万元）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所属</w:t>
            </w:r>
            <w:r>
              <w:rPr>
                <w:rFonts w:ascii="仿宋" w:eastAsia="仿宋" w:hAnsi="仿宋" w:cs="宋体"/>
                <w:kern w:val="0"/>
                <w:sz w:val="24"/>
              </w:rPr>
              <w:t>行业</w:t>
            </w:r>
          </w:p>
        </w:tc>
        <w:tc>
          <w:tcPr>
            <w:tcW w:w="687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B548CA" w:rsidTr="00F82EDD">
        <w:trPr>
          <w:trHeight w:val="300"/>
          <w:jc w:val="center"/>
        </w:trPr>
        <w:tc>
          <w:tcPr>
            <w:tcW w:w="505" w:type="pct"/>
            <w:shd w:val="clear" w:color="auto" w:fill="auto"/>
            <w:vAlign w:val="center"/>
          </w:tcPr>
          <w:p w:rsidR="00B548CA" w:rsidRDefault="00B548CA" w:rsidP="00F82ED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548CA" w:rsidRDefault="00B548CA" w:rsidP="00F82EDD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-0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81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全自动冰冻切片机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688" w:type="pct"/>
            <w:vMerge w:val="restart"/>
            <w:vAlign w:val="center"/>
          </w:tcPr>
          <w:p w:rsidR="00B548CA" w:rsidRDefault="00B548CA" w:rsidP="00F82EDD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（制造业）</w:t>
            </w:r>
          </w:p>
        </w:tc>
        <w:tc>
          <w:tcPr>
            <w:tcW w:w="687" w:type="pct"/>
            <w:vMerge w:val="restart"/>
            <w:shd w:val="clear" w:color="auto" w:fill="auto"/>
            <w:vAlign w:val="center"/>
          </w:tcPr>
          <w:p w:rsidR="00B548CA" w:rsidRDefault="00B548CA" w:rsidP="00F82EDD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允许采购进口产品</w:t>
            </w:r>
          </w:p>
        </w:tc>
      </w:tr>
      <w:tr w:rsidR="00B548CA" w:rsidTr="00F82EDD">
        <w:trPr>
          <w:trHeight w:val="283"/>
          <w:jc w:val="center"/>
        </w:trPr>
        <w:tc>
          <w:tcPr>
            <w:tcW w:w="505" w:type="pct"/>
            <w:shd w:val="clear" w:color="auto" w:fill="auto"/>
            <w:vAlign w:val="center"/>
          </w:tcPr>
          <w:p w:rsidR="00B548CA" w:rsidRDefault="00B548CA" w:rsidP="00F82EDD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B548CA" w:rsidRDefault="00B548CA" w:rsidP="00F82EDD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02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-0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81" w:type="pct"/>
            <w:shd w:val="clear" w:color="000000" w:fill="FFFFFF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全自动生化分析仪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148</w:t>
            </w:r>
          </w:p>
        </w:tc>
        <w:tc>
          <w:tcPr>
            <w:tcW w:w="688" w:type="pct"/>
            <w:vMerge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B548CA" w:rsidRDefault="00B548CA" w:rsidP="00F82EDD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B548CA" w:rsidRDefault="00B548CA" w:rsidP="00B548CA">
      <w:pPr>
        <w:rPr>
          <w:rFonts w:ascii="仿宋" w:eastAsia="仿宋" w:hAnsi="仿宋"/>
          <w:spacing w:val="-4"/>
          <w:sz w:val="24"/>
        </w:rPr>
      </w:pPr>
    </w:p>
    <w:p w:rsidR="00B548CA" w:rsidRDefault="00B548CA" w:rsidP="00B548C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 w:val="0"/>
          <w:sz w:val="24"/>
        </w:rPr>
        <w:t>*</w:t>
      </w: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1．交货期及地点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1.1 交货期：合同签订生效后，在接到采购人正式通知的前提下1个月内（进口产品可延长至2个月）完成安装调试，并交付采购人验收。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1.2 交货地点: 成都市公共卫生临床医疗中心（四川省成都市锦江区静明路377号）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2．付款方法和条件：合同签订后五个工作日内支付合同金额的30%，货物安装、调试完成，正常运行满30日后进行验收，按照医院流程支付合同总价65%的合同款，余下5%合同款待保修期满后支付。</w:t>
      </w:r>
      <w:r>
        <w:rPr>
          <w:rFonts w:ascii="仿宋" w:eastAsia="仿宋" w:hAnsi="仿宋"/>
          <w:bCs/>
          <w:sz w:val="24"/>
        </w:rPr>
        <w:t xml:space="preserve"> 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3.质保期：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3.1设备质保期：3年。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3.2质保期内卖方应负责设备维修及抢修。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3.3卖方保证年开机率大于95％（365天/年计算），若≤95％则相应延长保修期。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 提供的技术资料（交货时提供）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4.1原产地证明书(由制造厂签发)；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4.2提供主机及配套设备的安装图纸及说明；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4.3提供主机及配套设备使用说明书、维护手册；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4.4备件手册、零件及易损件的图纸及相关资料；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4.5其它相关技术资料；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5.安装调试及验收：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5.1卖方负责设备安装、调试。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5.4验收标准以招投标文件技术参数及要求和相关行业标准为准。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6.售后服务：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6.1提供有关资料及售后服务承诺。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6.2备件送达期限：在设备的使用寿命期内，卖方应保证国内不超过7天，国外不超过21天。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6.3终身零配件供应：投标人应保证设备停产后的备件供应保证10年，并以优惠的价格提供该设备所需的维修零配件。</w:t>
      </w:r>
    </w:p>
    <w:p w:rsidR="00B548CA" w:rsidRDefault="00B548CA" w:rsidP="00B548CA">
      <w:pPr>
        <w:spacing w:after="0"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Cs/>
          <w:sz w:val="24"/>
        </w:rPr>
        <w:t>6.4卖方在国内应有24小时电话维修系统，并列出工程师名单、联系电话、通讯地址及备件库地址和备件的详细目录。</w:t>
      </w:r>
      <w:r>
        <w:rPr>
          <w:rFonts w:ascii="仿宋" w:eastAsia="仿宋" w:hAnsi="仿宋" w:hint="eastAsia"/>
          <w:sz w:val="24"/>
        </w:rPr>
        <w:t>设备发生故障，投标方接到设备故障报修后，2小时内响应，12小时内到位维修。</w:t>
      </w:r>
    </w:p>
    <w:p w:rsidR="00B548CA" w:rsidRDefault="00B548CA" w:rsidP="00B548CA">
      <w:pPr>
        <w:spacing w:after="0"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B548CA" w:rsidRDefault="00B548CA" w:rsidP="00B548CA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6.6质保期后，卖方应向用户提供及时的、优质的、价格优惠的技术服务和备品备件供应。</w:t>
      </w:r>
    </w:p>
    <w:p w:rsidR="00B548CA" w:rsidRDefault="00B548CA" w:rsidP="00B548CA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0"/>
    </w:p>
    <w:p w:rsidR="00B548CA" w:rsidRDefault="00B548CA" w:rsidP="00B548CA">
      <w:pPr>
        <w:pStyle w:val="3"/>
        <w:rPr>
          <w:rFonts w:ascii="仿宋" w:eastAsia="仿宋" w:hAnsi="仿宋"/>
          <w:bCs w:val="0"/>
          <w:sz w:val="24"/>
        </w:rPr>
      </w:pPr>
      <w:r>
        <w:rPr>
          <w:rFonts w:ascii="仿宋" w:eastAsia="仿宋" w:hAnsi="仿宋" w:hint="eastAsia"/>
          <w:bCs w:val="0"/>
          <w:sz w:val="24"/>
        </w:rPr>
        <w:t>0</w:t>
      </w:r>
      <w:r>
        <w:rPr>
          <w:rFonts w:ascii="仿宋" w:eastAsia="仿宋" w:hAnsi="仿宋"/>
          <w:bCs w:val="0"/>
          <w:sz w:val="24"/>
        </w:rPr>
        <w:t>1</w:t>
      </w:r>
      <w:r>
        <w:rPr>
          <w:rFonts w:ascii="仿宋" w:eastAsia="仿宋" w:hAnsi="仿宋" w:hint="eastAsia"/>
          <w:bCs w:val="0"/>
          <w:sz w:val="24"/>
        </w:rPr>
        <w:t>-01</w:t>
      </w:r>
      <w:r>
        <w:rPr>
          <w:rFonts w:ascii="仿宋" w:eastAsia="仿宋" w:hAnsi="仿宋" w:hint="eastAsia"/>
          <w:bCs w:val="0"/>
          <w:sz w:val="24"/>
        </w:rPr>
        <w:tab/>
        <w:t>全自动冰冻切片机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1.防溅水设计冰冻切片机。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★2.配置双压缩机，箱体和样品头分别由独立的压缩机制冷。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★3.可以实现电动切片，切片过程无需手动操作。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4.冷冻箱制冷温度：0℃～-35℃。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5.冷冻箱手/自动除霜功能（每24小时一次）。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6.速冻架冷冻位点：≥17个。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7.Peltier位点：≥2个。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8.速冷架制冷温度最低不小于：-42℃。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</w:t>
      </w:r>
      <w:r>
        <w:rPr>
          <w:rFonts w:ascii="仿宋" w:eastAsia="仿宋" w:hAnsi="仿宋" w:hint="eastAsia"/>
          <w:bCs/>
          <w:sz w:val="24"/>
        </w:rPr>
        <w:tab/>
        <w:t>切片厚度范围：1-100 um 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★10.电动粗进速度：2档；快：0.9mm/s，慢：0.3mm/s。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11.</w:t>
      </w:r>
      <w:r>
        <w:rPr>
          <w:rFonts w:ascii="仿宋" w:eastAsia="仿宋" w:hAnsi="仿宋" w:hint="eastAsia"/>
          <w:bCs/>
          <w:sz w:val="24"/>
        </w:rPr>
        <w:tab/>
        <w:t>带样品回缩功能。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12.</w:t>
      </w:r>
      <w:r>
        <w:rPr>
          <w:rFonts w:ascii="仿宋" w:eastAsia="仿宋" w:hAnsi="仿宋" w:hint="eastAsia"/>
          <w:bCs/>
          <w:sz w:val="24"/>
        </w:rPr>
        <w:tab/>
        <w:t>样品定位：8°定位及360°旋转，自动中心定位和精确0位指示确保样本定位顺利进行。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★13.抗菌银离子表面涂层有效组织感染性物质在仪器外部的繁殖。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★14.紫外线消毒系统，可在任何时间和任何温度下进行。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★15.具备负压抽吸功能，以辅助修块、切片和展片。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★16.负压抽吸可以快速清洁冰冻切片机内的废屑，减少操作人员接触废屑，杀菌滤网系统有效过滤废屑中的细菌。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17.</w:t>
      </w:r>
      <w:r>
        <w:rPr>
          <w:rFonts w:ascii="仿宋" w:eastAsia="仿宋" w:hAnsi="仿宋" w:hint="eastAsia"/>
          <w:bCs/>
          <w:sz w:val="24"/>
        </w:rPr>
        <w:tab/>
        <w:t>简明的图形化按键操作。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18.具有或承诺中标后设立本地化服务机构，并拥有3位及以上厂家直属技术工程师，有全国免费客户服务热线。</w:t>
      </w:r>
    </w:p>
    <w:p w:rsidR="00B548CA" w:rsidRDefault="00B548CA" w:rsidP="00B548CA">
      <w:pPr>
        <w:pStyle w:val="3"/>
        <w:rPr>
          <w:rFonts w:ascii="仿宋" w:eastAsia="仿宋" w:hAnsi="仿宋"/>
          <w:bCs w:val="0"/>
          <w:sz w:val="24"/>
        </w:rPr>
      </w:pPr>
      <w:r>
        <w:rPr>
          <w:rFonts w:ascii="仿宋" w:eastAsia="仿宋" w:hAnsi="仿宋" w:hint="eastAsia"/>
          <w:bCs w:val="0"/>
          <w:sz w:val="24"/>
        </w:rPr>
        <w:t>0</w:t>
      </w:r>
      <w:r>
        <w:rPr>
          <w:rFonts w:ascii="仿宋" w:eastAsia="仿宋" w:hAnsi="仿宋"/>
          <w:bCs w:val="0"/>
          <w:sz w:val="24"/>
        </w:rPr>
        <w:t>2</w:t>
      </w:r>
      <w:r>
        <w:rPr>
          <w:rFonts w:ascii="仿宋" w:eastAsia="仿宋" w:hAnsi="仿宋" w:hint="eastAsia"/>
          <w:bCs w:val="0"/>
          <w:sz w:val="24"/>
        </w:rPr>
        <w:t>-01</w:t>
      </w:r>
      <w:r>
        <w:rPr>
          <w:rFonts w:ascii="仿宋" w:eastAsia="仿宋" w:hAnsi="仿宋" w:hint="eastAsia"/>
          <w:bCs w:val="0"/>
          <w:sz w:val="24"/>
        </w:rPr>
        <w:tab/>
        <w:t>全自动生化分析仪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★1、检测速度：生化比色检测速度≥800测试/小时，ISE检测速度≥400测试/小时。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2、检测范围：常规生化、药物、免疫、凝血、同工酶、离子。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★3、同时分析项目数：可同时开展项目≥86项，试剂位装载≥88个。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4、样品：血清、尿液、体液等样本均可直接上机。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★5、稀释与复检功能：样本自动前稀释功能，异常标本自动复检功能。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6、分析方法：含终点法，二点法，速率法等≥20种。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7、最小样本量及步进：1.5μl/test，0.1μl步进。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8、试剂用量：20-270μl/test，1μl/test步进。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9、最小反应液量：≤120μl/test。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10、样品管：原始采血管、样品杯、微量样品杯可混用。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ll、同一生化项目可同时添加试剂数：≥4种，试剂仓具有全冷藏功能。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12、反应时间：＞10分钟，两种以上反应时间可选。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13、控温方式及精度：循环恒温水浴，37℃±0.1℃。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14、测试波长：340至800nm（含12个波长）。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15、吸光度范围：0～3.0A。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★16、支持功能：睡眠模式，自动开关机；操作信息管理，操作者认证管理；时时在线帮助。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★17、试剂开放：试剂全开放，所有项目国产、进口试剂通用。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18、远程诊断功能：具有远程诊断功能。</w:t>
      </w:r>
    </w:p>
    <w:p w:rsidR="00B548CA" w:rsidRDefault="00B548CA" w:rsidP="00B548CA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19、试剂信息提示功能：具有试剂信息提示功能。</w:t>
      </w:r>
    </w:p>
    <w:p w:rsidR="008A3847" w:rsidRDefault="008A3847">
      <w:bookmarkStart w:id="1" w:name="_GoBack"/>
      <w:bookmarkEnd w:id="1"/>
    </w:p>
    <w:sectPr w:rsidR="008A3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CA"/>
    <w:rsid w:val="008A3847"/>
    <w:rsid w:val="00B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A0963-2F40-43AD-9292-95EBEACA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CA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B548CA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548C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B548CA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sid w:val="00B548CA"/>
    <w:rPr>
      <w:rFonts w:ascii="Calibri" w:eastAsia="宋体" w:hAnsi="Calibri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2021-12-02T03:21:00Z</dcterms:created>
  <dcterms:modified xsi:type="dcterms:W3CDTF">2021-12-02T03:21:00Z</dcterms:modified>
</cp:coreProperties>
</file>