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D" w:rsidRDefault="002631ED" w:rsidP="002631ED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2631ED" w:rsidRPr="00DD08FC" w:rsidRDefault="002631ED" w:rsidP="002631ED">
      <w:pPr>
        <w:keepNext/>
        <w:keepLines/>
        <w:spacing w:before="260" w:after="260" w:line="276" w:lineRule="auto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DD08FC">
        <w:rPr>
          <w:rFonts w:ascii="仿宋" w:eastAsia="仿宋" w:hAnsi="仿宋" w:hint="eastAsia"/>
          <w:b/>
          <w:bCs/>
          <w:sz w:val="24"/>
        </w:rPr>
        <w:t>前提：本章中标注“*”的条款为本项目的实质性要求条款，投标人不满足或</w:t>
      </w:r>
      <w:r w:rsidRPr="00DD08FC">
        <w:rPr>
          <w:rFonts w:ascii="仿宋" w:eastAsia="仿宋" w:hAnsi="仿宋"/>
          <w:b/>
          <w:bCs/>
          <w:sz w:val="24"/>
        </w:rPr>
        <w:t>未按照要求提供技术支持资料</w:t>
      </w:r>
      <w:r w:rsidRPr="00DD08FC">
        <w:rPr>
          <w:rFonts w:ascii="仿宋" w:eastAsia="仿宋" w:hAnsi="仿宋" w:hint="eastAsia"/>
          <w:b/>
          <w:bCs/>
          <w:sz w:val="24"/>
        </w:rPr>
        <w:t>的，将在符合性审查时按照无效投标处理（针对投标产品的“</w:t>
      </w:r>
      <w:r w:rsidRPr="00DD08FC">
        <w:rPr>
          <w:rFonts w:ascii="仿宋" w:eastAsia="仿宋" w:hAnsi="仿宋"/>
          <w:b/>
          <w:bCs/>
          <w:sz w:val="24"/>
        </w:rPr>
        <w:t>*</w:t>
      </w:r>
      <w:r w:rsidRPr="00DD08FC">
        <w:rPr>
          <w:rFonts w:ascii="仿宋" w:eastAsia="仿宋" w:hAnsi="仿宋" w:hint="eastAsia"/>
          <w:b/>
          <w:bCs/>
          <w:sz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）；标注“★”得条款为重点扣分条款，不满足或未按照要求提供技术支持资料的作重点扣分处理，具体详见第七章“综合评分明细表”。</w:t>
      </w:r>
    </w:p>
    <w:p w:rsidR="002631ED" w:rsidRPr="00DD08FC" w:rsidRDefault="002631ED" w:rsidP="002631E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DD08FC">
        <w:rPr>
          <w:rFonts w:ascii="仿宋" w:eastAsia="仿宋" w:hAnsi="仿宋" w:hint="eastAsia"/>
          <w:b/>
          <w:bCs/>
          <w:sz w:val="24"/>
        </w:rPr>
        <w:t>一、项目概述</w:t>
      </w:r>
      <w:bookmarkStart w:id="0" w:name="_Toc217446095"/>
      <w:r w:rsidRPr="00DD08FC">
        <w:rPr>
          <w:rFonts w:ascii="仿宋" w:eastAsia="仿宋" w:hAnsi="仿宋" w:hint="eastAsia"/>
          <w:b/>
          <w:bCs/>
          <w:sz w:val="24"/>
        </w:rPr>
        <w:t>、</w:t>
      </w:r>
      <w:r w:rsidRPr="00DD08FC">
        <w:rPr>
          <w:rFonts w:ascii="仿宋" w:eastAsia="仿宋" w:hAnsi="仿宋"/>
          <w:b/>
          <w:bCs/>
          <w:sz w:val="24"/>
        </w:rPr>
        <w:t>标的名称及所属行业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999"/>
        <w:gridCol w:w="1696"/>
        <w:gridCol w:w="2174"/>
        <w:gridCol w:w="1288"/>
        <w:gridCol w:w="1286"/>
      </w:tblGrid>
      <w:tr w:rsidR="002631ED" w:rsidRPr="00592C1F" w:rsidTr="00CF17C8">
        <w:trPr>
          <w:trHeight w:val="341"/>
          <w:jc w:val="center"/>
        </w:trPr>
        <w:tc>
          <w:tcPr>
            <w:tcW w:w="515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602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品目号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55E22">
              <w:rPr>
                <w:rFonts w:ascii="仿宋" w:eastAsia="仿宋" w:hAnsi="仿宋" w:cs="宋体" w:hint="eastAsia"/>
                <w:kern w:val="0"/>
                <w:szCs w:val="21"/>
              </w:rPr>
              <w:t>标的名称</w:t>
            </w:r>
          </w:p>
        </w:tc>
        <w:tc>
          <w:tcPr>
            <w:tcW w:w="1310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（台/件/套）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最高限价（万元）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所属行业</w:t>
            </w:r>
          </w:p>
        </w:tc>
      </w:tr>
      <w:tr w:rsidR="002631ED" w:rsidRPr="00592C1F" w:rsidTr="00CF17C8">
        <w:trPr>
          <w:trHeight w:val="401"/>
          <w:jc w:val="center"/>
        </w:trPr>
        <w:tc>
          <w:tcPr>
            <w:tcW w:w="515" w:type="pct"/>
            <w:shd w:val="clear" w:color="auto" w:fill="auto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/>
                <w:kern w:val="0"/>
                <w:szCs w:val="21"/>
              </w:rPr>
              <w:t>01-01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全自动PCR分析系统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  <w:tc>
          <w:tcPr>
            <w:tcW w:w="775" w:type="pct"/>
            <w:vAlign w:val="center"/>
          </w:tcPr>
          <w:p w:rsidR="002631ED" w:rsidRPr="00592C1F" w:rsidRDefault="002631ED" w:rsidP="00CF17C8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92C1F">
              <w:rPr>
                <w:rFonts w:ascii="仿宋" w:eastAsia="仿宋" w:hAnsi="仿宋" w:cs="宋体" w:hint="eastAsia"/>
                <w:kern w:val="0"/>
                <w:szCs w:val="21"/>
              </w:rPr>
              <w:t>工业</w:t>
            </w:r>
          </w:p>
        </w:tc>
      </w:tr>
    </w:tbl>
    <w:p w:rsidR="002631ED" w:rsidRPr="00DD08FC" w:rsidRDefault="002631ED" w:rsidP="002631ED">
      <w:pPr>
        <w:rPr>
          <w:rFonts w:ascii="仿宋" w:eastAsia="仿宋" w:hAnsi="仿宋"/>
          <w:spacing w:val="-4"/>
          <w:sz w:val="24"/>
        </w:rPr>
      </w:pPr>
    </w:p>
    <w:p w:rsidR="002631ED" w:rsidRPr="00DD08FC" w:rsidRDefault="002631ED" w:rsidP="002631E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DD08FC">
        <w:rPr>
          <w:rFonts w:ascii="仿宋" w:eastAsia="仿宋" w:hAnsi="仿宋" w:hint="eastAsia"/>
          <w:b/>
          <w:sz w:val="24"/>
          <w:szCs w:val="32"/>
        </w:rPr>
        <w:t>*</w:t>
      </w:r>
      <w:r w:rsidRPr="00DD08FC">
        <w:rPr>
          <w:rFonts w:ascii="仿宋" w:eastAsia="仿宋" w:hAnsi="仿宋" w:hint="eastAsia"/>
          <w:b/>
          <w:bCs/>
          <w:sz w:val="24"/>
        </w:rPr>
        <w:t>二、商务要求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1．交货期及地点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1.1 交货期：合同签订生效后，在接到采购人正式通知的前提下1个月内完成安装调试，并交付采购人验收。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1.2 交货地点: 成都市公共卫生临床医疗中心（四川省成都市锦江区静明路377号）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2．付款方法和条件：</w:t>
      </w:r>
      <w:r w:rsidRPr="00E82181">
        <w:rPr>
          <w:rFonts w:ascii="仿宋" w:eastAsia="仿宋" w:hAnsi="仿宋" w:hint="eastAsia"/>
          <w:bCs/>
          <w:sz w:val="24"/>
        </w:rPr>
        <w:t>在设备安装调试且经采购人验收全部合格并正常使用，采购人收到供应商提供合法有效的等额完税发票之后，30天内以银行转账方式向投标人支付全额货款</w:t>
      </w:r>
      <w:r>
        <w:rPr>
          <w:rFonts w:ascii="仿宋" w:eastAsia="仿宋" w:hAnsi="仿宋" w:hint="eastAsia"/>
          <w:bCs/>
          <w:sz w:val="24"/>
        </w:rPr>
        <w:t>；</w:t>
      </w:r>
      <w:r w:rsidRPr="00E82181">
        <w:rPr>
          <w:rFonts w:ascii="仿宋" w:eastAsia="仿宋" w:hAnsi="仿宋" w:hint="eastAsia"/>
          <w:bCs/>
          <w:sz w:val="24"/>
        </w:rPr>
        <w:t>履约保证金要求：</w:t>
      </w:r>
      <w:r>
        <w:rPr>
          <w:rFonts w:ascii="仿宋" w:eastAsia="仿宋" w:hAnsi="仿宋" w:hint="eastAsia"/>
          <w:bCs/>
          <w:sz w:val="24"/>
        </w:rPr>
        <w:t>详见第二章“一、投标人须知附表”；</w:t>
      </w:r>
      <w:r w:rsidRPr="00E82181">
        <w:rPr>
          <w:rFonts w:ascii="仿宋" w:eastAsia="仿宋" w:hAnsi="仿宋" w:hint="eastAsia"/>
          <w:bCs/>
          <w:sz w:val="24"/>
        </w:rPr>
        <w:t>如采购人逾期付款，将承担相应责任。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3.质保期：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lastRenderedPageBreak/>
        <w:t>3.1设备质保期：</w:t>
      </w:r>
      <w:r w:rsidRPr="00DD08FC">
        <w:rPr>
          <w:rFonts w:ascii="仿宋" w:eastAsia="仿宋" w:hAnsi="仿宋"/>
          <w:bCs/>
          <w:sz w:val="24"/>
        </w:rPr>
        <w:t>3</w:t>
      </w:r>
      <w:r w:rsidRPr="00DD08FC">
        <w:rPr>
          <w:rFonts w:ascii="仿宋" w:eastAsia="仿宋" w:hAnsi="仿宋" w:hint="eastAsia"/>
          <w:bCs/>
          <w:sz w:val="24"/>
        </w:rPr>
        <w:t>年。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3.2质保期内卖方应负责设备维修及抢修。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3.3卖方保证年开机率大于95％（365天/年计算），若≤95％则相应延长保修期。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 提供的技术资料（交货时提供）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4.1原产地证明书(由制造厂签发)；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4.2提供主机及配套设备的安装图纸及说明；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4.3提供主机及配套设备使用说明书、维护手册；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4.4备件手册、零件及易损件的图纸及相关资料；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4.5其它相关技术资料；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5.安装调试及验收：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5.1卖方负责设备安装、调试。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5.4验收标准以招投标文件技术参数及要求和相关行业标准为准。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6.售后服务：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6.1提供有关资料及售后服务承诺。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6.2备件送达期限：在设备的使用寿命期内，卖方应保证不超过7天。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6.3终身零配件供应：投标人应保证设备停产后的备件供应保证10年，并以优惠的价格提供该设备所需的维修零配件。</w:t>
      </w:r>
    </w:p>
    <w:p w:rsidR="002631ED" w:rsidRPr="00DD08FC" w:rsidRDefault="002631ED" w:rsidP="002631ED">
      <w:pPr>
        <w:spacing w:after="0" w:line="500" w:lineRule="exact"/>
        <w:rPr>
          <w:rFonts w:ascii="仿宋" w:eastAsia="仿宋" w:hAnsi="仿宋"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lastRenderedPageBreak/>
        <w:t>6.4卖方在国内应有24小时电话维修系统，并列出工程师名单、联系电话、通讯地址及备件库地址和备件的详细目录。</w:t>
      </w:r>
      <w:r w:rsidRPr="00DD08FC">
        <w:rPr>
          <w:rFonts w:ascii="仿宋" w:eastAsia="仿宋" w:hAnsi="仿宋" w:hint="eastAsia"/>
          <w:sz w:val="24"/>
        </w:rPr>
        <w:t>设备发生故障，投标方接到设备故障报修后，2小时内响应，12小时内到位维修。</w:t>
      </w:r>
    </w:p>
    <w:p w:rsidR="002631ED" w:rsidRPr="00DD08FC" w:rsidRDefault="002631ED" w:rsidP="002631ED">
      <w:pPr>
        <w:spacing w:after="0"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sz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2631ED" w:rsidRPr="00DD08FC" w:rsidRDefault="002631ED" w:rsidP="002631ED">
      <w:pPr>
        <w:spacing w:line="500" w:lineRule="exact"/>
        <w:rPr>
          <w:rFonts w:ascii="仿宋" w:eastAsia="仿宋" w:hAnsi="仿宋"/>
          <w:bCs/>
          <w:sz w:val="24"/>
        </w:rPr>
      </w:pPr>
      <w:r w:rsidRPr="00DD08FC">
        <w:rPr>
          <w:rFonts w:ascii="仿宋" w:eastAsia="仿宋" w:hAnsi="仿宋" w:hint="eastAsia"/>
          <w:bCs/>
          <w:sz w:val="24"/>
        </w:rPr>
        <w:t>6.6质保期后，卖方应向用户提供及时的、优质的、价格优惠的技术服务和备品备件供应。</w:t>
      </w:r>
    </w:p>
    <w:p w:rsidR="002631ED" w:rsidRPr="00DD08FC" w:rsidRDefault="002631ED" w:rsidP="002631E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DD08FC">
        <w:rPr>
          <w:rFonts w:ascii="仿宋" w:eastAsia="仿宋" w:hAnsi="仿宋" w:hint="eastAsia"/>
          <w:b/>
          <w:bCs/>
          <w:sz w:val="24"/>
        </w:rPr>
        <w:t>三、技术、服务要求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792"/>
        <w:gridCol w:w="5774"/>
      </w:tblGrid>
      <w:tr w:rsidR="002631ED" w:rsidRPr="00DD08FC" w:rsidTr="00CF17C8">
        <w:trPr>
          <w:trHeight w:val="30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参数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08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电源适应性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a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、电源电压：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220V±22V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b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、电源频率：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50Hz±1Hz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处理标本类型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血清、血浆、全血、分泌物、新鲜组织、组织切片等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处理标本体积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0.05-5ml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多品种同步检测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不同样本、不同检测可同时处理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提取方法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磁吸附法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提取平台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proofErr w:type="gramStart"/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通道移液器</w:t>
            </w:r>
            <w:proofErr w:type="gramEnd"/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、全程自动化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核酸提取效率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大于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95%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磁珠收集效率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95%-99%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9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最大处理样本数量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≥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96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0</w:t>
            </w:r>
          </w:p>
        </w:tc>
        <w:tc>
          <w:tcPr>
            <w:tcW w:w="108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提取时间</w:t>
            </w:r>
          </w:p>
        </w:tc>
        <w:tc>
          <w:tcPr>
            <w:tcW w:w="3480" w:type="pct"/>
            <w:shd w:val="clear" w:color="000000" w:fill="FFFFFF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a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、6个样本处理时间：小于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25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分钟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80" w:type="pct"/>
            <w:shd w:val="clear" w:color="000000" w:fill="FFFFFF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b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96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个样本处理时间：小于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6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0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分钟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总处理时间</w:t>
            </w:r>
          </w:p>
        </w:tc>
        <w:tc>
          <w:tcPr>
            <w:tcW w:w="3480" w:type="pct"/>
            <w:shd w:val="clear" w:color="000000" w:fill="FFFFFF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首次核酸定量分析检测时间小于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2.5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小时，之后每次小于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小时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lastRenderedPageBreak/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生物安全与抗污染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净化层流全外排通风系统，内置紫外消毒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提取加热温度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室温～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 xml:space="preserve">95.0 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℃精确控制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机械</w:t>
            </w:r>
            <w:proofErr w:type="gramStart"/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臂结构</w:t>
            </w:r>
            <w:proofErr w:type="gramEnd"/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闭环龙门结构、两组四通道</w:t>
            </w:r>
            <w:proofErr w:type="gramStart"/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8支移液器</w:t>
            </w:r>
            <w:proofErr w:type="gramEnd"/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内置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PCR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2台4通道荧光定量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PCR(96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孔）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激发光波长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350—750nm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检测光波长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500—800nm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1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检测通道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4通道</w:t>
            </w:r>
          </w:p>
        </w:tc>
      </w:tr>
      <w:tr w:rsidR="002631ED" w:rsidRPr="00DD08FC" w:rsidTr="00CF17C8">
        <w:trPr>
          <w:trHeight w:val="300"/>
          <w:jc w:val="center"/>
        </w:trPr>
        <w:tc>
          <w:tcPr>
            <w:tcW w:w="44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19</w:t>
            </w:r>
          </w:p>
        </w:tc>
        <w:tc>
          <w:tcPr>
            <w:tcW w:w="1080" w:type="pct"/>
            <w:vMerge w:val="restar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适用染料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F1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FAM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SYBR Green I</w:t>
            </w:r>
          </w:p>
        </w:tc>
      </w:tr>
      <w:tr w:rsidR="002631ED" w:rsidRPr="00DD08FC" w:rsidTr="00CF17C8">
        <w:trPr>
          <w:trHeight w:val="300"/>
          <w:jc w:val="center"/>
        </w:trPr>
        <w:tc>
          <w:tcPr>
            <w:tcW w:w="44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F2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VIC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HEX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TET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JOE</w:t>
            </w:r>
          </w:p>
        </w:tc>
      </w:tr>
      <w:tr w:rsidR="002631ED" w:rsidRPr="00DD08FC" w:rsidTr="00CF17C8">
        <w:trPr>
          <w:trHeight w:val="300"/>
          <w:jc w:val="center"/>
        </w:trPr>
        <w:tc>
          <w:tcPr>
            <w:tcW w:w="44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F3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CY3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NED</w:t>
            </w:r>
          </w:p>
        </w:tc>
      </w:tr>
      <w:tr w:rsidR="002631ED" w:rsidRPr="00DD08FC" w:rsidTr="00CF17C8">
        <w:trPr>
          <w:trHeight w:val="327"/>
          <w:jc w:val="center"/>
        </w:trPr>
        <w:tc>
          <w:tcPr>
            <w:tcW w:w="44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080" w:type="pct"/>
            <w:vMerge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/>
                <w:kern w:val="0"/>
                <w:szCs w:val="21"/>
              </w:rPr>
              <w:t>F4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ROX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TAMRA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TEXAS-RED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 w:hint="eastAsia"/>
                <w:kern w:val="0"/>
                <w:szCs w:val="21"/>
              </w:rPr>
              <w:t>20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控制方式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触摸屏、电脑全自动控制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2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控制软件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全中文图形化用户界面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2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信息录入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标本、试剂、耗材自动条形码录入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2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数据库共享</w:t>
            </w:r>
          </w:p>
        </w:tc>
        <w:tc>
          <w:tcPr>
            <w:tcW w:w="34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与</w:t>
            </w:r>
            <w:r w:rsidRPr="00DD08FC">
              <w:rPr>
                <w:rFonts w:ascii="仿宋" w:eastAsia="仿宋" w:hAnsi="仿宋"/>
                <w:kern w:val="0"/>
                <w:szCs w:val="21"/>
              </w:rPr>
              <w:t>LIS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共享数据库</w:t>
            </w:r>
          </w:p>
        </w:tc>
      </w:tr>
      <w:tr w:rsidR="002631ED" w:rsidRPr="00DD08FC" w:rsidTr="00CF17C8">
        <w:trPr>
          <w:trHeight w:val="280"/>
          <w:jc w:val="center"/>
        </w:trPr>
        <w:tc>
          <w:tcPr>
            <w:tcW w:w="44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DD08FC">
              <w:rPr>
                <w:rFonts w:ascii="仿宋" w:eastAsia="仿宋" w:hAnsi="仿宋"/>
                <w:kern w:val="0"/>
                <w:szCs w:val="21"/>
              </w:rPr>
              <w:t>2</w:t>
            </w:r>
            <w:r w:rsidRPr="00DD08FC"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1080" w:type="pct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仪器外形</w:t>
            </w:r>
          </w:p>
        </w:tc>
        <w:tc>
          <w:tcPr>
            <w:tcW w:w="3480" w:type="pct"/>
            <w:shd w:val="clear" w:color="000000" w:fill="FFFFFF"/>
            <w:vAlign w:val="center"/>
          </w:tcPr>
          <w:p w:rsidR="002631ED" w:rsidRPr="00DD08FC" w:rsidRDefault="002631ED" w:rsidP="00CF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长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*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宽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*</w:t>
            </w:r>
            <w:r w:rsidRPr="00DD08FC">
              <w:rPr>
                <w:rFonts w:ascii="仿宋" w:eastAsia="仿宋" w:hAnsi="仿宋" w:cs="宋体" w:hint="eastAsia"/>
                <w:kern w:val="0"/>
                <w:szCs w:val="21"/>
              </w:rPr>
              <w:t>高≥：</w:t>
            </w:r>
            <w:r w:rsidRPr="00DD08FC">
              <w:rPr>
                <w:rFonts w:ascii="仿宋" w:eastAsia="仿宋" w:hAnsi="仿宋" w:cs="宋体"/>
                <w:kern w:val="0"/>
                <w:szCs w:val="21"/>
              </w:rPr>
              <w:t>2400mm*850mm*1900mm</w:t>
            </w:r>
          </w:p>
        </w:tc>
      </w:tr>
    </w:tbl>
    <w:p w:rsidR="00C062D9" w:rsidRPr="002631ED" w:rsidRDefault="00C062D9">
      <w:bookmarkStart w:id="1" w:name="_GoBack"/>
      <w:bookmarkEnd w:id="1"/>
    </w:p>
    <w:sectPr w:rsidR="00C062D9" w:rsidRPr="0026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ED"/>
    <w:rsid w:val="002631ED"/>
    <w:rsid w:val="00C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7CD6-19AF-4318-9AF4-990B210B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E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631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631E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1762</Characters>
  <Application>Microsoft Office Word</Application>
  <DocSecurity>0</DocSecurity>
  <Lines>14</Lines>
  <Paragraphs>4</Paragraphs>
  <ScaleCrop>false</ScaleCrop>
  <Company>微软公司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贺洋</dc:creator>
  <cp:keywords/>
  <dc:description/>
  <cp:lastModifiedBy>贺洋</cp:lastModifiedBy>
  <cp:revision>1</cp:revision>
  <dcterms:created xsi:type="dcterms:W3CDTF">2021-10-18T05:56:00Z</dcterms:created>
  <dcterms:modified xsi:type="dcterms:W3CDTF">2021-10-18T05:57:00Z</dcterms:modified>
</cp:coreProperties>
</file>