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5A" w:rsidRPr="003B0C5A" w:rsidRDefault="003B0C5A" w:rsidP="003B0C5A">
      <w:pPr>
        <w:spacing w:before="240" w:after="60"/>
        <w:jc w:val="center"/>
        <w:outlineLvl w:val="0"/>
        <w:rPr>
          <w:rFonts w:ascii="仿宋" w:eastAsia="仿宋" w:hAnsi="仿宋" w:cs="Times New Roman"/>
          <w:b/>
          <w:bCs/>
          <w:sz w:val="32"/>
          <w:szCs w:val="32"/>
        </w:rPr>
      </w:pPr>
      <w:r w:rsidRPr="003B0C5A">
        <w:rPr>
          <w:rFonts w:ascii="仿宋" w:eastAsia="仿宋" w:hAnsi="仿宋" w:cs="Times New Roman" w:hint="eastAsia"/>
          <w:b/>
          <w:bCs/>
          <w:sz w:val="32"/>
          <w:szCs w:val="32"/>
        </w:rPr>
        <w:t>采购项目技术、服务、政府采购合同内容条款及其他商务要求</w:t>
      </w:r>
    </w:p>
    <w:p w:rsidR="003B0C5A" w:rsidRPr="003B0C5A" w:rsidRDefault="003B0C5A" w:rsidP="003B0C5A">
      <w:pPr>
        <w:spacing w:line="400" w:lineRule="exact"/>
        <w:ind w:firstLineChars="49" w:firstLine="118"/>
        <w:jc w:val="left"/>
        <w:outlineLvl w:val="1"/>
        <w:rPr>
          <w:rFonts w:ascii="仿宋" w:eastAsia="仿宋" w:hAnsi="仿宋" w:cs="Times New Roman"/>
          <w:b/>
          <w:bCs/>
          <w:sz w:val="24"/>
          <w:szCs w:val="24"/>
        </w:rPr>
      </w:pPr>
      <w:bookmarkStart w:id="0" w:name="PO_默认文件内容_27"/>
      <w:r w:rsidRPr="003B0C5A">
        <w:rPr>
          <w:rFonts w:ascii="仿宋" w:eastAsia="仿宋" w:hAnsi="仿宋" w:cs="Times New Roman" w:hint="eastAsia"/>
          <w:b/>
          <w:bCs/>
          <w:sz w:val="24"/>
          <w:szCs w:val="24"/>
        </w:rPr>
        <w:t>前提：</w:t>
      </w:r>
      <w:r w:rsidRPr="003B0C5A">
        <w:rPr>
          <w:rFonts w:ascii="仿宋" w:eastAsia="仿宋" w:hAnsi="仿宋" w:cs="Times New Roman"/>
          <w:b/>
          <w:bCs/>
          <w:sz w:val="24"/>
          <w:szCs w:val="24"/>
        </w:rPr>
        <w:t>本章采购需求中标注“*”号的条款为本次磋商采购项目的实质性要求，供应商应全部满足。</w:t>
      </w:r>
    </w:p>
    <w:bookmarkEnd w:id="0"/>
    <w:p w:rsidR="003B0C5A" w:rsidRPr="003B0C5A" w:rsidRDefault="003B0C5A" w:rsidP="003B0C5A">
      <w:pPr>
        <w:keepNext/>
        <w:keepLines/>
        <w:spacing w:before="260" w:after="260" w:line="276" w:lineRule="auto"/>
        <w:outlineLvl w:val="1"/>
        <w:rPr>
          <w:rFonts w:ascii="仿宋" w:eastAsia="仿宋" w:hAnsi="仿宋" w:cs="Times New Roman"/>
          <w:b/>
          <w:bCs/>
          <w:sz w:val="24"/>
          <w:szCs w:val="24"/>
        </w:rPr>
      </w:pPr>
      <w:r w:rsidRPr="003B0C5A">
        <w:rPr>
          <w:rFonts w:ascii="仿宋" w:eastAsia="仿宋" w:hAnsi="仿宋" w:cs="Times New Roman" w:hint="eastAsia"/>
          <w:b/>
          <w:bCs/>
          <w:sz w:val="24"/>
          <w:szCs w:val="24"/>
        </w:rPr>
        <w:t>一、项目概述</w:t>
      </w:r>
    </w:p>
    <w:tbl>
      <w:tblPr>
        <w:tblStyle w:val="a3"/>
        <w:tblW w:w="0" w:type="auto"/>
        <w:tblLook w:val="04A0" w:firstRow="1" w:lastRow="0" w:firstColumn="1" w:lastColumn="0" w:noHBand="0" w:noVBand="1"/>
      </w:tblPr>
      <w:tblGrid>
        <w:gridCol w:w="846"/>
        <w:gridCol w:w="5888"/>
        <w:gridCol w:w="1562"/>
      </w:tblGrid>
      <w:tr w:rsidR="003B0C5A" w:rsidRPr="003B0C5A" w:rsidTr="00B96CA4">
        <w:tc>
          <w:tcPr>
            <w:tcW w:w="846" w:type="dxa"/>
            <w:vAlign w:val="center"/>
          </w:tcPr>
          <w:p w:rsidR="003B0C5A" w:rsidRPr="003B0C5A" w:rsidRDefault="003B0C5A" w:rsidP="003B0C5A">
            <w:pPr>
              <w:spacing w:line="276" w:lineRule="auto"/>
              <w:jc w:val="center"/>
              <w:rPr>
                <w:rFonts w:ascii="仿宋" w:eastAsia="仿宋" w:hAnsi="仿宋"/>
                <w:sz w:val="24"/>
                <w:szCs w:val="24"/>
              </w:rPr>
            </w:pPr>
            <w:proofErr w:type="gramStart"/>
            <w:r w:rsidRPr="003B0C5A">
              <w:rPr>
                <w:rFonts w:ascii="仿宋" w:eastAsia="仿宋" w:hAnsi="仿宋" w:hint="eastAsia"/>
                <w:sz w:val="24"/>
                <w:szCs w:val="24"/>
              </w:rPr>
              <w:t>包号</w:t>
            </w:r>
            <w:proofErr w:type="gramEnd"/>
          </w:p>
        </w:tc>
        <w:tc>
          <w:tcPr>
            <w:tcW w:w="5889" w:type="dxa"/>
            <w:vAlign w:val="center"/>
          </w:tcPr>
          <w:p w:rsidR="003B0C5A" w:rsidRPr="003B0C5A" w:rsidRDefault="003B0C5A" w:rsidP="003B0C5A">
            <w:pPr>
              <w:spacing w:line="276" w:lineRule="auto"/>
              <w:jc w:val="center"/>
              <w:rPr>
                <w:rFonts w:ascii="仿宋" w:eastAsia="仿宋" w:hAnsi="仿宋"/>
                <w:sz w:val="24"/>
                <w:szCs w:val="24"/>
              </w:rPr>
            </w:pPr>
            <w:r w:rsidRPr="003B0C5A">
              <w:rPr>
                <w:rFonts w:ascii="仿宋" w:eastAsia="仿宋" w:hAnsi="仿宋" w:hint="eastAsia"/>
                <w:sz w:val="24"/>
                <w:szCs w:val="24"/>
              </w:rPr>
              <w:t>采购内容</w:t>
            </w:r>
          </w:p>
        </w:tc>
        <w:tc>
          <w:tcPr>
            <w:tcW w:w="1562" w:type="dxa"/>
            <w:vAlign w:val="center"/>
          </w:tcPr>
          <w:p w:rsidR="003B0C5A" w:rsidRPr="003B0C5A" w:rsidRDefault="003B0C5A" w:rsidP="003B0C5A">
            <w:pPr>
              <w:spacing w:line="276" w:lineRule="auto"/>
              <w:jc w:val="center"/>
              <w:rPr>
                <w:rFonts w:ascii="仿宋" w:eastAsia="仿宋" w:hAnsi="仿宋"/>
                <w:sz w:val="24"/>
                <w:szCs w:val="24"/>
              </w:rPr>
            </w:pPr>
            <w:r w:rsidRPr="003B0C5A">
              <w:rPr>
                <w:rFonts w:ascii="仿宋" w:eastAsia="仿宋" w:hAnsi="仿宋" w:hint="eastAsia"/>
                <w:sz w:val="24"/>
                <w:szCs w:val="24"/>
              </w:rPr>
              <w:t>所属行业</w:t>
            </w:r>
          </w:p>
        </w:tc>
      </w:tr>
      <w:tr w:rsidR="003B0C5A" w:rsidRPr="003B0C5A" w:rsidTr="00B96CA4">
        <w:tc>
          <w:tcPr>
            <w:tcW w:w="846" w:type="dxa"/>
            <w:vAlign w:val="center"/>
          </w:tcPr>
          <w:p w:rsidR="003B0C5A" w:rsidRPr="003B0C5A" w:rsidRDefault="003B0C5A" w:rsidP="003B0C5A">
            <w:pPr>
              <w:spacing w:line="276" w:lineRule="auto"/>
              <w:jc w:val="center"/>
              <w:rPr>
                <w:rFonts w:ascii="仿宋" w:eastAsia="仿宋" w:hAnsi="仿宋"/>
                <w:sz w:val="24"/>
                <w:szCs w:val="24"/>
              </w:rPr>
            </w:pPr>
            <w:r w:rsidRPr="003B0C5A">
              <w:rPr>
                <w:rFonts w:ascii="仿宋" w:eastAsia="仿宋" w:hAnsi="仿宋" w:hint="eastAsia"/>
                <w:sz w:val="24"/>
                <w:szCs w:val="24"/>
              </w:rPr>
              <w:t>1</w:t>
            </w:r>
          </w:p>
        </w:tc>
        <w:tc>
          <w:tcPr>
            <w:tcW w:w="5889" w:type="dxa"/>
            <w:vAlign w:val="center"/>
          </w:tcPr>
          <w:p w:rsidR="003B0C5A" w:rsidRPr="003B0C5A" w:rsidRDefault="003B0C5A" w:rsidP="003B0C5A">
            <w:pPr>
              <w:spacing w:line="276" w:lineRule="auto"/>
              <w:jc w:val="left"/>
              <w:rPr>
                <w:rFonts w:ascii="仿宋" w:eastAsia="仿宋" w:hAnsi="仿宋"/>
                <w:sz w:val="24"/>
                <w:szCs w:val="24"/>
              </w:rPr>
            </w:pPr>
            <w:r w:rsidRPr="003B0C5A">
              <w:rPr>
                <w:rFonts w:ascii="仿宋" w:eastAsia="仿宋" w:hAnsi="仿宋" w:hint="eastAsia"/>
                <w:sz w:val="24"/>
                <w:szCs w:val="24"/>
              </w:rPr>
              <w:t>2021年成都市大气颗粒物和臭氧来源解析及多污染物协同控制项目服务</w:t>
            </w:r>
          </w:p>
        </w:tc>
        <w:tc>
          <w:tcPr>
            <w:tcW w:w="1562" w:type="dxa"/>
            <w:vMerge w:val="restart"/>
            <w:vAlign w:val="center"/>
          </w:tcPr>
          <w:p w:rsidR="003B0C5A" w:rsidRPr="003B0C5A" w:rsidRDefault="003B0C5A" w:rsidP="003B0C5A">
            <w:pPr>
              <w:spacing w:line="276" w:lineRule="auto"/>
              <w:jc w:val="center"/>
              <w:rPr>
                <w:rFonts w:ascii="仿宋" w:eastAsia="仿宋" w:hAnsi="仿宋"/>
                <w:sz w:val="24"/>
                <w:szCs w:val="24"/>
              </w:rPr>
            </w:pPr>
            <w:r w:rsidRPr="003B0C5A">
              <w:rPr>
                <w:rFonts w:ascii="仿宋" w:eastAsia="仿宋" w:hAnsi="仿宋" w:hint="eastAsia"/>
                <w:sz w:val="24"/>
                <w:szCs w:val="24"/>
              </w:rPr>
              <w:t>其他</w:t>
            </w:r>
            <w:r w:rsidRPr="003B0C5A">
              <w:rPr>
                <w:rFonts w:ascii="仿宋" w:eastAsia="仿宋" w:hAnsi="仿宋"/>
                <w:sz w:val="24"/>
                <w:szCs w:val="24"/>
              </w:rPr>
              <w:t>未列明行业</w:t>
            </w:r>
          </w:p>
        </w:tc>
      </w:tr>
      <w:tr w:rsidR="003B0C5A" w:rsidRPr="003B0C5A" w:rsidTr="00B96CA4">
        <w:tc>
          <w:tcPr>
            <w:tcW w:w="846" w:type="dxa"/>
            <w:vAlign w:val="center"/>
          </w:tcPr>
          <w:p w:rsidR="003B0C5A" w:rsidRPr="003B0C5A" w:rsidRDefault="003B0C5A" w:rsidP="003B0C5A">
            <w:pPr>
              <w:spacing w:line="276" w:lineRule="auto"/>
              <w:jc w:val="center"/>
              <w:rPr>
                <w:rFonts w:ascii="仿宋" w:eastAsia="仿宋" w:hAnsi="仿宋"/>
                <w:sz w:val="24"/>
                <w:szCs w:val="24"/>
              </w:rPr>
            </w:pPr>
            <w:r w:rsidRPr="003B0C5A">
              <w:rPr>
                <w:rFonts w:ascii="仿宋" w:eastAsia="仿宋" w:hAnsi="仿宋" w:hint="eastAsia"/>
                <w:sz w:val="24"/>
                <w:szCs w:val="24"/>
              </w:rPr>
              <w:t>2</w:t>
            </w:r>
          </w:p>
        </w:tc>
        <w:tc>
          <w:tcPr>
            <w:tcW w:w="5889" w:type="dxa"/>
            <w:vAlign w:val="center"/>
          </w:tcPr>
          <w:p w:rsidR="003B0C5A" w:rsidRPr="003B0C5A" w:rsidRDefault="003B0C5A" w:rsidP="003B0C5A">
            <w:pPr>
              <w:spacing w:line="276" w:lineRule="auto"/>
              <w:jc w:val="left"/>
              <w:rPr>
                <w:rFonts w:ascii="仿宋" w:eastAsia="仿宋" w:hAnsi="仿宋"/>
                <w:sz w:val="24"/>
                <w:szCs w:val="24"/>
              </w:rPr>
            </w:pPr>
            <w:r w:rsidRPr="003B0C5A">
              <w:rPr>
                <w:rFonts w:ascii="仿宋" w:eastAsia="仿宋" w:hAnsi="仿宋" w:hint="eastAsia"/>
                <w:sz w:val="24"/>
                <w:szCs w:val="24"/>
              </w:rPr>
              <w:t>成都市臭氧光化学反应敏感性及多污染物协同控制效果评估研究服务</w:t>
            </w:r>
          </w:p>
        </w:tc>
        <w:tc>
          <w:tcPr>
            <w:tcW w:w="1562" w:type="dxa"/>
            <w:vMerge/>
            <w:vAlign w:val="center"/>
          </w:tcPr>
          <w:p w:rsidR="003B0C5A" w:rsidRPr="003B0C5A" w:rsidRDefault="003B0C5A" w:rsidP="003B0C5A">
            <w:pPr>
              <w:spacing w:line="276" w:lineRule="auto"/>
              <w:jc w:val="center"/>
              <w:rPr>
                <w:rFonts w:ascii="仿宋" w:eastAsia="仿宋" w:hAnsi="仿宋"/>
                <w:sz w:val="24"/>
                <w:szCs w:val="24"/>
              </w:rPr>
            </w:pPr>
          </w:p>
        </w:tc>
      </w:tr>
    </w:tbl>
    <w:p w:rsidR="003B0C5A" w:rsidRPr="003B0C5A" w:rsidRDefault="003B0C5A" w:rsidP="003B0C5A">
      <w:pPr>
        <w:keepNext/>
        <w:keepLines/>
        <w:spacing w:before="260" w:after="260" w:line="276" w:lineRule="auto"/>
        <w:outlineLvl w:val="1"/>
        <w:rPr>
          <w:rFonts w:ascii="仿宋" w:eastAsia="仿宋" w:hAnsi="仿宋" w:cs="Times New Roman"/>
          <w:bCs/>
          <w:sz w:val="24"/>
          <w:szCs w:val="24"/>
        </w:rPr>
      </w:pPr>
      <w:r w:rsidRPr="003B0C5A">
        <w:rPr>
          <w:rFonts w:ascii="仿宋" w:eastAsia="仿宋" w:hAnsi="仿宋" w:cs="Times New Roman" w:hint="eastAsia"/>
          <w:b/>
          <w:bCs/>
          <w:sz w:val="24"/>
          <w:szCs w:val="24"/>
        </w:rPr>
        <w:t>*二、</w:t>
      </w:r>
      <w:r w:rsidRPr="003B0C5A">
        <w:rPr>
          <w:rFonts w:ascii="仿宋" w:eastAsia="仿宋" w:hAnsi="仿宋" w:cs="Times New Roman"/>
          <w:b/>
          <w:bCs/>
          <w:sz w:val="24"/>
          <w:szCs w:val="24"/>
        </w:rPr>
        <w:t>商务要求</w:t>
      </w:r>
    </w:p>
    <w:p w:rsidR="003B0C5A" w:rsidRPr="003B0C5A" w:rsidRDefault="003B0C5A" w:rsidP="003B0C5A">
      <w:pPr>
        <w:spacing w:line="276" w:lineRule="auto"/>
        <w:outlineLvl w:val="2"/>
        <w:rPr>
          <w:rFonts w:ascii="仿宋" w:eastAsia="仿宋" w:hAnsi="仿宋" w:cs="Times New Roman"/>
          <w:b/>
          <w:sz w:val="24"/>
          <w:szCs w:val="24"/>
        </w:rPr>
      </w:pPr>
      <w:r w:rsidRPr="003B0C5A">
        <w:rPr>
          <w:rFonts w:ascii="仿宋" w:eastAsia="仿宋" w:hAnsi="仿宋" w:cs="Times New Roman" w:hint="eastAsia"/>
          <w:b/>
          <w:sz w:val="24"/>
          <w:szCs w:val="24"/>
        </w:rPr>
        <w:t>01包</w:t>
      </w:r>
      <w:r w:rsidRPr="003B0C5A">
        <w:rPr>
          <w:rFonts w:ascii="仿宋" w:eastAsia="仿宋" w:hAnsi="仿宋" w:cs="Times New Roman"/>
          <w:b/>
          <w:sz w:val="24"/>
          <w:szCs w:val="24"/>
        </w:rPr>
        <w:t>：</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1.服务期限：合同签订生效后12个月内。</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2.付款方法和条件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（1）付款方式：转账支付。</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（2）付款条件：采购人根据合同约定，分三期付款。</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第一期付款：合同签订生效后，采购人在10个工作日内启动财政支付审批程序，并收到成交供应商的发票后向成交供应商支付合同总金额的</w:t>
      </w:r>
      <w:r w:rsidRPr="003B0C5A">
        <w:rPr>
          <w:rFonts w:ascii="仿宋" w:eastAsia="仿宋" w:hAnsi="仿宋" w:cs="宋体"/>
          <w:sz w:val="24"/>
          <w:szCs w:val="24"/>
        </w:rPr>
        <w:t>50</w:t>
      </w:r>
      <w:r w:rsidRPr="003B0C5A">
        <w:rPr>
          <w:rFonts w:ascii="仿宋" w:eastAsia="仿宋" w:hAnsi="仿宋" w:cs="宋体" w:hint="eastAsia"/>
          <w:sz w:val="24"/>
          <w:szCs w:val="24"/>
        </w:rPr>
        <w:t>%；</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第二期付款：前三批次的颗粒物样品实验室分析和</w:t>
      </w:r>
      <w:proofErr w:type="gramStart"/>
      <w:r w:rsidRPr="003B0C5A">
        <w:rPr>
          <w:rFonts w:ascii="仿宋" w:eastAsia="仿宋" w:hAnsi="仿宋" w:cs="宋体" w:hint="eastAsia"/>
          <w:sz w:val="24"/>
          <w:szCs w:val="24"/>
        </w:rPr>
        <w:t>源解析</w:t>
      </w:r>
      <w:proofErr w:type="gramEnd"/>
      <w:r w:rsidRPr="003B0C5A">
        <w:rPr>
          <w:rFonts w:ascii="仿宋" w:eastAsia="仿宋" w:hAnsi="仿宋" w:cs="宋体" w:hint="eastAsia"/>
          <w:sz w:val="24"/>
          <w:szCs w:val="24"/>
        </w:rPr>
        <w:t>工作完成，并将分析数据和解析结果提交给采购人并经过采购人认可后采购人在10个工作日内启动财政支付审批程序，收到成交供应商的发票后向成交供应商支付合同总金额的</w:t>
      </w:r>
      <w:r w:rsidRPr="003B0C5A">
        <w:rPr>
          <w:rFonts w:ascii="仿宋" w:eastAsia="仿宋" w:hAnsi="仿宋" w:cs="宋体"/>
          <w:sz w:val="24"/>
          <w:szCs w:val="24"/>
        </w:rPr>
        <w:t>20</w:t>
      </w:r>
      <w:r w:rsidRPr="003B0C5A">
        <w:rPr>
          <w:rFonts w:ascii="仿宋" w:eastAsia="仿宋" w:hAnsi="仿宋" w:cs="宋体" w:hint="eastAsia"/>
          <w:sz w:val="24"/>
          <w:szCs w:val="24"/>
        </w:rPr>
        <w:t>%；</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第三期付款：</w:t>
      </w:r>
      <w:proofErr w:type="gramStart"/>
      <w:r w:rsidRPr="003B0C5A">
        <w:rPr>
          <w:rFonts w:ascii="仿宋" w:eastAsia="仿宋" w:hAnsi="仿宋" w:cs="宋体" w:hint="eastAsia"/>
          <w:sz w:val="24"/>
          <w:szCs w:val="24"/>
        </w:rPr>
        <w:t>待本项目</w:t>
      </w:r>
      <w:proofErr w:type="gramEnd"/>
      <w:r w:rsidRPr="003B0C5A">
        <w:rPr>
          <w:rFonts w:ascii="仿宋" w:eastAsia="仿宋" w:hAnsi="仿宋" w:cs="宋体" w:hint="eastAsia"/>
          <w:sz w:val="24"/>
          <w:szCs w:val="24"/>
        </w:rPr>
        <w:t>所有技术开发服务完成并验收合格后，采购人在10个工作日内启动财政支付审批程序，并收到成交供应商的发票后支付合同总金额的30%。</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3.履约验收：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3.1验收时间：服务期限截止后1个月内组织验收。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3.2验收方式：本项目采购人将参照政府采购相关法律法规以及</w:t>
      </w:r>
      <w:r w:rsidRPr="003B0C5A">
        <w:rPr>
          <w:rFonts w:ascii="仿宋" w:eastAsia="仿宋" w:hAnsi="仿宋" w:cs="Times New Roman" w:hint="eastAsia"/>
          <w:sz w:val="24"/>
          <w:szCs w:val="24"/>
        </w:rPr>
        <w:t>《财政部关</w:t>
      </w:r>
      <w:r w:rsidRPr="003B0C5A">
        <w:rPr>
          <w:rFonts w:ascii="仿宋" w:eastAsia="仿宋" w:hAnsi="仿宋" w:cs="Times New Roman" w:hint="eastAsia"/>
          <w:sz w:val="24"/>
          <w:szCs w:val="24"/>
        </w:rPr>
        <w:lastRenderedPageBreak/>
        <w:t>于进一步加强政府采购需求和履约验收管理的指导意见》（财库〔2016〕205号）</w:t>
      </w:r>
      <w:r w:rsidRPr="003B0C5A">
        <w:rPr>
          <w:rFonts w:ascii="仿宋" w:eastAsia="仿宋" w:hAnsi="仿宋" w:cs="宋体" w:hint="eastAsia"/>
          <w:sz w:val="24"/>
          <w:szCs w:val="24"/>
        </w:rPr>
        <w:t>的要求进行验收。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4.成果交付：样品分析完成后提交样品化学组分分析数据和</w:t>
      </w:r>
      <w:proofErr w:type="gramStart"/>
      <w:r w:rsidRPr="003B0C5A">
        <w:rPr>
          <w:rFonts w:ascii="仿宋" w:eastAsia="仿宋" w:hAnsi="仿宋" w:cs="宋体" w:hint="eastAsia"/>
          <w:sz w:val="24"/>
          <w:szCs w:val="24"/>
        </w:rPr>
        <w:t>质控</w:t>
      </w:r>
      <w:proofErr w:type="gramEnd"/>
      <w:r w:rsidRPr="003B0C5A">
        <w:rPr>
          <w:rFonts w:ascii="仿宋" w:eastAsia="仿宋" w:hAnsi="仿宋" w:cs="宋体" w:hint="eastAsia"/>
          <w:sz w:val="24"/>
          <w:szCs w:val="24"/>
        </w:rPr>
        <w:t>报告（含纸质件（加盖公章）和电子文档各一份），并保存原始数据备查。</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5.进度要求：受体样品由采购人采集，每年四批次，每批次样品送到成交供应商后3个月内完成样品分析、提交化学质量平衡模型颗粒物来源解析阶段成果；第四批样品送到成交供应商后5个月内完成年度解析成果。</w:t>
      </w:r>
    </w:p>
    <w:p w:rsidR="003B0C5A" w:rsidRPr="003B0C5A" w:rsidRDefault="003B0C5A" w:rsidP="003B0C5A">
      <w:pPr>
        <w:spacing w:line="360" w:lineRule="auto"/>
        <w:outlineLvl w:val="2"/>
        <w:rPr>
          <w:rFonts w:ascii="仿宋" w:eastAsia="仿宋" w:hAnsi="仿宋" w:cs="宋体"/>
          <w:b/>
          <w:sz w:val="24"/>
          <w:szCs w:val="24"/>
        </w:rPr>
      </w:pPr>
      <w:r w:rsidRPr="003B0C5A">
        <w:rPr>
          <w:rFonts w:ascii="仿宋" w:eastAsia="仿宋" w:hAnsi="仿宋" w:cs="宋体" w:hint="eastAsia"/>
          <w:b/>
          <w:sz w:val="24"/>
          <w:szCs w:val="24"/>
        </w:rPr>
        <w:t>02包：</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1.付款方法和条件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（1）合同签订后10个工作日内，采购人启动财政支付审批程序，并收到成交供应商的发票后支付合同总金额的70%；</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2）成交供应商完成合同约定的全部工作内容并交付全部技术服务成果，且经采购人验收合格（验收合格是指成交供应商交付的所有技术服务文件经专家审核后，通过环保部门组织的专家评审）后，采购人在十个工作日内启动财政支付审批程序，并收到成交供应商的发票后向成交供应商支付合同总金额的30%。</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2.履约验收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2.1验收时间：供应商提交最终工作成果后30天内组织验收。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2.2本项目采购人将参照政府采购相关法律法规以及</w:t>
      </w:r>
      <w:r w:rsidRPr="003B0C5A">
        <w:rPr>
          <w:rFonts w:ascii="仿宋" w:eastAsia="仿宋" w:hAnsi="仿宋" w:cs="Times New Roman" w:hint="eastAsia"/>
          <w:sz w:val="24"/>
          <w:szCs w:val="24"/>
        </w:rPr>
        <w:t>《财政部关于进一步加强政府采购需求和履约验收管理的指导意见》（财库〔2016〕205号）</w:t>
      </w:r>
      <w:r w:rsidRPr="003B0C5A">
        <w:rPr>
          <w:rFonts w:ascii="仿宋" w:eastAsia="仿宋" w:hAnsi="仿宋" w:cs="宋体" w:hint="eastAsia"/>
          <w:sz w:val="24"/>
          <w:szCs w:val="24"/>
        </w:rPr>
        <w:t>的要求进行验收。</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3.成果提交内容及形式</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提交《成都市臭氧光化学反应敏感性及多污染物协同控制效果评估研究服务报告》纸质版5份，电子版1份。</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4.进度要求</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（1）合同签订之日后15天内，按照供应商响应文件的工作方案组织开展工作内容中涵盖调查内容。</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宋体" w:hint="eastAsia"/>
          <w:sz w:val="24"/>
          <w:szCs w:val="24"/>
        </w:rPr>
        <w:t>（2）合同签订后210天内，提交最终工作成果，项目达到验收标准。</w:t>
      </w:r>
    </w:p>
    <w:p w:rsidR="003B0C5A" w:rsidRPr="003B0C5A" w:rsidRDefault="003B0C5A" w:rsidP="003B0C5A">
      <w:pPr>
        <w:keepNext/>
        <w:keepLines/>
        <w:spacing w:before="260" w:after="260" w:line="276" w:lineRule="auto"/>
        <w:outlineLvl w:val="1"/>
        <w:rPr>
          <w:rFonts w:ascii="仿宋" w:eastAsia="仿宋" w:hAnsi="仿宋" w:cs="Times New Roman"/>
          <w:b/>
          <w:bCs/>
          <w:sz w:val="24"/>
          <w:szCs w:val="24"/>
        </w:rPr>
      </w:pPr>
      <w:r w:rsidRPr="003B0C5A">
        <w:rPr>
          <w:rFonts w:ascii="仿宋" w:eastAsia="仿宋" w:hAnsi="仿宋" w:cs="Times New Roman" w:hint="eastAsia"/>
          <w:b/>
          <w:bCs/>
          <w:sz w:val="24"/>
          <w:szCs w:val="24"/>
        </w:rPr>
        <w:t>三、技术服务要求</w:t>
      </w:r>
    </w:p>
    <w:p w:rsidR="003B0C5A" w:rsidRPr="003B0C5A" w:rsidRDefault="003B0C5A" w:rsidP="003B0C5A">
      <w:pPr>
        <w:spacing w:line="276" w:lineRule="auto"/>
        <w:outlineLvl w:val="2"/>
        <w:rPr>
          <w:rFonts w:ascii="仿宋" w:eastAsia="仿宋" w:hAnsi="仿宋" w:cs="Times New Roman"/>
          <w:b/>
          <w:sz w:val="24"/>
          <w:szCs w:val="24"/>
        </w:rPr>
      </w:pPr>
      <w:r w:rsidRPr="003B0C5A">
        <w:rPr>
          <w:rFonts w:ascii="仿宋" w:eastAsia="仿宋" w:hAnsi="仿宋" w:cs="Times New Roman" w:hint="eastAsia"/>
          <w:b/>
          <w:sz w:val="24"/>
          <w:szCs w:val="24"/>
        </w:rPr>
        <w:t>01包</w:t>
      </w:r>
      <w:r w:rsidRPr="003B0C5A">
        <w:rPr>
          <w:rFonts w:ascii="仿宋" w:eastAsia="仿宋" w:hAnsi="仿宋" w:cs="Times New Roman"/>
          <w:b/>
          <w:sz w:val="24"/>
          <w:szCs w:val="24"/>
        </w:rPr>
        <w:t>：</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lastRenderedPageBreak/>
        <w:t>1.颗粒物样品化学组分分析</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本次分析的样品分为大气颗粒物受体样品，共计约</w:t>
      </w:r>
      <w:r w:rsidRPr="003B0C5A">
        <w:rPr>
          <w:rFonts w:ascii="仿宋" w:eastAsia="仿宋" w:hAnsi="仿宋" w:cs="Times New Roman"/>
          <w:sz w:val="24"/>
          <w:szCs w:val="24"/>
        </w:rPr>
        <w:t>750</w:t>
      </w:r>
      <w:r w:rsidRPr="003B0C5A">
        <w:rPr>
          <w:rFonts w:ascii="仿宋" w:eastAsia="仿宋" w:hAnsi="仿宋" w:cs="Times New Roman" w:hint="eastAsia"/>
          <w:sz w:val="24"/>
          <w:szCs w:val="24"/>
        </w:rPr>
        <w:t>个，样品化学组分分析的内容包括无机元素、水溶性离子、碳组分和多环芳烃。</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①大气颗粒物受体样品：共计约</w:t>
      </w:r>
      <w:r w:rsidRPr="003B0C5A">
        <w:rPr>
          <w:rFonts w:ascii="仿宋" w:eastAsia="仿宋" w:hAnsi="仿宋" w:cs="Times New Roman"/>
          <w:sz w:val="24"/>
          <w:szCs w:val="24"/>
        </w:rPr>
        <w:t>750</w:t>
      </w:r>
      <w:r w:rsidRPr="003B0C5A">
        <w:rPr>
          <w:rFonts w:ascii="仿宋" w:eastAsia="仿宋" w:hAnsi="仿宋" w:cs="Times New Roman" w:hint="eastAsia"/>
          <w:sz w:val="24"/>
          <w:szCs w:val="24"/>
        </w:rPr>
        <w:t>个，其中</w:t>
      </w:r>
      <w:r w:rsidRPr="003B0C5A">
        <w:rPr>
          <w:rFonts w:ascii="仿宋" w:eastAsia="仿宋" w:hAnsi="仿宋" w:cs="Times New Roman"/>
          <w:sz w:val="24"/>
          <w:szCs w:val="24"/>
        </w:rPr>
        <w:t>PM10</w:t>
      </w:r>
      <w:r w:rsidRPr="003B0C5A">
        <w:rPr>
          <w:rFonts w:ascii="仿宋" w:eastAsia="仿宋" w:hAnsi="仿宋" w:cs="Times New Roman" w:hint="eastAsia"/>
          <w:sz w:val="24"/>
          <w:szCs w:val="24"/>
        </w:rPr>
        <w:t>和</w:t>
      </w:r>
      <w:r w:rsidRPr="003B0C5A">
        <w:rPr>
          <w:rFonts w:ascii="仿宋" w:eastAsia="仿宋" w:hAnsi="仿宋" w:cs="Times New Roman"/>
          <w:sz w:val="24"/>
          <w:szCs w:val="24"/>
        </w:rPr>
        <w:t>PM2.5</w:t>
      </w:r>
      <w:r w:rsidRPr="003B0C5A">
        <w:rPr>
          <w:rFonts w:ascii="仿宋" w:eastAsia="仿宋" w:hAnsi="仿宋" w:cs="Times New Roman" w:hint="eastAsia"/>
          <w:sz w:val="24"/>
          <w:szCs w:val="24"/>
        </w:rPr>
        <w:t>样品各</w:t>
      </w:r>
      <w:r w:rsidRPr="003B0C5A">
        <w:rPr>
          <w:rFonts w:ascii="仿宋" w:eastAsia="仿宋" w:hAnsi="仿宋" w:cs="Times New Roman"/>
          <w:sz w:val="24"/>
          <w:szCs w:val="24"/>
        </w:rPr>
        <w:t>375</w:t>
      </w:r>
      <w:r w:rsidRPr="003B0C5A">
        <w:rPr>
          <w:rFonts w:ascii="仿宋" w:eastAsia="仿宋" w:hAnsi="仿宋" w:cs="Times New Roman" w:hint="eastAsia"/>
          <w:sz w:val="24"/>
          <w:szCs w:val="24"/>
        </w:rPr>
        <w:t>个（每一个样品包含一张聚丙烯膜和一张石英膜，聚丙烯膜和</w:t>
      </w:r>
      <w:proofErr w:type="gramStart"/>
      <w:r w:rsidRPr="003B0C5A">
        <w:rPr>
          <w:rFonts w:ascii="仿宋" w:eastAsia="仿宋" w:hAnsi="仿宋" w:cs="Times New Roman" w:hint="eastAsia"/>
          <w:sz w:val="24"/>
          <w:szCs w:val="24"/>
        </w:rPr>
        <w:t>石英膜各约</w:t>
      </w:r>
      <w:proofErr w:type="gramEnd"/>
      <w:r w:rsidRPr="003B0C5A">
        <w:rPr>
          <w:rFonts w:ascii="仿宋" w:eastAsia="仿宋" w:hAnsi="仿宋" w:cs="Times New Roman"/>
          <w:sz w:val="24"/>
          <w:szCs w:val="24"/>
        </w:rPr>
        <w:t>750</w:t>
      </w:r>
      <w:r w:rsidRPr="003B0C5A">
        <w:rPr>
          <w:rFonts w:ascii="仿宋" w:eastAsia="仿宋" w:hAnsi="仿宋" w:cs="Times New Roman" w:hint="eastAsia"/>
          <w:sz w:val="24"/>
          <w:szCs w:val="24"/>
        </w:rPr>
        <w:t>张）。大气颗粒物受体样品需进行无机元素分析、水溶性离子、碳组分分析、多环芳烃分析。</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②无机元素分析：聚丙烯膜样品分析</w:t>
      </w:r>
      <w:r w:rsidRPr="003B0C5A">
        <w:rPr>
          <w:rFonts w:ascii="仿宋" w:eastAsia="仿宋" w:hAnsi="仿宋" w:cs="Times New Roman"/>
          <w:sz w:val="24"/>
          <w:szCs w:val="24"/>
        </w:rPr>
        <w:t>23</w:t>
      </w:r>
      <w:r w:rsidRPr="003B0C5A">
        <w:rPr>
          <w:rFonts w:ascii="仿宋" w:eastAsia="仿宋" w:hAnsi="仿宋" w:cs="Times New Roman" w:hint="eastAsia"/>
          <w:sz w:val="24"/>
          <w:szCs w:val="24"/>
        </w:rPr>
        <w:t>个无机元素（</w:t>
      </w:r>
      <w:r w:rsidRPr="003B0C5A">
        <w:rPr>
          <w:rFonts w:ascii="仿宋" w:eastAsia="仿宋" w:hAnsi="仿宋" w:cs="Times New Roman"/>
          <w:sz w:val="24"/>
          <w:szCs w:val="24"/>
        </w:rPr>
        <w:t>K</w:t>
      </w:r>
      <w:r w:rsidRPr="003B0C5A">
        <w:rPr>
          <w:rFonts w:ascii="仿宋" w:eastAsia="仿宋" w:hAnsi="仿宋" w:cs="Times New Roman" w:hint="eastAsia"/>
          <w:sz w:val="24"/>
          <w:szCs w:val="24"/>
        </w:rPr>
        <w:t>、</w:t>
      </w:r>
      <w:r w:rsidRPr="003B0C5A">
        <w:rPr>
          <w:rFonts w:ascii="仿宋" w:eastAsia="仿宋" w:hAnsi="仿宋" w:cs="Times New Roman"/>
          <w:sz w:val="24"/>
          <w:szCs w:val="24"/>
        </w:rPr>
        <w:t>Na</w:t>
      </w:r>
      <w:r w:rsidRPr="003B0C5A">
        <w:rPr>
          <w:rFonts w:ascii="仿宋" w:eastAsia="仿宋" w:hAnsi="仿宋" w:cs="Times New Roman" w:hint="eastAsia"/>
          <w:sz w:val="24"/>
          <w:szCs w:val="24"/>
        </w:rPr>
        <w:t>、</w:t>
      </w:r>
      <w:r w:rsidRPr="003B0C5A">
        <w:rPr>
          <w:rFonts w:ascii="仿宋" w:eastAsia="仿宋" w:hAnsi="仿宋" w:cs="Times New Roman"/>
          <w:sz w:val="24"/>
          <w:szCs w:val="24"/>
        </w:rPr>
        <w:t>S</w:t>
      </w:r>
      <w:r w:rsidRPr="003B0C5A">
        <w:rPr>
          <w:rFonts w:ascii="仿宋" w:eastAsia="仿宋" w:hAnsi="仿宋" w:cs="Times New Roman" w:hint="eastAsia"/>
          <w:sz w:val="24"/>
          <w:szCs w:val="24"/>
        </w:rPr>
        <w:t>、</w:t>
      </w:r>
      <w:r w:rsidRPr="003B0C5A">
        <w:rPr>
          <w:rFonts w:ascii="仿宋" w:eastAsia="仿宋" w:hAnsi="仿宋" w:cs="Times New Roman"/>
          <w:sz w:val="24"/>
          <w:szCs w:val="24"/>
        </w:rPr>
        <w:t>Ca</w:t>
      </w:r>
      <w:r w:rsidRPr="003B0C5A">
        <w:rPr>
          <w:rFonts w:ascii="仿宋" w:eastAsia="仿宋" w:hAnsi="仿宋" w:cs="Times New Roman" w:hint="eastAsia"/>
          <w:sz w:val="24"/>
          <w:szCs w:val="24"/>
        </w:rPr>
        <w:t>、</w:t>
      </w:r>
      <w:r w:rsidRPr="003B0C5A">
        <w:rPr>
          <w:rFonts w:ascii="仿宋" w:eastAsia="仿宋" w:hAnsi="仿宋" w:cs="Times New Roman"/>
          <w:sz w:val="24"/>
          <w:szCs w:val="24"/>
        </w:rPr>
        <w:t>Mg</w:t>
      </w:r>
      <w:r w:rsidRPr="003B0C5A">
        <w:rPr>
          <w:rFonts w:ascii="仿宋" w:eastAsia="仿宋" w:hAnsi="仿宋" w:cs="Times New Roman" w:hint="eastAsia"/>
          <w:sz w:val="24"/>
          <w:szCs w:val="24"/>
        </w:rPr>
        <w:t>、</w:t>
      </w:r>
      <w:r w:rsidRPr="003B0C5A">
        <w:rPr>
          <w:rFonts w:ascii="仿宋" w:eastAsia="仿宋" w:hAnsi="仿宋" w:cs="Times New Roman"/>
          <w:sz w:val="24"/>
          <w:szCs w:val="24"/>
        </w:rPr>
        <w:t>Zn</w:t>
      </w:r>
      <w:r w:rsidRPr="003B0C5A">
        <w:rPr>
          <w:rFonts w:ascii="仿宋" w:eastAsia="仿宋" w:hAnsi="仿宋" w:cs="Times New Roman" w:hint="eastAsia"/>
          <w:sz w:val="24"/>
          <w:szCs w:val="24"/>
        </w:rPr>
        <w:t>、</w:t>
      </w:r>
      <w:r w:rsidRPr="003B0C5A">
        <w:rPr>
          <w:rFonts w:ascii="仿宋" w:eastAsia="仿宋" w:hAnsi="仿宋" w:cs="Times New Roman"/>
          <w:sz w:val="24"/>
          <w:szCs w:val="24"/>
        </w:rPr>
        <w:t>Fe</w:t>
      </w:r>
      <w:r w:rsidRPr="003B0C5A">
        <w:rPr>
          <w:rFonts w:ascii="仿宋" w:eastAsia="仿宋" w:hAnsi="仿宋" w:cs="Times New Roman" w:hint="eastAsia"/>
          <w:sz w:val="24"/>
          <w:szCs w:val="24"/>
        </w:rPr>
        <w:t>、</w:t>
      </w:r>
      <w:r w:rsidRPr="003B0C5A">
        <w:rPr>
          <w:rFonts w:ascii="仿宋" w:eastAsia="仿宋" w:hAnsi="仿宋" w:cs="Times New Roman"/>
          <w:sz w:val="24"/>
          <w:szCs w:val="24"/>
        </w:rPr>
        <w:t>Al</w:t>
      </w:r>
      <w:r w:rsidRPr="003B0C5A">
        <w:rPr>
          <w:rFonts w:ascii="仿宋" w:eastAsia="仿宋" w:hAnsi="仿宋" w:cs="Times New Roman" w:hint="eastAsia"/>
          <w:sz w:val="24"/>
          <w:szCs w:val="24"/>
        </w:rPr>
        <w:t>、</w:t>
      </w:r>
      <w:r w:rsidRPr="003B0C5A">
        <w:rPr>
          <w:rFonts w:ascii="仿宋" w:eastAsia="仿宋" w:hAnsi="仿宋" w:cs="Times New Roman"/>
          <w:sz w:val="24"/>
          <w:szCs w:val="24"/>
        </w:rPr>
        <w:t>Si</w:t>
      </w:r>
      <w:r w:rsidRPr="003B0C5A">
        <w:rPr>
          <w:rFonts w:ascii="仿宋" w:eastAsia="仿宋" w:hAnsi="仿宋" w:cs="Times New Roman" w:hint="eastAsia"/>
          <w:sz w:val="24"/>
          <w:szCs w:val="24"/>
        </w:rPr>
        <w:t>、</w:t>
      </w:r>
      <w:proofErr w:type="spellStart"/>
      <w:r w:rsidRPr="003B0C5A">
        <w:rPr>
          <w:rFonts w:ascii="仿宋" w:eastAsia="仿宋" w:hAnsi="仿宋" w:cs="Times New Roman"/>
          <w:sz w:val="24"/>
          <w:szCs w:val="24"/>
        </w:rPr>
        <w:t>Ti</w:t>
      </w:r>
      <w:proofErr w:type="spellEnd"/>
      <w:r w:rsidRPr="003B0C5A">
        <w:rPr>
          <w:rFonts w:ascii="仿宋" w:eastAsia="仿宋" w:hAnsi="仿宋" w:cs="Times New Roman" w:hint="eastAsia"/>
          <w:sz w:val="24"/>
          <w:szCs w:val="24"/>
        </w:rPr>
        <w:t>、</w:t>
      </w:r>
      <w:r w:rsidRPr="003B0C5A">
        <w:rPr>
          <w:rFonts w:ascii="仿宋" w:eastAsia="仿宋" w:hAnsi="仿宋" w:cs="Times New Roman"/>
          <w:sz w:val="24"/>
          <w:szCs w:val="24"/>
        </w:rPr>
        <w:t>Ni</w:t>
      </w:r>
      <w:r w:rsidRPr="003B0C5A">
        <w:rPr>
          <w:rFonts w:ascii="仿宋" w:eastAsia="仿宋" w:hAnsi="仿宋" w:cs="Times New Roman" w:hint="eastAsia"/>
          <w:sz w:val="24"/>
          <w:szCs w:val="24"/>
        </w:rPr>
        <w:t>、</w:t>
      </w:r>
      <w:proofErr w:type="spellStart"/>
      <w:r w:rsidRPr="003B0C5A">
        <w:rPr>
          <w:rFonts w:ascii="仿宋" w:eastAsia="仿宋" w:hAnsi="仿宋" w:cs="Times New Roman"/>
          <w:sz w:val="24"/>
          <w:szCs w:val="24"/>
        </w:rPr>
        <w:t>Pb</w:t>
      </w:r>
      <w:proofErr w:type="spellEnd"/>
      <w:r w:rsidRPr="003B0C5A">
        <w:rPr>
          <w:rFonts w:ascii="仿宋" w:eastAsia="仿宋" w:hAnsi="仿宋" w:cs="Times New Roman" w:hint="eastAsia"/>
          <w:sz w:val="24"/>
          <w:szCs w:val="24"/>
        </w:rPr>
        <w:t>、</w:t>
      </w:r>
      <w:proofErr w:type="spellStart"/>
      <w:r w:rsidRPr="003B0C5A">
        <w:rPr>
          <w:rFonts w:ascii="仿宋" w:eastAsia="仿宋" w:hAnsi="仿宋" w:cs="Times New Roman"/>
          <w:sz w:val="24"/>
          <w:szCs w:val="24"/>
        </w:rPr>
        <w:t>Mn</w:t>
      </w:r>
      <w:proofErr w:type="spellEnd"/>
      <w:r w:rsidRPr="003B0C5A">
        <w:rPr>
          <w:rFonts w:ascii="仿宋" w:eastAsia="仿宋" w:hAnsi="仿宋" w:cs="Times New Roman" w:hint="eastAsia"/>
          <w:sz w:val="24"/>
          <w:szCs w:val="24"/>
        </w:rPr>
        <w:t>、</w:t>
      </w:r>
      <w:r w:rsidRPr="003B0C5A">
        <w:rPr>
          <w:rFonts w:ascii="仿宋" w:eastAsia="仿宋" w:hAnsi="仿宋" w:cs="Times New Roman"/>
          <w:sz w:val="24"/>
          <w:szCs w:val="24"/>
        </w:rPr>
        <w:t>Cu</w:t>
      </w:r>
      <w:r w:rsidRPr="003B0C5A">
        <w:rPr>
          <w:rFonts w:ascii="仿宋" w:eastAsia="仿宋" w:hAnsi="仿宋" w:cs="Times New Roman" w:hint="eastAsia"/>
          <w:sz w:val="24"/>
          <w:szCs w:val="24"/>
        </w:rPr>
        <w:t>、</w:t>
      </w:r>
      <w:r w:rsidRPr="003B0C5A">
        <w:rPr>
          <w:rFonts w:ascii="仿宋" w:eastAsia="仿宋" w:hAnsi="仿宋" w:cs="Times New Roman"/>
          <w:sz w:val="24"/>
          <w:szCs w:val="24"/>
        </w:rPr>
        <w:t>Cr</w:t>
      </w:r>
      <w:r w:rsidRPr="003B0C5A">
        <w:rPr>
          <w:rFonts w:ascii="仿宋" w:eastAsia="仿宋" w:hAnsi="仿宋" w:cs="Times New Roman" w:hint="eastAsia"/>
          <w:sz w:val="24"/>
          <w:szCs w:val="24"/>
        </w:rPr>
        <w:t>、</w:t>
      </w:r>
      <w:r w:rsidRPr="003B0C5A">
        <w:rPr>
          <w:rFonts w:ascii="仿宋" w:eastAsia="仿宋" w:hAnsi="仿宋" w:cs="Times New Roman"/>
          <w:sz w:val="24"/>
          <w:szCs w:val="24"/>
        </w:rPr>
        <w:t>Se</w:t>
      </w:r>
      <w:r w:rsidRPr="003B0C5A">
        <w:rPr>
          <w:rFonts w:ascii="仿宋" w:eastAsia="仿宋" w:hAnsi="仿宋" w:cs="Times New Roman" w:hint="eastAsia"/>
          <w:sz w:val="24"/>
          <w:szCs w:val="24"/>
        </w:rPr>
        <w:t>、</w:t>
      </w:r>
      <w:r w:rsidRPr="003B0C5A">
        <w:rPr>
          <w:rFonts w:ascii="仿宋" w:eastAsia="仿宋" w:hAnsi="仿宋" w:cs="Times New Roman"/>
          <w:sz w:val="24"/>
          <w:szCs w:val="24"/>
        </w:rPr>
        <w:t>Hg</w:t>
      </w:r>
      <w:r w:rsidRPr="003B0C5A">
        <w:rPr>
          <w:rFonts w:ascii="仿宋" w:eastAsia="仿宋" w:hAnsi="仿宋" w:cs="Times New Roman" w:hint="eastAsia"/>
          <w:sz w:val="24"/>
          <w:szCs w:val="24"/>
        </w:rPr>
        <w:t>、</w:t>
      </w:r>
      <w:r w:rsidRPr="003B0C5A">
        <w:rPr>
          <w:rFonts w:ascii="仿宋" w:eastAsia="仿宋" w:hAnsi="仿宋" w:cs="Times New Roman"/>
          <w:sz w:val="24"/>
          <w:szCs w:val="24"/>
        </w:rPr>
        <w:t>Ba</w:t>
      </w:r>
      <w:r w:rsidRPr="003B0C5A">
        <w:rPr>
          <w:rFonts w:ascii="仿宋" w:eastAsia="仿宋" w:hAnsi="仿宋" w:cs="Times New Roman" w:hint="eastAsia"/>
          <w:sz w:val="24"/>
          <w:szCs w:val="24"/>
        </w:rPr>
        <w:t>、</w:t>
      </w:r>
      <w:r w:rsidRPr="003B0C5A">
        <w:rPr>
          <w:rFonts w:ascii="仿宋" w:eastAsia="仿宋" w:hAnsi="仿宋" w:cs="Times New Roman"/>
          <w:sz w:val="24"/>
          <w:szCs w:val="24"/>
        </w:rPr>
        <w:t>As</w:t>
      </w:r>
      <w:r w:rsidRPr="003B0C5A">
        <w:rPr>
          <w:rFonts w:ascii="仿宋" w:eastAsia="仿宋" w:hAnsi="仿宋" w:cs="Times New Roman" w:hint="eastAsia"/>
          <w:sz w:val="24"/>
          <w:szCs w:val="24"/>
        </w:rPr>
        <w:t>、</w:t>
      </w:r>
      <w:r w:rsidRPr="003B0C5A">
        <w:rPr>
          <w:rFonts w:ascii="仿宋" w:eastAsia="仿宋" w:hAnsi="仿宋" w:cs="Times New Roman"/>
          <w:sz w:val="24"/>
          <w:szCs w:val="24"/>
        </w:rPr>
        <w:t>Sn</w:t>
      </w:r>
      <w:r w:rsidRPr="003B0C5A">
        <w:rPr>
          <w:rFonts w:ascii="仿宋" w:eastAsia="仿宋" w:hAnsi="仿宋" w:cs="Times New Roman" w:hint="eastAsia"/>
          <w:sz w:val="24"/>
          <w:szCs w:val="24"/>
        </w:rPr>
        <w:t>、</w:t>
      </w:r>
      <w:r w:rsidRPr="003B0C5A">
        <w:rPr>
          <w:rFonts w:ascii="仿宋" w:eastAsia="仿宋" w:hAnsi="仿宋" w:cs="Times New Roman"/>
          <w:sz w:val="24"/>
          <w:szCs w:val="24"/>
        </w:rPr>
        <w:t>Mo</w:t>
      </w:r>
      <w:r w:rsidRPr="003B0C5A">
        <w:rPr>
          <w:rFonts w:ascii="仿宋" w:eastAsia="仿宋" w:hAnsi="仿宋" w:cs="Times New Roman" w:hint="eastAsia"/>
          <w:sz w:val="24"/>
          <w:szCs w:val="24"/>
        </w:rPr>
        <w:t>、</w:t>
      </w:r>
      <w:r w:rsidRPr="003B0C5A">
        <w:rPr>
          <w:rFonts w:ascii="仿宋" w:eastAsia="仿宋" w:hAnsi="仿宋" w:cs="Times New Roman"/>
          <w:sz w:val="24"/>
          <w:szCs w:val="24"/>
        </w:rPr>
        <w:t>V</w:t>
      </w:r>
      <w:r w:rsidRPr="003B0C5A">
        <w:rPr>
          <w:rFonts w:ascii="仿宋" w:eastAsia="仿宋" w:hAnsi="仿宋" w:cs="Times New Roman" w:hint="eastAsia"/>
          <w:sz w:val="24"/>
          <w:szCs w:val="24"/>
        </w:rPr>
        <w:t>、</w:t>
      </w:r>
      <w:r w:rsidRPr="003B0C5A">
        <w:rPr>
          <w:rFonts w:ascii="仿宋" w:eastAsia="仿宋" w:hAnsi="仿宋" w:cs="Times New Roman"/>
          <w:sz w:val="24"/>
          <w:szCs w:val="24"/>
        </w:rPr>
        <w:t>Cd</w:t>
      </w:r>
      <w:r w:rsidRPr="003B0C5A">
        <w:rPr>
          <w:rFonts w:ascii="仿宋" w:eastAsia="仿宋" w:hAnsi="仿宋" w:cs="Times New Roman" w:hint="eastAsia"/>
          <w:sz w:val="24"/>
          <w:szCs w:val="24"/>
        </w:rPr>
        <w:t>等）。</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③水溶性离子和</w:t>
      </w:r>
      <w:proofErr w:type="gramStart"/>
      <w:r w:rsidRPr="003B0C5A">
        <w:rPr>
          <w:rFonts w:ascii="仿宋" w:eastAsia="仿宋" w:hAnsi="仿宋" w:cs="Times New Roman" w:hint="eastAsia"/>
          <w:sz w:val="24"/>
          <w:szCs w:val="24"/>
        </w:rPr>
        <w:t>碳组分分析</w:t>
      </w:r>
      <w:proofErr w:type="gramEnd"/>
      <w:r w:rsidRPr="003B0C5A">
        <w:rPr>
          <w:rFonts w:ascii="仿宋" w:eastAsia="仿宋" w:hAnsi="仿宋" w:cs="Times New Roman" w:hint="eastAsia"/>
          <w:sz w:val="24"/>
          <w:szCs w:val="24"/>
        </w:rPr>
        <w:t>：石英滤膜样品分析</w:t>
      </w:r>
      <w:r w:rsidRPr="003B0C5A">
        <w:rPr>
          <w:rFonts w:ascii="仿宋" w:eastAsia="仿宋" w:hAnsi="仿宋" w:cs="Times New Roman"/>
          <w:sz w:val="24"/>
          <w:szCs w:val="24"/>
        </w:rPr>
        <w:t>Cl-</w:t>
      </w:r>
      <w:r w:rsidRPr="003B0C5A">
        <w:rPr>
          <w:rFonts w:ascii="仿宋" w:eastAsia="仿宋" w:hAnsi="仿宋" w:cs="Times New Roman" w:hint="eastAsia"/>
          <w:sz w:val="24"/>
          <w:szCs w:val="24"/>
        </w:rPr>
        <w:t>、</w:t>
      </w:r>
      <w:r w:rsidRPr="003B0C5A">
        <w:rPr>
          <w:rFonts w:ascii="仿宋" w:eastAsia="仿宋" w:hAnsi="仿宋" w:cs="Times New Roman"/>
          <w:sz w:val="24"/>
          <w:szCs w:val="24"/>
        </w:rPr>
        <w:t>F-</w:t>
      </w:r>
      <w:r w:rsidRPr="003B0C5A">
        <w:rPr>
          <w:rFonts w:ascii="仿宋" w:eastAsia="仿宋" w:hAnsi="仿宋" w:cs="Times New Roman" w:hint="eastAsia"/>
          <w:sz w:val="24"/>
          <w:szCs w:val="24"/>
        </w:rPr>
        <w:t>、</w:t>
      </w:r>
      <w:r w:rsidRPr="003B0C5A">
        <w:rPr>
          <w:rFonts w:ascii="仿宋" w:eastAsia="仿宋" w:hAnsi="仿宋" w:cs="Times New Roman"/>
          <w:sz w:val="24"/>
          <w:szCs w:val="24"/>
        </w:rPr>
        <w:t>Br-</w:t>
      </w:r>
      <w:r w:rsidRPr="003B0C5A">
        <w:rPr>
          <w:rFonts w:ascii="仿宋" w:eastAsia="仿宋" w:hAnsi="仿宋" w:cs="Times New Roman" w:hint="eastAsia"/>
          <w:sz w:val="24"/>
          <w:szCs w:val="24"/>
        </w:rPr>
        <w:t>、</w:t>
      </w:r>
      <w:r w:rsidRPr="003B0C5A">
        <w:rPr>
          <w:rFonts w:ascii="仿宋" w:eastAsia="仿宋" w:hAnsi="仿宋" w:cs="Times New Roman"/>
          <w:sz w:val="24"/>
          <w:szCs w:val="24"/>
        </w:rPr>
        <w:t>SO42-</w:t>
      </w:r>
      <w:r w:rsidRPr="003B0C5A">
        <w:rPr>
          <w:rFonts w:ascii="仿宋" w:eastAsia="仿宋" w:hAnsi="仿宋" w:cs="Times New Roman" w:hint="eastAsia"/>
          <w:sz w:val="24"/>
          <w:szCs w:val="24"/>
        </w:rPr>
        <w:t>、</w:t>
      </w:r>
      <w:r w:rsidRPr="003B0C5A">
        <w:rPr>
          <w:rFonts w:ascii="仿宋" w:eastAsia="仿宋" w:hAnsi="仿宋" w:cs="Times New Roman"/>
          <w:sz w:val="24"/>
          <w:szCs w:val="24"/>
        </w:rPr>
        <w:t>NO3-</w:t>
      </w:r>
      <w:r w:rsidRPr="003B0C5A">
        <w:rPr>
          <w:rFonts w:ascii="仿宋" w:eastAsia="仿宋" w:hAnsi="仿宋" w:cs="Times New Roman" w:hint="eastAsia"/>
          <w:sz w:val="24"/>
          <w:szCs w:val="24"/>
        </w:rPr>
        <w:t>、</w:t>
      </w:r>
      <w:r w:rsidRPr="003B0C5A">
        <w:rPr>
          <w:rFonts w:ascii="仿宋" w:eastAsia="仿宋" w:hAnsi="仿宋" w:cs="Times New Roman"/>
          <w:sz w:val="24"/>
          <w:szCs w:val="24"/>
        </w:rPr>
        <w:t>NO2-</w:t>
      </w:r>
      <w:r w:rsidRPr="003B0C5A">
        <w:rPr>
          <w:rFonts w:ascii="仿宋" w:eastAsia="仿宋" w:hAnsi="仿宋" w:cs="Times New Roman" w:hint="eastAsia"/>
          <w:sz w:val="24"/>
          <w:szCs w:val="24"/>
        </w:rPr>
        <w:t>、</w:t>
      </w:r>
      <w:r w:rsidRPr="003B0C5A">
        <w:rPr>
          <w:rFonts w:ascii="仿宋" w:eastAsia="仿宋" w:hAnsi="仿宋" w:cs="Times New Roman"/>
          <w:sz w:val="24"/>
          <w:szCs w:val="24"/>
        </w:rPr>
        <w:t>NH4+</w:t>
      </w:r>
      <w:r w:rsidRPr="003B0C5A">
        <w:rPr>
          <w:rFonts w:ascii="仿宋" w:eastAsia="仿宋" w:hAnsi="仿宋" w:cs="Times New Roman" w:hint="eastAsia"/>
          <w:sz w:val="24"/>
          <w:szCs w:val="24"/>
        </w:rPr>
        <w:t>、</w:t>
      </w:r>
      <w:r w:rsidRPr="003B0C5A">
        <w:rPr>
          <w:rFonts w:ascii="仿宋" w:eastAsia="仿宋" w:hAnsi="仿宋" w:cs="Times New Roman"/>
          <w:sz w:val="24"/>
          <w:szCs w:val="24"/>
        </w:rPr>
        <w:t>K+</w:t>
      </w:r>
      <w:r w:rsidRPr="003B0C5A">
        <w:rPr>
          <w:rFonts w:ascii="仿宋" w:eastAsia="仿宋" w:hAnsi="仿宋" w:cs="Times New Roman" w:hint="eastAsia"/>
          <w:sz w:val="24"/>
          <w:szCs w:val="24"/>
        </w:rPr>
        <w:t>、Ca2+等9种水溶性离子，元素碳（</w:t>
      </w:r>
      <w:r w:rsidRPr="003B0C5A">
        <w:rPr>
          <w:rFonts w:ascii="仿宋" w:eastAsia="仿宋" w:hAnsi="仿宋" w:cs="Times New Roman"/>
          <w:sz w:val="24"/>
          <w:szCs w:val="24"/>
        </w:rPr>
        <w:t>EC</w:t>
      </w:r>
      <w:r w:rsidRPr="003B0C5A">
        <w:rPr>
          <w:rFonts w:ascii="仿宋" w:eastAsia="仿宋" w:hAnsi="仿宋" w:cs="Times New Roman" w:hint="eastAsia"/>
          <w:sz w:val="24"/>
          <w:szCs w:val="24"/>
        </w:rPr>
        <w:t>）和有机碳（</w:t>
      </w:r>
      <w:r w:rsidRPr="003B0C5A">
        <w:rPr>
          <w:rFonts w:ascii="仿宋" w:eastAsia="仿宋" w:hAnsi="仿宋" w:cs="Times New Roman"/>
          <w:sz w:val="24"/>
          <w:szCs w:val="24"/>
        </w:rPr>
        <w:t>OC</w:t>
      </w:r>
      <w:r w:rsidRPr="003B0C5A">
        <w:rPr>
          <w:rFonts w:ascii="仿宋" w:eastAsia="仿宋" w:hAnsi="仿宋" w:cs="Times New Roman" w:hint="eastAsia"/>
          <w:sz w:val="24"/>
          <w:szCs w:val="24"/>
        </w:rPr>
        <w:t>）。</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④多环芳烃分析：石英滤膜样品用于分析16种多环芳烃，包括：</w:t>
      </w:r>
      <w:proofErr w:type="gramStart"/>
      <w:r w:rsidRPr="003B0C5A">
        <w:rPr>
          <w:rFonts w:ascii="仿宋" w:eastAsia="仿宋" w:hAnsi="仿宋" w:cs="Times New Roman" w:hint="eastAsia"/>
          <w:sz w:val="24"/>
          <w:szCs w:val="24"/>
        </w:rPr>
        <w:t>萘</w:t>
      </w:r>
      <w:proofErr w:type="gramEnd"/>
      <w:r w:rsidRPr="003B0C5A">
        <w:rPr>
          <w:rFonts w:ascii="仿宋" w:eastAsia="仿宋" w:hAnsi="仿宋" w:cs="Times New Roman" w:hint="eastAsia"/>
          <w:sz w:val="24"/>
          <w:szCs w:val="24"/>
        </w:rPr>
        <w:t>、</w:t>
      </w:r>
      <w:proofErr w:type="gramStart"/>
      <w:r w:rsidRPr="003B0C5A">
        <w:rPr>
          <w:rFonts w:ascii="仿宋" w:eastAsia="仿宋" w:hAnsi="仿宋" w:cs="Times New Roman" w:hint="eastAsia"/>
          <w:sz w:val="24"/>
          <w:szCs w:val="24"/>
        </w:rPr>
        <w:t>苊</w:t>
      </w:r>
      <w:proofErr w:type="gramEnd"/>
      <w:r w:rsidRPr="003B0C5A">
        <w:rPr>
          <w:rFonts w:ascii="仿宋" w:eastAsia="仿宋" w:hAnsi="仿宋" w:cs="Times New Roman" w:hint="eastAsia"/>
          <w:sz w:val="24"/>
          <w:szCs w:val="24"/>
        </w:rPr>
        <w:t>烯、</w:t>
      </w:r>
      <w:proofErr w:type="gramStart"/>
      <w:r w:rsidRPr="003B0C5A">
        <w:rPr>
          <w:rFonts w:ascii="仿宋" w:eastAsia="仿宋" w:hAnsi="仿宋" w:cs="Times New Roman" w:hint="eastAsia"/>
          <w:sz w:val="24"/>
          <w:szCs w:val="24"/>
        </w:rPr>
        <w:t>苊</w:t>
      </w:r>
      <w:proofErr w:type="gramEnd"/>
      <w:r w:rsidRPr="003B0C5A">
        <w:rPr>
          <w:rFonts w:ascii="仿宋" w:eastAsia="仿宋" w:hAnsi="仿宋" w:cs="Times New Roman" w:hint="eastAsia"/>
          <w:sz w:val="24"/>
          <w:szCs w:val="24"/>
        </w:rPr>
        <w:t>、</w:t>
      </w:r>
      <w:proofErr w:type="gramStart"/>
      <w:r w:rsidRPr="003B0C5A">
        <w:rPr>
          <w:rFonts w:ascii="仿宋" w:eastAsia="仿宋" w:hAnsi="仿宋" w:cs="Times New Roman" w:hint="eastAsia"/>
          <w:sz w:val="24"/>
          <w:szCs w:val="24"/>
        </w:rPr>
        <w:t>芴</w:t>
      </w:r>
      <w:proofErr w:type="gramEnd"/>
      <w:r w:rsidRPr="003B0C5A">
        <w:rPr>
          <w:rFonts w:ascii="仿宋" w:eastAsia="仿宋" w:hAnsi="仿宋" w:cs="Times New Roman" w:hint="eastAsia"/>
          <w:sz w:val="24"/>
          <w:szCs w:val="24"/>
        </w:rPr>
        <w:t>，菲、</w:t>
      </w:r>
      <w:proofErr w:type="gramStart"/>
      <w:r w:rsidRPr="003B0C5A">
        <w:rPr>
          <w:rFonts w:ascii="仿宋" w:eastAsia="仿宋" w:hAnsi="仿宋" w:cs="Times New Roman" w:hint="eastAsia"/>
          <w:sz w:val="24"/>
          <w:szCs w:val="24"/>
        </w:rPr>
        <w:t>蒽</w:t>
      </w:r>
      <w:proofErr w:type="gramEnd"/>
      <w:r w:rsidRPr="003B0C5A">
        <w:rPr>
          <w:rFonts w:ascii="仿宋" w:eastAsia="仿宋" w:hAnsi="仿宋" w:cs="Times New Roman" w:hint="eastAsia"/>
          <w:sz w:val="24"/>
          <w:szCs w:val="24"/>
        </w:rPr>
        <w:t>、</w:t>
      </w:r>
      <w:proofErr w:type="gramStart"/>
      <w:r w:rsidRPr="003B0C5A">
        <w:rPr>
          <w:rFonts w:ascii="仿宋" w:eastAsia="仿宋" w:hAnsi="仿宋" w:cs="Times New Roman" w:hint="eastAsia"/>
          <w:sz w:val="24"/>
          <w:szCs w:val="24"/>
        </w:rPr>
        <w:t>荧蒽</w:t>
      </w:r>
      <w:proofErr w:type="gramEnd"/>
      <w:r w:rsidRPr="003B0C5A">
        <w:rPr>
          <w:rFonts w:ascii="仿宋" w:eastAsia="仿宋" w:hAnsi="仿宋" w:cs="Times New Roman" w:hint="eastAsia"/>
          <w:sz w:val="24"/>
          <w:szCs w:val="24"/>
        </w:rPr>
        <w:t>、</w:t>
      </w:r>
      <w:proofErr w:type="gramStart"/>
      <w:r w:rsidRPr="003B0C5A">
        <w:rPr>
          <w:rFonts w:ascii="仿宋" w:eastAsia="仿宋" w:hAnsi="仿宋" w:cs="Times New Roman" w:hint="eastAsia"/>
          <w:sz w:val="24"/>
          <w:szCs w:val="24"/>
        </w:rPr>
        <w:t>芘</w:t>
      </w:r>
      <w:proofErr w:type="gramEnd"/>
      <w:r w:rsidRPr="003B0C5A">
        <w:rPr>
          <w:rFonts w:ascii="仿宋" w:eastAsia="仿宋" w:hAnsi="仿宋" w:cs="Times New Roman" w:hint="eastAsia"/>
          <w:sz w:val="24"/>
          <w:szCs w:val="24"/>
        </w:rPr>
        <w:t xml:space="preserve">、苯并[b] </w:t>
      </w:r>
      <w:proofErr w:type="gramStart"/>
      <w:r w:rsidRPr="003B0C5A">
        <w:rPr>
          <w:rFonts w:ascii="仿宋" w:eastAsia="仿宋" w:hAnsi="仿宋" w:cs="Times New Roman" w:hint="eastAsia"/>
          <w:sz w:val="24"/>
          <w:szCs w:val="24"/>
        </w:rPr>
        <w:t>荧蒽</w:t>
      </w:r>
      <w:proofErr w:type="gramEnd"/>
      <w:r w:rsidRPr="003B0C5A">
        <w:rPr>
          <w:rFonts w:ascii="仿宋" w:eastAsia="仿宋" w:hAnsi="仿宋" w:cs="Times New Roman" w:hint="eastAsia"/>
          <w:sz w:val="24"/>
          <w:szCs w:val="24"/>
        </w:rPr>
        <w:t xml:space="preserve">、苯并[k] </w:t>
      </w:r>
      <w:proofErr w:type="gramStart"/>
      <w:r w:rsidRPr="003B0C5A">
        <w:rPr>
          <w:rFonts w:ascii="仿宋" w:eastAsia="仿宋" w:hAnsi="仿宋" w:cs="Times New Roman" w:hint="eastAsia"/>
          <w:sz w:val="24"/>
          <w:szCs w:val="24"/>
        </w:rPr>
        <w:t>荧蒽</w:t>
      </w:r>
      <w:proofErr w:type="gramEnd"/>
      <w:r w:rsidRPr="003B0C5A">
        <w:rPr>
          <w:rFonts w:ascii="仿宋" w:eastAsia="仿宋" w:hAnsi="仿宋" w:cs="Times New Roman" w:hint="eastAsia"/>
          <w:sz w:val="24"/>
          <w:szCs w:val="24"/>
        </w:rPr>
        <w:t xml:space="preserve">、苯并[a] </w:t>
      </w:r>
      <w:proofErr w:type="gramStart"/>
      <w:r w:rsidRPr="003B0C5A">
        <w:rPr>
          <w:rFonts w:ascii="仿宋" w:eastAsia="仿宋" w:hAnsi="仿宋" w:cs="Times New Roman" w:hint="eastAsia"/>
          <w:sz w:val="24"/>
          <w:szCs w:val="24"/>
        </w:rPr>
        <w:t>芘</w:t>
      </w:r>
      <w:proofErr w:type="gramEnd"/>
      <w:r w:rsidRPr="003B0C5A">
        <w:rPr>
          <w:rFonts w:ascii="仿宋" w:eastAsia="仿宋" w:hAnsi="仿宋" w:cs="Times New Roman" w:hint="eastAsia"/>
          <w:sz w:val="24"/>
          <w:szCs w:val="24"/>
        </w:rPr>
        <w:t>、2苯并[a，h]苝和</w:t>
      </w:r>
      <w:proofErr w:type="gramStart"/>
      <w:r w:rsidRPr="003B0C5A">
        <w:rPr>
          <w:rFonts w:ascii="仿宋" w:eastAsia="仿宋" w:hAnsi="仿宋" w:cs="Times New Roman" w:hint="eastAsia"/>
          <w:sz w:val="24"/>
          <w:szCs w:val="24"/>
        </w:rPr>
        <w:t>茚</w:t>
      </w:r>
      <w:proofErr w:type="gramEnd"/>
      <w:r w:rsidRPr="003B0C5A">
        <w:rPr>
          <w:rFonts w:ascii="仿宋" w:eastAsia="仿宋" w:hAnsi="仿宋" w:cs="Times New Roman" w:hint="eastAsia"/>
          <w:sz w:val="24"/>
          <w:szCs w:val="24"/>
        </w:rPr>
        <w:t xml:space="preserve">[1,2,3-cd] </w:t>
      </w:r>
      <w:proofErr w:type="gramStart"/>
      <w:r w:rsidRPr="003B0C5A">
        <w:rPr>
          <w:rFonts w:ascii="仿宋" w:eastAsia="仿宋" w:hAnsi="仿宋" w:cs="Times New Roman" w:hint="eastAsia"/>
          <w:sz w:val="24"/>
          <w:szCs w:val="24"/>
        </w:rPr>
        <w:t>芘</w:t>
      </w:r>
      <w:proofErr w:type="gramEnd"/>
      <w:r w:rsidRPr="003B0C5A">
        <w:rPr>
          <w:rFonts w:ascii="仿宋" w:eastAsia="仿宋" w:hAnsi="仿宋" w:cs="Times New Roman" w:hint="eastAsia"/>
          <w:sz w:val="24"/>
          <w:szCs w:val="24"/>
        </w:rPr>
        <w:t>。</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⑤样品前处理方法：颗粒物受体样品的前处理方法按照《环境空气颗粒物源解析监测技术方法指南》（试行）中的相关要求进行。</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⑥样品分析方法：无机元素分析采用</w:t>
      </w:r>
      <w:bookmarkStart w:id="1" w:name="_Hlk39065721"/>
      <w:r w:rsidRPr="003B0C5A">
        <w:rPr>
          <w:rFonts w:ascii="仿宋" w:eastAsia="仿宋" w:hAnsi="仿宋" w:cs="Times New Roman" w:hint="eastAsia"/>
          <w:sz w:val="24"/>
          <w:szCs w:val="24"/>
        </w:rPr>
        <w:t>电感耦合等离子体原子发射光谱（</w:t>
      </w:r>
      <w:r w:rsidRPr="003B0C5A">
        <w:rPr>
          <w:rFonts w:ascii="仿宋" w:eastAsia="仿宋" w:hAnsi="仿宋" w:cs="Times New Roman"/>
          <w:sz w:val="24"/>
          <w:szCs w:val="24"/>
        </w:rPr>
        <w:t>ICP-AES</w:t>
      </w:r>
      <w:r w:rsidRPr="003B0C5A">
        <w:rPr>
          <w:rFonts w:ascii="仿宋" w:eastAsia="仿宋" w:hAnsi="仿宋" w:cs="Times New Roman" w:hint="eastAsia"/>
          <w:sz w:val="24"/>
          <w:szCs w:val="24"/>
        </w:rPr>
        <w:t>）或电感耦合等离子体质谱（</w:t>
      </w:r>
      <w:r w:rsidRPr="003B0C5A">
        <w:rPr>
          <w:rFonts w:ascii="仿宋" w:eastAsia="仿宋" w:hAnsi="仿宋" w:cs="Times New Roman"/>
          <w:sz w:val="24"/>
          <w:szCs w:val="24"/>
        </w:rPr>
        <w:t>ICP-MS</w:t>
      </w:r>
      <w:r w:rsidRPr="003B0C5A">
        <w:rPr>
          <w:rFonts w:ascii="仿宋" w:eastAsia="仿宋" w:hAnsi="仿宋" w:cs="Times New Roman" w:hint="eastAsia"/>
          <w:sz w:val="24"/>
          <w:szCs w:val="24"/>
        </w:rPr>
        <w:t>）</w:t>
      </w:r>
      <w:bookmarkEnd w:id="1"/>
      <w:r w:rsidRPr="003B0C5A">
        <w:rPr>
          <w:rFonts w:ascii="仿宋" w:eastAsia="仿宋" w:hAnsi="仿宋" w:cs="Times New Roman" w:hint="eastAsia"/>
          <w:sz w:val="24"/>
          <w:szCs w:val="24"/>
        </w:rPr>
        <w:t>；水溶性离子分析采用离子色谱法；</w:t>
      </w:r>
      <w:r w:rsidRPr="003B0C5A">
        <w:rPr>
          <w:rFonts w:ascii="仿宋" w:eastAsia="仿宋" w:hAnsi="仿宋" w:cs="Times New Roman"/>
          <w:sz w:val="24"/>
          <w:szCs w:val="24"/>
        </w:rPr>
        <w:t>OC</w:t>
      </w:r>
      <w:r w:rsidRPr="003B0C5A">
        <w:rPr>
          <w:rFonts w:ascii="仿宋" w:eastAsia="仿宋" w:hAnsi="仿宋" w:cs="Times New Roman" w:hint="eastAsia"/>
          <w:sz w:val="24"/>
          <w:szCs w:val="24"/>
        </w:rPr>
        <w:t>和</w:t>
      </w:r>
      <w:r w:rsidRPr="003B0C5A">
        <w:rPr>
          <w:rFonts w:ascii="仿宋" w:eastAsia="仿宋" w:hAnsi="仿宋" w:cs="Times New Roman"/>
          <w:sz w:val="24"/>
          <w:szCs w:val="24"/>
        </w:rPr>
        <w:t>EC</w:t>
      </w:r>
      <w:r w:rsidRPr="003B0C5A">
        <w:rPr>
          <w:rFonts w:ascii="仿宋" w:eastAsia="仿宋" w:hAnsi="仿宋" w:cs="Times New Roman" w:hint="eastAsia"/>
          <w:sz w:val="24"/>
          <w:szCs w:val="24"/>
        </w:rPr>
        <w:t>分析采用热光分析法；多环芳烃分析采用</w:t>
      </w:r>
      <w:bookmarkStart w:id="2" w:name="_Hlk39065896"/>
      <w:r w:rsidRPr="003B0C5A">
        <w:rPr>
          <w:rFonts w:ascii="仿宋" w:eastAsia="仿宋" w:hAnsi="仿宋" w:cs="Times New Roman"/>
          <w:sz w:val="24"/>
          <w:szCs w:val="24"/>
        </w:rPr>
        <w:t>GC-MS</w:t>
      </w:r>
      <w:bookmarkEnd w:id="2"/>
      <w:r w:rsidRPr="003B0C5A">
        <w:rPr>
          <w:rFonts w:ascii="仿宋" w:eastAsia="仿宋" w:hAnsi="仿宋" w:cs="Times New Roman" w:hint="eastAsia"/>
          <w:sz w:val="24"/>
          <w:szCs w:val="24"/>
        </w:rPr>
        <w:t>方法。</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⑦样品分析质量控制：样品前处理和分析过程中质量控制应严格按照《环境空气颗粒物来源解析监测方法指南（试行）》（第二版）中的要求进行，并提供质</w:t>
      </w:r>
      <w:proofErr w:type="gramStart"/>
      <w:r w:rsidRPr="003B0C5A">
        <w:rPr>
          <w:rFonts w:ascii="仿宋" w:eastAsia="仿宋" w:hAnsi="仿宋" w:cs="Times New Roman" w:hint="eastAsia"/>
          <w:sz w:val="24"/>
          <w:szCs w:val="24"/>
        </w:rPr>
        <w:t>控分析</w:t>
      </w:r>
      <w:proofErr w:type="gramEnd"/>
      <w:r w:rsidRPr="003B0C5A">
        <w:rPr>
          <w:rFonts w:ascii="仿宋" w:eastAsia="仿宋" w:hAnsi="仿宋" w:cs="Times New Roman" w:hint="eastAsia"/>
          <w:sz w:val="24"/>
          <w:szCs w:val="24"/>
        </w:rPr>
        <w:t>报告。</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2.大气颗粒物来源解析</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利用受体模型（化学质量平衡模型（</w:t>
      </w:r>
      <w:r w:rsidRPr="003B0C5A">
        <w:rPr>
          <w:rFonts w:ascii="仿宋" w:eastAsia="仿宋" w:hAnsi="仿宋" w:cs="Times New Roman"/>
          <w:sz w:val="24"/>
          <w:szCs w:val="24"/>
        </w:rPr>
        <w:t>CMB</w:t>
      </w:r>
      <w:r w:rsidRPr="003B0C5A">
        <w:rPr>
          <w:rFonts w:ascii="仿宋" w:eastAsia="仿宋" w:hAnsi="仿宋" w:cs="Times New Roman" w:hint="eastAsia"/>
          <w:sz w:val="24"/>
          <w:szCs w:val="24"/>
        </w:rPr>
        <w:t>）或正定矩阵因子分解法（PMF）），根据颗粒物受体样品化学组分，开展成都市</w:t>
      </w:r>
      <w:r w:rsidRPr="003B0C5A">
        <w:rPr>
          <w:rFonts w:ascii="仿宋" w:eastAsia="仿宋" w:hAnsi="仿宋" w:cs="Times New Roman"/>
          <w:sz w:val="24"/>
          <w:szCs w:val="24"/>
        </w:rPr>
        <w:t>2021</w:t>
      </w:r>
      <w:r w:rsidRPr="003B0C5A">
        <w:rPr>
          <w:rFonts w:ascii="仿宋" w:eastAsia="仿宋" w:hAnsi="仿宋" w:cs="Times New Roman" w:hint="eastAsia"/>
          <w:sz w:val="24"/>
          <w:szCs w:val="24"/>
        </w:rPr>
        <w:t>年不同季节、不同区域以及重污染时段</w:t>
      </w:r>
      <w:r w:rsidRPr="003B0C5A">
        <w:rPr>
          <w:rFonts w:ascii="仿宋" w:eastAsia="仿宋" w:hAnsi="仿宋" w:cs="Times New Roman"/>
          <w:sz w:val="24"/>
          <w:szCs w:val="24"/>
        </w:rPr>
        <w:t>PM10</w:t>
      </w:r>
      <w:r w:rsidRPr="003B0C5A">
        <w:rPr>
          <w:rFonts w:ascii="仿宋" w:eastAsia="仿宋" w:hAnsi="仿宋" w:cs="Times New Roman" w:hint="eastAsia"/>
          <w:sz w:val="24"/>
          <w:szCs w:val="24"/>
        </w:rPr>
        <w:t>和</w:t>
      </w:r>
      <w:r w:rsidRPr="003B0C5A">
        <w:rPr>
          <w:rFonts w:ascii="仿宋" w:eastAsia="仿宋" w:hAnsi="仿宋" w:cs="Times New Roman"/>
          <w:sz w:val="24"/>
          <w:szCs w:val="24"/>
        </w:rPr>
        <w:t>PM2.5</w:t>
      </w:r>
      <w:r w:rsidRPr="003B0C5A">
        <w:rPr>
          <w:rFonts w:ascii="仿宋" w:eastAsia="仿宋" w:hAnsi="仿宋" w:cs="Times New Roman" w:hint="eastAsia"/>
          <w:sz w:val="24"/>
          <w:szCs w:val="24"/>
        </w:rPr>
        <w:t>离线源解析工作，分析大气颗粒物的来源。</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利用受体模型（化学质量平衡模型（CMB）或正定矩阵因子分解法（PMF）），根据颗粒物受体样品化学组分，开展成都市2021年PM2.5在线动态源解析工作，分析大气颗粒物的来源。</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★3.人员配置要求</w:t>
      </w: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109"/>
        <w:gridCol w:w="880"/>
        <w:gridCol w:w="4136"/>
        <w:gridCol w:w="1809"/>
      </w:tblGrid>
      <w:tr w:rsidR="003B0C5A" w:rsidRPr="003B0C5A" w:rsidTr="00B96CA4">
        <w:trPr>
          <w:trHeight w:val="837"/>
          <w:jc w:val="center"/>
        </w:trPr>
        <w:tc>
          <w:tcPr>
            <w:tcW w:w="482"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序号</w:t>
            </w:r>
          </w:p>
        </w:tc>
        <w:tc>
          <w:tcPr>
            <w:tcW w:w="63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岗位</w:t>
            </w:r>
          </w:p>
        </w:tc>
        <w:tc>
          <w:tcPr>
            <w:tcW w:w="50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人数要求</w:t>
            </w:r>
          </w:p>
        </w:tc>
        <w:tc>
          <w:tcPr>
            <w:tcW w:w="2355"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职责</w:t>
            </w:r>
          </w:p>
        </w:tc>
        <w:tc>
          <w:tcPr>
            <w:tcW w:w="1030"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备注</w:t>
            </w:r>
          </w:p>
        </w:tc>
      </w:tr>
      <w:tr w:rsidR="003B0C5A" w:rsidRPr="003B0C5A" w:rsidTr="00B96CA4">
        <w:trPr>
          <w:trHeight w:val="64"/>
          <w:jc w:val="center"/>
        </w:trPr>
        <w:tc>
          <w:tcPr>
            <w:tcW w:w="482"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1</w:t>
            </w:r>
          </w:p>
        </w:tc>
        <w:tc>
          <w:tcPr>
            <w:tcW w:w="63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项目负责人</w:t>
            </w:r>
          </w:p>
        </w:tc>
        <w:tc>
          <w:tcPr>
            <w:tcW w:w="50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1</w:t>
            </w:r>
          </w:p>
        </w:tc>
        <w:tc>
          <w:tcPr>
            <w:tcW w:w="2355" w:type="pct"/>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负责项目的总体推进，包括需求调研、方案设计、文档整理和质量进度等各个环节，以及与采购人沟通协调工作。</w:t>
            </w:r>
          </w:p>
        </w:tc>
        <w:tc>
          <w:tcPr>
            <w:tcW w:w="1030" w:type="pct"/>
            <w:vMerge w:val="restart"/>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1、以上人员不得重复。</w:t>
            </w:r>
          </w:p>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2、需提供实施</w:t>
            </w:r>
            <w:r w:rsidRPr="003B0C5A">
              <w:rPr>
                <w:rFonts w:ascii="仿宋" w:eastAsia="仿宋" w:hAnsi="仿宋" w:cs="宋体" w:hint="eastAsia"/>
                <w:sz w:val="24"/>
                <w:szCs w:val="24"/>
              </w:rPr>
              <w:lastRenderedPageBreak/>
              <w:t>人员名单、身份证复印件、岗位。</w:t>
            </w:r>
          </w:p>
        </w:tc>
      </w:tr>
      <w:tr w:rsidR="003B0C5A" w:rsidRPr="003B0C5A" w:rsidTr="00B96CA4">
        <w:trPr>
          <w:trHeight w:val="768"/>
          <w:jc w:val="center"/>
        </w:trPr>
        <w:tc>
          <w:tcPr>
            <w:tcW w:w="482"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lastRenderedPageBreak/>
              <w:t>2</w:t>
            </w:r>
          </w:p>
        </w:tc>
        <w:tc>
          <w:tcPr>
            <w:tcW w:w="63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技术负责人</w:t>
            </w:r>
          </w:p>
        </w:tc>
        <w:tc>
          <w:tcPr>
            <w:tcW w:w="50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1</w:t>
            </w:r>
          </w:p>
        </w:tc>
        <w:tc>
          <w:tcPr>
            <w:tcW w:w="2355" w:type="pct"/>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对项目技术方面进行整体把控和指导，负责项目的整体技术把关，负责解决项目的技术难点。</w:t>
            </w:r>
          </w:p>
        </w:tc>
        <w:tc>
          <w:tcPr>
            <w:tcW w:w="1030" w:type="pct"/>
            <w:vMerge/>
            <w:vAlign w:val="center"/>
          </w:tcPr>
          <w:p w:rsidR="003B0C5A" w:rsidRPr="003B0C5A" w:rsidRDefault="003B0C5A" w:rsidP="003B0C5A">
            <w:pPr>
              <w:spacing w:line="360" w:lineRule="auto"/>
              <w:rPr>
                <w:rFonts w:ascii="仿宋" w:eastAsia="仿宋" w:hAnsi="仿宋" w:cs="宋体"/>
                <w:sz w:val="24"/>
                <w:szCs w:val="24"/>
              </w:rPr>
            </w:pPr>
          </w:p>
        </w:tc>
      </w:tr>
      <w:tr w:rsidR="003B0C5A" w:rsidRPr="003B0C5A" w:rsidTr="00B96CA4">
        <w:trPr>
          <w:trHeight w:val="768"/>
          <w:jc w:val="center"/>
        </w:trPr>
        <w:tc>
          <w:tcPr>
            <w:tcW w:w="482"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3</w:t>
            </w:r>
          </w:p>
        </w:tc>
        <w:tc>
          <w:tcPr>
            <w:tcW w:w="63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技术服务人员</w:t>
            </w:r>
          </w:p>
        </w:tc>
        <w:tc>
          <w:tcPr>
            <w:tcW w:w="501" w:type="pct"/>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3</w:t>
            </w:r>
          </w:p>
        </w:tc>
        <w:tc>
          <w:tcPr>
            <w:tcW w:w="2355" w:type="pct"/>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保障项目工作内容和其它要求的完成。</w:t>
            </w:r>
          </w:p>
        </w:tc>
        <w:tc>
          <w:tcPr>
            <w:tcW w:w="1030" w:type="pct"/>
            <w:vMerge/>
            <w:vAlign w:val="center"/>
          </w:tcPr>
          <w:p w:rsidR="003B0C5A" w:rsidRPr="003B0C5A" w:rsidRDefault="003B0C5A" w:rsidP="003B0C5A">
            <w:pPr>
              <w:spacing w:line="360" w:lineRule="auto"/>
              <w:rPr>
                <w:rFonts w:ascii="仿宋" w:eastAsia="仿宋" w:hAnsi="仿宋" w:cs="宋体"/>
                <w:sz w:val="24"/>
                <w:szCs w:val="24"/>
              </w:rPr>
            </w:pPr>
          </w:p>
        </w:tc>
      </w:tr>
    </w:tbl>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备注：</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供应商需单独提供承诺函并加盖供应商公章，并作为合同条款的一部分。</w:t>
      </w:r>
      <w:proofErr w:type="gramStart"/>
      <w:r w:rsidRPr="003B0C5A">
        <w:rPr>
          <w:rFonts w:ascii="仿宋" w:eastAsia="仿宋" w:hAnsi="仿宋" w:cs="宋体" w:hint="eastAsia"/>
          <w:sz w:val="24"/>
          <w:szCs w:val="24"/>
        </w:rPr>
        <w:t>承诺函应包括</w:t>
      </w:r>
      <w:proofErr w:type="gramEnd"/>
      <w:r w:rsidRPr="003B0C5A">
        <w:rPr>
          <w:rFonts w:ascii="仿宋" w:eastAsia="仿宋" w:hAnsi="仿宋" w:cs="宋体" w:hint="eastAsia"/>
          <w:sz w:val="24"/>
          <w:szCs w:val="24"/>
        </w:rPr>
        <w:t>以下内容：</w:t>
      </w:r>
    </w:p>
    <w:p w:rsidR="003B0C5A" w:rsidRPr="003B0C5A" w:rsidRDefault="003B0C5A" w:rsidP="003B0C5A">
      <w:pPr>
        <w:spacing w:line="360" w:lineRule="auto"/>
        <w:ind w:firstLineChars="200" w:firstLine="480"/>
        <w:rPr>
          <w:rFonts w:ascii="仿宋" w:eastAsia="仿宋" w:hAnsi="仿宋" w:cs="宋体"/>
          <w:sz w:val="24"/>
          <w:szCs w:val="24"/>
        </w:rPr>
      </w:pPr>
      <w:r w:rsidRPr="003B0C5A">
        <w:rPr>
          <w:rFonts w:ascii="仿宋" w:eastAsia="仿宋" w:hAnsi="仿宋" w:cs="宋体" w:hint="eastAsia"/>
          <w:sz w:val="24"/>
          <w:szCs w:val="24"/>
        </w:rPr>
        <w:t>本项目服务人员不得更换，如出现不可抗力原因需更换的，必须向采购人提交书面申请，并详细说明更换的原因、替代人员的简历等，经采购人同意后，才能更换。</w:t>
      </w:r>
    </w:p>
    <w:p w:rsidR="003B0C5A" w:rsidRPr="003B0C5A" w:rsidRDefault="003B0C5A" w:rsidP="003B0C5A">
      <w:pPr>
        <w:spacing w:line="276" w:lineRule="auto"/>
        <w:outlineLvl w:val="2"/>
        <w:rPr>
          <w:rFonts w:ascii="仿宋" w:eastAsia="仿宋" w:hAnsi="仿宋" w:cs="Times New Roman"/>
          <w:b/>
          <w:sz w:val="24"/>
          <w:szCs w:val="24"/>
        </w:rPr>
      </w:pPr>
      <w:r w:rsidRPr="003B0C5A">
        <w:rPr>
          <w:rFonts w:ascii="仿宋" w:eastAsia="仿宋" w:hAnsi="仿宋" w:cs="Times New Roman" w:hint="eastAsia"/>
          <w:b/>
          <w:sz w:val="24"/>
          <w:szCs w:val="24"/>
        </w:rPr>
        <w:t>0</w:t>
      </w:r>
      <w:r w:rsidRPr="003B0C5A">
        <w:rPr>
          <w:rFonts w:ascii="仿宋" w:eastAsia="仿宋" w:hAnsi="仿宋" w:cs="Times New Roman"/>
          <w:b/>
          <w:sz w:val="24"/>
          <w:szCs w:val="24"/>
        </w:rPr>
        <w:t>2</w:t>
      </w:r>
      <w:r w:rsidRPr="003B0C5A">
        <w:rPr>
          <w:rFonts w:ascii="仿宋" w:eastAsia="仿宋" w:hAnsi="仿宋" w:cs="Times New Roman" w:hint="eastAsia"/>
          <w:b/>
          <w:sz w:val="24"/>
          <w:szCs w:val="24"/>
        </w:rPr>
        <w:t>包</w:t>
      </w:r>
      <w:r w:rsidRPr="003B0C5A">
        <w:rPr>
          <w:rFonts w:ascii="仿宋" w:eastAsia="仿宋" w:hAnsi="仿宋" w:cs="Times New Roman"/>
          <w:b/>
          <w:sz w:val="24"/>
          <w:szCs w:val="24"/>
        </w:rPr>
        <w:t>：</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sz w:val="24"/>
          <w:szCs w:val="24"/>
        </w:rPr>
        <w:t>1.</w:t>
      </w:r>
      <w:r w:rsidRPr="003B0C5A">
        <w:rPr>
          <w:rFonts w:ascii="仿宋" w:eastAsia="仿宋" w:hAnsi="仿宋" w:cs="Times New Roman" w:hint="eastAsia"/>
          <w:sz w:val="24"/>
          <w:szCs w:val="24"/>
        </w:rPr>
        <w:t>对2021年离线罐采样样品</w:t>
      </w:r>
      <w:r w:rsidRPr="003B0C5A">
        <w:rPr>
          <w:rFonts w:ascii="仿宋" w:eastAsia="仿宋" w:hAnsi="仿宋" w:cs="Times New Roman"/>
          <w:sz w:val="24"/>
          <w:szCs w:val="24"/>
        </w:rPr>
        <w:t>VOCs</w:t>
      </w:r>
      <w:r w:rsidRPr="003B0C5A">
        <w:rPr>
          <w:rFonts w:ascii="仿宋" w:eastAsia="仿宋" w:hAnsi="仿宋" w:cs="Times New Roman" w:hint="eastAsia"/>
          <w:sz w:val="24"/>
          <w:szCs w:val="24"/>
        </w:rPr>
        <w:t>数据进行质控，工作量为200-300个罐采样数据。</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sz w:val="24"/>
          <w:szCs w:val="24"/>
        </w:rPr>
        <w:t>2.</w:t>
      </w:r>
      <w:r w:rsidRPr="003B0C5A">
        <w:rPr>
          <w:rFonts w:ascii="仿宋" w:eastAsia="仿宋" w:hAnsi="仿宋" w:cs="Times New Roman" w:hint="eastAsia"/>
          <w:sz w:val="24"/>
          <w:szCs w:val="24"/>
        </w:rPr>
        <w:t>充分利用2021年观测数据（含离线罐采样部分）进行多指标联动分析，</w:t>
      </w:r>
      <w:r w:rsidRPr="003B0C5A">
        <w:rPr>
          <w:rFonts w:ascii="仿宋" w:eastAsia="仿宋" w:hAnsi="仿宋" w:cs="Times New Roman"/>
          <w:sz w:val="24"/>
          <w:szCs w:val="24"/>
        </w:rPr>
        <w:t>聚焦PM2.5和O3污染，通过敏感性分析等方法，研究成都市VOCs和NOx的</w:t>
      </w:r>
      <w:proofErr w:type="gramStart"/>
      <w:r w:rsidRPr="003B0C5A">
        <w:rPr>
          <w:rFonts w:ascii="仿宋" w:eastAsia="仿宋" w:hAnsi="仿宋" w:cs="Times New Roman"/>
          <w:sz w:val="24"/>
          <w:szCs w:val="24"/>
        </w:rPr>
        <w:t>最佳减</w:t>
      </w:r>
      <w:proofErr w:type="gramEnd"/>
      <w:r w:rsidRPr="003B0C5A">
        <w:rPr>
          <w:rFonts w:ascii="仿宋" w:eastAsia="仿宋" w:hAnsi="仿宋" w:cs="Times New Roman"/>
          <w:sz w:val="24"/>
          <w:szCs w:val="24"/>
        </w:rPr>
        <w:t>排比例和减排路径。</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sz w:val="24"/>
          <w:szCs w:val="24"/>
        </w:rPr>
        <w:t>3.系统分析成都市VOCs和NOx行业分布特征、空间分布特征、组分构成特征，</w:t>
      </w:r>
      <w:r w:rsidRPr="003B0C5A">
        <w:rPr>
          <w:rFonts w:ascii="仿宋" w:eastAsia="仿宋" w:hAnsi="仿宋" w:cs="Times New Roman" w:hint="eastAsia"/>
          <w:sz w:val="24"/>
          <w:szCs w:val="24"/>
        </w:rPr>
        <w:t>在</w:t>
      </w:r>
      <w:r w:rsidRPr="003B0C5A">
        <w:rPr>
          <w:rFonts w:ascii="仿宋" w:eastAsia="仿宋" w:hAnsi="仿宋" w:cs="Times New Roman"/>
          <w:sz w:val="24"/>
          <w:szCs w:val="24"/>
        </w:rPr>
        <w:t>成都市大气复合污染关键影响物种识别的基础上，对成都市VOCs和NOx的控制组分、控制行业、控制空间进行优先序分析。</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sz w:val="24"/>
          <w:szCs w:val="24"/>
        </w:rPr>
        <w:t>4.结合成都市产业规划及已有经验实际，制定成都市PM2.5和O3协同控制策略，以明晰成都平原城市群和四川盆地特殊气候条件下成都市的臭氧光化学反应敏感性及多污染物协同控制效果评估研究，为臭氧源解析和臭氧与PM2.5协同控制提供技术支撑。</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★5.人员</w:t>
      </w:r>
      <w:r w:rsidRPr="003B0C5A">
        <w:rPr>
          <w:rFonts w:ascii="仿宋" w:eastAsia="仿宋" w:hAnsi="仿宋" w:cs="Times New Roman"/>
          <w:sz w:val="24"/>
          <w:szCs w:val="24"/>
        </w:rPr>
        <w:t>要求</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139"/>
        <w:gridCol w:w="850"/>
        <w:gridCol w:w="4650"/>
        <w:gridCol w:w="1776"/>
      </w:tblGrid>
      <w:tr w:rsidR="003B0C5A" w:rsidRPr="003B0C5A" w:rsidTr="00B96CA4">
        <w:trPr>
          <w:trHeight w:val="837"/>
          <w:jc w:val="center"/>
        </w:trPr>
        <w:tc>
          <w:tcPr>
            <w:tcW w:w="724"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序号</w:t>
            </w:r>
          </w:p>
        </w:tc>
        <w:tc>
          <w:tcPr>
            <w:tcW w:w="1139"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岗位</w:t>
            </w:r>
          </w:p>
        </w:tc>
        <w:tc>
          <w:tcPr>
            <w:tcW w:w="850"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人数要求</w:t>
            </w:r>
          </w:p>
        </w:tc>
        <w:tc>
          <w:tcPr>
            <w:tcW w:w="4650"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职责</w:t>
            </w:r>
          </w:p>
        </w:tc>
        <w:tc>
          <w:tcPr>
            <w:tcW w:w="1776"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备注</w:t>
            </w:r>
          </w:p>
        </w:tc>
      </w:tr>
      <w:tr w:rsidR="003B0C5A" w:rsidRPr="003B0C5A" w:rsidTr="00B96CA4">
        <w:trPr>
          <w:trHeight w:val="1823"/>
          <w:jc w:val="center"/>
        </w:trPr>
        <w:tc>
          <w:tcPr>
            <w:tcW w:w="724"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1</w:t>
            </w:r>
          </w:p>
        </w:tc>
        <w:tc>
          <w:tcPr>
            <w:tcW w:w="1139"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技术总负责人</w:t>
            </w:r>
          </w:p>
        </w:tc>
        <w:tc>
          <w:tcPr>
            <w:tcW w:w="850"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1</w:t>
            </w:r>
          </w:p>
        </w:tc>
        <w:tc>
          <w:tcPr>
            <w:tcW w:w="4650" w:type="dxa"/>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总体负责把控项目需求调研、方案设计、研究分析、文档整理、质量进度、培训、交付及验收等各个环节，以及与采购人等相关单位的沟通协调工作。对项目技术方面进行整体把控和指导，负责项目的整体技术</w:t>
            </w:r>
            <w:r w:rsidRPr="003B0C5A">
              <w:rPr>
                <w:rFonts w:ascii="仿宋" w:eastAsia="仿宋" w:hAnsi="仿宋" w:cs="宋体" w:hint="eastAsia"/>
                <w:sz w:val="24"/>
                <w:szCs w:val="24"/>
              </w:rPr>
              <w:lastRenderedPageBreak/>
              <w:t>把关，负责解决项目的技术难点和风险点。</w:t>
            </w:r>
          </w:p>
        </w:tc>
        <w:tc>
          <w:tcPr>
            <w:tcW w:w="1776" w:type="dxa"/>
            <w:vMerge w:val="restart"/>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lastRenderedPageBreak/>
              <w:t>1、以上人员不得重复。</w:t>
            </w:r>
          </w:p>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2、需提供实施人员名单、身份证复印件、岗</w:t>
            </w:r>
            <w:r w:rsidRPr="003B0C5A">
              <w:rPr>
                <w:rFonts w:ascii="仿宋" w:eastAsia="仿宋" w:hAnsi="仿宋" w:cs="宋体" w:hint="eastAsia"/>
                <w:sz w:val="24"/>
                <w:szCs w:val="24"/>
              </w:rPr>
              <w:lastRenderedPageBreak/>
              <w:t>位。</w:t>
            </w:r>
          </w:p>
        </w:tc>
      </w:tr>
      <w:tr w:rsidR="003B0C5A" w:rsidRPr="003B0C5A" w:rsidTr="00B96CA4">
        <w:trPr>
          <w:trHeight w:val="837"/>
          <w:jc w:val="center"/>
        </w:trPr>
        <w:tc>
          <w:tcPr>
            <w:tcW w:w="724"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lastRenderedPageBreak/>
              <w:t>2</w:t>
            </w:r>
          </w:p>
        </w:tc>
        <w:tc>
          <w:tcPr>
            <w:tcW w:w="1139"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技术服务人员</w:t>
            </w:r>
          </w:p>
        </w:tc>
        <w:tc>
          <w:tcPr>
            <w:tcW w:w="850"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3</w:t>
            </w:r>
          </w:p>
        </w:tc>
        <w:tc>
          <w:tcPr>
            <w:tcW w:w="4650" w:type="dxa"/>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sz w:val="24"/>
                <w:szCs w:val="24"/>
              </w:rPr>
              <w:t>保证按时按质完成项目设计、方案落实、成果整理及应用等各项服务要求，确保同一问题不会再反复出现。</w:t>
            </w:r>
          </w:p>
        </w:tc>
        <w:tc>
          <w:tcPr>
            <w:tcW w:w="1776" w:type="dxa"/>
            <w:vMerge/>
            <w:vAlign w:val="center"/>
          </w:tcPr>
          <w:p w:rsidR="003B0C5A" w:rsidRPr="003B0C5A" w:rsidRDefault="003B0C5A" w:rsidP="003B0C5A">
            <w:pPr>
              <w:spacing w:line="360" w:lineRule="auto"/>
              <w:rPr>
                <w:rFonts w:ascii="仿宋" w:eastAsia="仿宋" w:hAnsi="仿宋" w:cs="宋体"/>
                <w:sz w:val="24"/>
                <w:szCs w:val="24"/>
              </w:rPr>
            </w:pPr>
          </w:p>
        </w:tc>
      </w:tr>
      <w:tr w:rsidR="003B0C5A" w:rsidRPr="003B0C5A" w:rsidTr="00B96CA4">
        <w:trPr>
          <w:trHeight w:val="64"/>
          <w:jc w:val="center"/>
        </w:trPr>
        <w:tc>
          <w:tcPr>
            <w:tcW w:w="724"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3</w:t>
            </w:r>
          </w:p>
        </w:tc>
        <w:tc>
          <w:tcPr>
            <w:tcW w:w="1139"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联络专员</w:t>
            </w:r>
          </w:p>
        </w:tc>
        <w:tc>
          <w:tcPr>
            <w:tcW w:w="850" w:type="dxa"/>
            <w:vAlign w:val="center"/>
          </w:tcPr>
          <w:p w:rsidR="003B0C5A" w:rsidRPr="003B0C5A" w:rsidRDefault="003B0C5A" w:rsidP="003B0C5A">
            <w:pPr>
              <w:spacing w:line="360" w:lineRule="auto"/>
              <w:jc w:val="center"/>
              <w:rPr>
                <w:rFonts w:ascii="仿宋" w:eastAsia="仿宋" w:hAnsi="仿宋" w:cs="宋体"/>
                <w:sz w:val="24"/>
                <w:szCs w:val="24"/>
              </w:rPr>
            </w:pPr>
            <w:r w:rsidRPr="003B0C5A">
              <w:rPr>
                <w:rFonts w:ascii="仿宋" w:eastAsia="仿宋" w:hAnsi="仿宋" w:cs="宋体" w:hint="eastAsia"/>
                <w:sz w:val="24"/>
                <w:szCs w:val="24"/>
              </w:rPr>
              <w:t>1</w:t>
            </w:r>
          </w:p>
        </w:tc>
        <w:tc>
          <w:tcPr>
            <w:tcW w:w="4650" w:type="dxa"/>
            <w:vAlign w:val="center"/>
          </w:tcPr>
          <w:p w:rsidR="003B0C5A" w:rsidRPr="003B0C5A" w:rsidRDefault="003B0C5A" w:rsidP="003B0C5A">
            <w:pPr>
              <w:spacing w:line="360" w:lineRule="auto"/>
              <w:rPr>
                <w:rFonts w:ascii="仿宋" w:eastAsia="仿宋" w:hAnsi="仿宋" w:cs="宋体"/>
                <w:sz w:val="24"/>
                <w:szCs w:val="24"/>
              </w:rPr>
            </w:pPr>
            <w:r w:rsidRPr="003B0C5A">
              <w:rPr>
                <w:rFonts w:ascii="仿宋" w:eastAsia="仿宋" w:hAnsi="仿宋" w:cs="宋体" w:hint="eastAsia"/>
                <w:bCs/>
                <w:kern w:val="44"/>
                <w:sz w:val="24"/>
                <w:szCs w:val="24"/>
              </w:rPr>
              <w:t>服务期间，负责与采购人就有关事宜进行专人对接。</w:t>
            </w:r>
          </w:p>
        </w:tc>
        <w:tc>
          <w:tcPr>
            <w:tcW w:w="1776" w:type="dxa"/>
            <w:vMerge/>
            <w:vAlign w:val="center"/>
          </w:tcPr>
          <w:p w:rsidR="003B0C5A" w:rsidRPr="003B0C5A" w:rsidRDefault="003B0C5A" w:rsidP="003B0C5A">
            <w:pPr>
              <w:spacing w:line="360" w:lineRule="auto"/>
              <w:rPr>
                <w:rFonts w:ascii="仿宋" w:eastAsia="仿宋" w:hAnsi="仿宋" w:cs="宋体"/>
                <w:sz w:val="24"/>
                <w:szCs w:val="24"/>
              </w:rPr>
            </w:pPr>
          </w:p>
        </w:tc>
      </w:tr>
    </w:tbl>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备注：</w:t>
      </w:r>
    </w:p>
    <w:p w:rsidR="003B0C5A" w:rsidRPr="003B0C5A" w:rsidRDefault="003B0C5A" w:rsidP="003B0C5A">
      <w:pPr>
        <w:spacing w:line="276" w:lineRule="auto"/>
        <w:ind w:firstLineChars="200" w:firstLine="480"/>
        <w:rPr>
          <w:rFonts w:ascii="仿宋" w:eastAsia="仿宋" w:hAnsi="仿宋" w:cs="Times New Roman"/>
          <w:sz w:val="24"/>
          <w:szCs w:val="24"/>
        </w:rPr>
      </w:pPr>
      <w:r w:rsidRPr="003B0C5A">
        <w:rPr>
          <w:rFonts w:ascii="仿宋" w:eastAsia="仿宋" w:hAnsi="仿宋" w:cs="Times New Roman" w:hint="eastAsia"/>
          <w:sz w:val="24"/>
          <w:szCs w:val="24"/>
        </w:rPr>
        <w:t>供应商需单独提供承诺函并加盖供应商公章，并作为合同条款的一部分。</w:t>
      </w:r>
      <w:proofErr w:type="gramStart"/>
      <w:r w:rsidRPr="003B0C5A">
        <w:rPr>
          <w:rFonts w:ascii="仿宋" w:eastAsia="仿宋" w:hAnsi="仿宋" w:cs="Times New Roman" w:hint="eastAsia"/>
          <w:sz w:val="24"/>
          <w:szCs w:val="24"/>
        </w:rPr>
        <w:t>承诺函应包括</w:t>
      </w:r>
      <w:proofErr w:type="gramEnd"/>
      <w:r w:rsidRPr="003B0C5A">
        <w:rPr>
          <w:rFonts w:ascii="仿宋" w:eastAsia="仿宋" w:hAnsi="仿宋" w:cs="Times New Roman" w:hint="eastAsia"/>
          <w:sz w:val="24"/>
          <w:szCs w:val="24"/>
        </w:rPr>
        <w:t>以下内容：</w:t>
      </w:r>
    </w:p>
    <w:p w:rsidR="003B0C5A" w:rsidRPr="003B0C5A" w:rsidRDefault="003B0C5A" w:rsidP="003B0C5A">
      <w:pPr>
        <w:spacing w:line="400" w:lineRule="exact"/>
        <w:rPr>
          <w:rFonts w:ascii="仿宋" w:eastAsia="仿宋" w:hAnsi="仿宋" w:cs="Times New Roman"/>
          <w:sz w:val="24"/>
          <w:szCs w:val="24"/>
        </w:rPr>
      </w:pPr>
      <w:r w:rsidRPr="003B0C5A">
        <w:rPr>
          <w:rFonts w:ascii="仿宋" w:eastAsia="仿宋" w:hAnsi="仿宋" w:cs="Times New Roman" w:hint="eastAsia"/>
          <w:sz w:val="24"/>
          <w:szCs w:val="24"/>
        </w:rPr>
        <w:t>本项目服务人员不得更换，如出现不可抗力原因需更换的，必须向采购人提交书面申请，并详细说明更换的原因、替代人员的简历等，经采购人同意后，才能更换。</w:t>
      </w:r>
    </w:p>
    <w:p w:rsidR="003B0C5A" w:rsidRPr="003B0C5A" w:rsidRDefault="003B0C5A" w:rsidP="003B0C5A">
      <w:pPr>
        <w:spacing w:line="400" w:lineRule="exact"/>
        <w:rPr>
          <w:rFonts w:ascii="仿宋" w:eastAsia="仿宋" w:hAnsi="仿宋" w:cs="Times New Roman"/>
          <w:sz w:val="24"/>
          <w:szCs w:val="24"/>
        </w:rPr>
      </w:pPr>
    </w:p>
    <w:p w:rsidR="00711636" w:rsidRPr="003B0C5A" w:rsidRDefault="00711636" w:rsidP="003B0C5A">
      <w:bookmarkStart w:id="3" w:name="_GoBack"/>
      <w:bookmarkEnd w:id="3"/>
    </w:p>
    <w:sectPr w:rsidR="00711636" w:rsidRPr="003B0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5A"/>
    <w:rsid w:val="003B0C5A"/>
    <w:rsid w:val="0071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A7B2D-F8DB-4C69-9DF1-F3A74DCB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B0C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487</Words>
  <Characters>2778</Characters>
  <Application>Microsoft Office Word</Application>
  <DocSecurity>0</DocSecurity>
  <Lines>23</Lines>
  <Paragraphs>6</Paragraphs>
  <ScaleCrop>false</ScaleCrop>
  <Company>Sky123.Org</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2021-05-11T08:59:00Z</dcterms:created>
  <dcterms:modified xsi:type="dcterms:W3CDTF">2021-05-11T09:00:00Z</dcterms:modified>
</cp:coreProperties>
</file>