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AB8" w:rsidRPr="003F616D" w:rsidRDefault="00C52AB8" w:rsidP="00C52AB8">
      <w:pPr>
        <w:pStyle w:val="1"/>
        <w:jc w:val="center"/>
        <w:rPr>
          <w:rFonts w:asciiTheme="minorEastAsia" w:eastAsiaTheme="minorEastAsia" w:hAnsiTheme="minorEastAsia"/>
          <w:color w:val="000000" w:themeColor="text1"/>
          <w:sz w:val="36"/>
          <w:szCs w:val="36"/>
        </w:rPr>
      </w:pPr>
      <w:r w:rsidRPr="003F616D">
        <w:rPr>
          <w:rFonts w:asciiTheme="minorEastAsia" w:eastAsiaTheme="minorEastAsia" w:hAnsiTheme="minorEastAsia" w:hint="eastAsia"/>
          <w:color w:val="000000" w:themeColor="text1"/>
          <w:sz w:val="36"/>
          <w:szCs w:val="36"/>
        </w:rPr>
        <w:t>招标项目技术、服务、政府采购合同内容条款及其他商务要求</w:t>
      </w:r>
    </w:p>
    <w:p w:rsidR="00C52AB8" w:rsidRPr="003F616D" w:rsidRDefault="00C52AB8" w:rsidP="00C52AB8">
      <w:pPr>
        <w:pStyle w:val="2"/>
        <w:spacing w:line="400" w:lineRule="exact"/>
        <w:ind w:firstLineChars="98" w:firstLine="236"/>
        <w:rPr>
          <w:rFonts w:asciiTheme="minorEastAsia" w:eastAsiaTheme="minorEastAsia" w:hAnsiTheme="minorEastAsia"/>
          <w:color w:val="000000" w:themeColor="text1"/>
          <w:sz w:val="24"/>
          <w:szCs w:val="24"/>
        </w:rPr>
      </w:pPr>
      <w:bookmarkStart w:id="0" w:name="_Toc217446094"/>
      <w:r w:rsidRPr="003F616D">
        <w:rPr>
          <w:rFonts w:asciiTheme="minorEastAsia" w:eastAsiaTheme="minorEastAsia" w:hAnsiTheme="minorEastAsia" w:hint="eastAsia"/>
          <w:color w:val="000000" w:themeColor="text1"/>
          <w:sz w:val="24"/>
          <w:szCs w:val="24"/>
        </w:rPr>
        <w:t>前提：本章中标注“</w:t>
      </w:r>
      <w:r w:rsidRPr="003F616D">
        <w:rPr>
          <w:rFonts w:asciiTheme="minorEastAsia" w:eastAsiaTheme="minorEastAsia" w:hAnsiTheme="minorEastAsia"/>
          <w:color w:val="000000" w:themeColor="text1"/>
          <w:sz w:val="24"/>
          <w:szCs w:val="24"/>
        </w:rPr>
        <w:t>*”的条款为本项目的实质性条款，投标人不满足的，将按照无效投标处理。</w:t>
      </w:r>
    </w:p>
    <w:bookmarkEnd w:id="0"/>
    <w:p w:rsidR="00C52AB8" w:rsidRPr="003F616D" w:rsidRDefault="00C52AB8" w:rsidP="00C52AB8">
      <w:pPr>
        <w:pStyle w:val="2"/>
        <w:spacing w:line="400" w:lineRule="exact"/>
        <w:ind w:firstLineChars="98" w:firstLine="236"/>
        <w:rPr>
          <w:rFonts w:asciiTheme="minorEastAsia" w:eastAsiaTheme="minorEastAsia" w:hAnsiTheme="minorEastAsia"/>
          <w:b w:val="0"/>
          <w:color w:val="000000" w:themeColor="text1"/>
          <w:sz w:val="24"/>
          <w:szCs w:val="24"/>
        </w:rPr>
      </w:pPr>
      <w:r w:rsidRPr="003F616D">
        <w:rPr>
          <w:rFonts w:asciiTheme="minorEastAsia" w:eastAsiaTheme="minorEastAsia" w:hAnsiTheme="minorEastAsia" w:hint="eastAsia"/>
          <w:color w:val="000000" w:themeColor="text1"/>
          <w:sz w:val="24"/>
          <w:szCs w:val="24"/>
        </w:rPr>
        <w:t>一、</w:t>
      </w:r>
      <w:r w:rsidRPr="003F616D">
        <w:rPr>
          <w:rFonts w:asciiTheme="minorEastAsia" w:eastAsiaTheme="minorEastAsia" w:hAnsiTheme="minorEastAsia" w:hint="eastAsia"/>
          <w:b w:val="0"/>
          <w:color w:val="000000" w:themeColor="text1"/>
          <w:sz w:val="24"/>
          <w:szCs w:val="24"/>
        </w:rPr>
        <w:t>项目清单及概括</w:t>
      </w:r>
    </w:p>
    <w:tbl>
      <w:tblPr>
        <w:tblW w:w="7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969"/>
        <w:gridCol w:w="996"/>
        <w:gridCol w:w="1773"/>
        <w:gridCol w:w="1440"/>
        <w:gridCol w:w="1384"/>
      </w:tblGrid>
      <w:tr w:rsidR="00C52AB8" w:rsidRPr="003F616D" w:rsidTr="008241B7">
        <w:trPr>
          <w:trHeight w:val="390"/>
          <w:jc w:val="center"/>
        </w:trPr>
        <w:tc>
          <w:tcPr>
            <w:tcW w:w="743" w:type="dxa"/>
            <w:vAlign w:val="center"/>
          </w:tcPr>
          <w:p w:rsidR="00C52AB8" w:rsidRPr="003F616D" w:rsidRDefault="00C52AB8" w:rsidP="008241B7">
            <w:pPr>
              <w:widowControl/>
              <w:spacing w:line="360" w:lineRule="atLeast"/>
              <w:jc w:val="center"/>
              <w:outlineLvl w:val="1"/>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序号</w:t>
            </w:r>
          </w:p>
        </w:tc>
        <w:tc>
          <w:tcPr>
            <w:tcW w:w="969" w:type="dxa"/>
            <w:vAlign w:val="center"/>
          </w:tcPr>
          <w:p w:rsidR="00C52AB8" w:rsidRPr="003F616D" w:rsidRDefault="00C52AB8" w:rsidP="008241B7">
            <w:pPr>
              <w:widowControl/>
              <w:spacing w:line="360" w:lineRule="atLeast"/>
              <w:jc w:val="center"/>
              <w:outlineLvl w:val="1"/>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包号</w:t>
            </w:r>
          </w:p>
        </w:tc>
        <w:tc>
          <w:tcPr>
            <w:tcW w:w="996" w:type="dxa"/>
            <w:vAlign w:val="center"/>
          </w:tcPr>
          <w:p w:rsidR="00C52AB8" w:rsidRPr="003F616D" w:rsidRDefault="00C52AB8" w:rsidP="008241B7">
            <w:pPr>
              <w:widowControl/>
              <w:spacing w:line="360" w:lineRule="atLeast"/>
              <w:jc w:val="center"/>
              <w:outlineLvl w:val="1"/>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品目号</w:t>
            </w:r>
          </w:p>
        </w:tc>
        <w:tc>
          <w:tcPr>
            <w:tcW w:w="1773" w:type="dxa"/>
            <w:vAlign w:val="center"/>
          </w:tcPr>
          <w:p w:rsidR="00C52AB8" w:rsidRPr="003F616D" w:rsidRDefault="00C52AB8" w:rsidP="008241B7">
            <w:pPr>
              <w:widowControl/>
              <w:spacing w:line="360" w:lineRule="atLeast"/>
              <w:jc w:val="center"/>
              <w:outlineLvl w:val="1"/>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标的名称</w:t>
            </w:r>
          </w:p>
        </w:tc>
        <w:tc>
          <w:tcPr>
            <w:tcW w:w="1440" w:type="dxa"/>
            <w:vAlign w:val="center"/>
          </w:tcPr>
          <w:p w:rsidR="00C52AB8" w:rsidRPr="003F616D" w:rsidRDefault="00C52AB8" w:rsidP="008241B7">
            <w:pPr>
              <w:widowControl/>
              <w:spacing w:line="360" w:lineRule="atLeast"/>
              <w:jc w:val="center"/>
              <w:outlineLvl w:val="1"/>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所属行业</w:t>
            </w:r>
          </w:p>
        </w:tc>
        <w:tc>
          <w:tcPr>
            <w:tcW w:w="1384" w:type="dxa"/>
            <w:vAlign w:val="center"/>
          </w:tcPr>
          <w:p w:rsidR="00C52AB8" w:rsidRPr="003F616D" w:rsidRDefault="00C52AB8" w:rsidP="008241B7">
            <w:pPr>
              <w:widowControl/>
              <w:spacing w:line="360" w:lineRule="atLeast"/>
              <w:jc w:val="center"/>
              <w:outlineLvl w:val="1"/>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供应商数量</w:t>
            </w:r>
          </w:p>
        </w:tc>
      </w:tr>
      <w:tr w:rsidR="00C52AB8" w:rsidRPr="003F616D" w:rsidTr="008241B7">
        <w:trPr>
          <w:trHeight w:val="374"/>
          <w:jc w:val="center"/>
        </w:trPr>
        <w:tc>
          <w:tcPr>
            <w:tcW w:w="743" w:type="dxa"/>
            <w:vAlign w:val="center"/>
          </w:tcPr>
          <w:p w:rsidR="00C52AB8" w:rsidRPr="003F616D" w:rsidRDefault="00C52AB8" w:rsidP="008241B7">
            <w:pPr>
              <w:widowControl/>
              <w:spacing w:line="360" w:lineRule="atLeast"/>
              <w:jc w:val="center"/>
              <w:outlineLvl w:val="1"/>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1</w:t>
            </w:r>
          </w:p>
        </w:tc>
        <w:tc>
          <w:tcPr>
            <w:tcW w:w="969" w:type="dxa"/>
            <w:vMerge w:val="restart"/>
            <w:vAlign w:val="center"/>
          </w:tcPr>
          <w:p w:rsidR="00C52AB8" w:rsidRPr="003F616D" w:rsidRDefault="00C52AB8" w:rsidP="008241B7">
            <w:pPr>
              <w:widowControl/>
              <w:spacing w:line="360" w:lineRule="atLeast"/>
              <w:jc w:val="center"/>
              <w:outlineLvl w:val="1"/>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1</w:t>
            </w:r>
          </w:p>
        </w:tc>
        <w:tc>
          <w:tcPr>
            <w:tcW w:w="996" w:type="dxa"/>
            <w:vAlign w:val="center"/>
          </w:tcPr>
          <w:p w:rsidR="00C52AB8" w:rsidRPr="003F616D" w:rsidRDefault="00C52AB8" w:rsidP="008241B7">
            <w:pPr>
              <w:widowControl/>
              <w:spacing w:line="360" w:lineRule="atLeast"/>
              <w:jc w:val="center"/>
              <w:outlineLvl w:val="1"/>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0</w:t>
            </w:r>
            <w:r w:rsidRPr="003F616D">
              <w:rPr>
                <w:rFonts w:asciiTheme="minorEastAsia" w:eastAsiaTheme="minorEastAsia" w:hAnsiTheme="minorEastAsia"/>
                <w:color w:val="000000" w:themeColor="text1"/>
                <w:sz w:val="24"/>
              </w:rPr>
              <w:t>1-01</w:t>
            </w:r>
          </w:p>
        </w:tc>
        <w:tc>
          <w:tcPr>
            <w:tcW w:w="1773" w:type="dxa"/>
            <w:vAlign w:val="center"/>
          </w:tcPr>
          <w:p w:rsidR="00C52AB8" w:rsidRPr="003F616D" w:rsidRDefault="00C52AB8" w:rsidP="008241B7">
            <w:pPr>
              <w:widowControl/>
              <w:spacing w:line="360" w:lineRule="atLeast"/>
              <w:jc w:val="center"/>
              <w:outlineLvl w:val="1"/>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医疗责任保险</w:t>
            </w:r>
          </w:p>
        </w:tc>
        <w:tc>
          <w:tcPr>
            <w:tcW w:w="1440" w:type="dxa"/>
            <w:vMerge w:val="restart"/>
            <w:vAlign w:val="center"/>
          </w:tcPr>
          <w:p w:rsidR="00C52AB8" w:rsidRPr="003F616D" w:rsidRDefault="00C52AB8" w:rsidP="008241B7">
            <w:pPr>
              <w:widowControl/>
              <w:spacing w:line="360" w:lineRule="atLeast"/>
              <w:jc w:val="left"/>
              <w:outlineLvl w:val="1"/>
              <w:rPr>
                <w:rFonts w:asciiTheme="minorEastAsia" w:eastAsiaTheme="minorEastAsia" w:hAnsiTheme="minorEastAsia"/>
                <w:color w:val="000000" w:themeColor="text1"/>
                <w:sz w:val="24"/>
              </w:rPr>
            </w:pPr>
            <w:r w:rsidRPr="003F616D">
              <w:rPr>
                <w:rFonts w:asciiTheme="minorEastAsia" w:eastAsiaTheme="minorEastAsia" w:hAnsiTheme="minorEastAsia"/>
                <w:color w:val="000000" w:themeColor="text1"/>
                <w:sz w:val="24"/>
              </w:rPr>
              <w:t>商务服务业</w:t>
            </w:r>
          </w:p>
        </w:tc>
        <w:tc>
          <w:tcPr>
            <w:tcW w:w="1384" w:type="dxa"/>
            <w:vMerge w:val="restart"/>
            <w:vAlign w:val="center"/>
          </w:tcPr>
          <w:p w:rsidR="00C52AB8" w:rsidRPr="003F616D" w:rsidRDefault="00C52AB8" w:rsidP="008241B7">
            <w:pPr>
              <w:widowControl/>
              <w:spacing w:line="360" w:lineRule="atLeast"/>
              <w:jc w:val="center"/>
              <w:outlineLvl w:val="1"/>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1家</w:t>
            </w:r>
          </w:p>
        </w:tc>
      </w:tr>
      <w:tr w:rsidR="00C52AB8" w:rsidRPr="003F616D" w:rsidTr="008241B7">
        <w:trPr>
          <w:trHeight w:val="374"/>
          <w:jc w:val="center"/>
        </w:trPr>
        <w:tc>
          <w:tcPr>
            <w:tcW w:w="743" w:type="dxa"/>
            <w:vAlign w:val="center"/>
          </w:tcPr>
          <w:p w:rsidR="00C52AB8" w:rsidRPr="003F616D" w:rsidRDefault="00C52AB8" w:rsidP="008241B7">
            <w:pPr>
              <w:widowControl/>
              <w:spacing w:line="360" w:lineRule="atLeast"/>
              <w:jc w:val="center"/>
              <w:outlineLvl w:val="1"/>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2</w:t>
            </w:r>
          </w:p>
        </w:tc>
        <w:tc>
          <w:tcPr>
            <w:tcW w:w="969" w:type="dxa"/>
            <w:vMerge/>
            <w:vAlign w:val="center"/>
          </w:tcPr>
          <w:p w:rsidR="00C52AB8" w:rsidRPr="003F616D" w:rsidRDefault="00C52AB8" w:rsidP="008241B7">
            <w:pPr>
              <w:widowControl/>
              <w:spacing w:line="360" w:lineRule="atLeast"/>
              <w:jc w:val="center"/>
              <w:outlineLvl w:val="1"/>
              <w:rPr>
                <w:rFonts w:asciiTheme="minorEastAsia" w:eastAsiaTheme="minorEastAsia" w:hAnsiTheme="minorEastAsia"/>
                <w:color w:val="000000" w:themeColor="text1"/>
                <w:sz w:val="24"/>
              </w:rPr>
            </w:pPr>
          </w:p>
        </w:tc>
        <w:tc>
          <w:tcPr>
            <w:tcW w:w="996" w:type="dxa"/>
            <w:vAlign w:val="center"/>
          </w:tcPr>
          <w:p w:rsidR="00C52AB8" w:rsidRPr="003F616D" w:rsidRDefault="00C52AB8" w:rsidP="008241B7">
            <w:pPr>
              <w:widowControl/>
              <w:spacing w:line="360" w:lineRule="atLeast"/>
              <w:jc w:val="center"/>
              <w:outlineLvl w:val="1"/>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0</w:t>
            </w:r>
            <w:r w:rsidRPr="003F616D">
              <w:rPr>
                <w:rFonts w:asciiTheme="minorEastAsia" w:eastAsiaTheme="minorEastAsia" w:hAnsiTheme="minorEastAsia"/>
                <w:color w:val="000000" w:themeColor="text1"/>
                <w:sz w:val="24"/>
              </w:rPr>
              <w:t>1-02</w:t>
            </w:r>
          </w:p>
        </w:tc>
        <w:tc>
          <w:tcPr>
            <w:tcW w:w="1773" w:type="dxa"/>
            <w:vAlign w:val="center"/>
          </w:tcPr>
          <w:p w:rsidR="00C52AB8" w:rsidRPr="003F616D" w:rsidRDefault="00C52AB8" w:rsidP="008241B7">
            <w:pPr>
              <w:widowControl/>
              <w:spacing w:line="360" w:lineRule="atLeast"/>
              <w:jc w:val="center"/>
              <w:outlineLvl w:val="1"/>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公共场所责任险</w:t>
            </w:r>
          </w:p>
        </w:tc>
        <w:tc>
          <w:tcPr>
            <w:tcW w:w="1440" w:type="dxa"/>
            <w:vMerge/>
            <w:vAlign w:val="center"/>
          </w:tcPr>
          <w:p w:rsidR="00C52AB8" w:rsidRPr="003F616D" w:rsidRDefault="00C52AB8" w:rsidP="008241B7">
            <w:pPr>
              <w:widowControl/>
              <w:spacing w:line="360" w:lineRule="atLeast"/>
              <w:jc w:val="left"/>
              <w:outlineLvl w:val="1"/>
              <w:rPr>
                <w:rFonts w:asciiTheme="minorEastAsia" w:eastAsiaTheme="minorEastAsia" w:hAnsiTheme="minorEastAsia"/>
                <w:color w:val="000000" w:themeColor="text1"/>
                <w:sz w:val="24"/>
              </w:rPr>
            </w:pPr>
          </w:p>
        </w:tc>
        <w:tc>
          <w:tcPr>
            <w:tcW w:w="1384" w:type="dxa"/>
            <w:vMerge/>
            <w:vAlign w:val="center"/>
          </w:tcPr>
          <w:p w:rsidR="00C52AB8" w:rsidRPr="003F616D" w:rsidRDefault="00C52AB8" w:rsidP="008241B7">
            <w:pPr>
              <w:widowControl/>
              <w:spacing w:line="360" w:lineRule="atLeast"/>
              <w:jc w:val="center"/>
              <w:outlineLvl w:val="1"/>
              <w:rPr>
                <w:rFonts w:asciiTheme="minorEastAsia" w:eastAsiaTheme="minorEastAsia" w:hAnsiTheme="minorEastAsia"/>
                <w:color w:val="000000" w:themeColor="text1"/>
                <w:sz w:val="24"/>
              </w:rPr>
            </w:pPr>
          </w:p>
        </w:tc>
      </w:tr>
    </w:tbl>
    <w:p w:rsidR="00C52AB8" w:rsidRPr="003F616D" w:rsidRDefault="00C52AB8" w:rsidP="00C52AB8">
      <w:pPr>
        <w:ind w:firstLineChars="200" w:firstLine="480"/>
        <w:rPr>
          <w:rFonts w:ascii="仿宋" w:eastAsia="仿宋" w:hAnsi="仿宋"/>
          <w:color w:val="000000" w:themeColor="text1"/>
          <w:sz w:val="24"/>
        </w:rPr>
      </w:pPr>
      <w:r w:rsidRPr="003F616D">
        <w:rPr>
          <w:rFonts w:ascii="仿宋" w:eastAsia="仿宋" w:hAnsi="仿宋" w:hint="eastAsia"/>
          <w:color w:val="000000" w:themeColor="text1"/>
          <w:sz w:val="24"/>
        </w:rPr>
        <w:t>简阳市人民医院为一家三级甲等综合医院，现有医务人员1471名，开放床位数1,600张，年手术量28,000台次。现对简阳市人民医院院内发生的医疗过错、事故、意外造成患者或行人损害采购保险服务，本项目分为一个包。</w:t>
      </w:r>
    </w:p>
    <w:p w:rsidR="00C52AB8" w:rsidRPr="003F616D" w:rsidRDefault="00C52AB8" w:rsidP="00C52AB8">
      <w:pPr>
        <w:pStyle w:val="2"/>
        <w:spacing w:line="400" w:lineRule="exact"/>
        <w:ind w:firstLineChars="98" w:firstLine="236"/>
        <w:rPr>
          <w:rFonts w:asciiTheme="minorEastAsia" w:eastAsiaTheme="minorEastAsia" w:hAnsiTheme="minorEastAsia"/>
          <w:b w:val="0"/>
          <w:color w:val="000000" w:themeColor="text1"/>
          <w:sz w:val="24"/>
          <w:szCs w:val="24"/>
        </w:rPr>
      </w:pPr>
      <w:r w:rsidRPr="003F616D">
        <w:rPr>
          <w:rFonts w:asciiTheme="minorEastAsia" w:eastAsiaTheme="minorEastAsia" w:hAnsiTheme="minorEastAsia" w:hint="eastAsia"/>
          <w:color w:val="000000" w:themeColor="text1"/>
          <w:sz w:val="24"/>
          <w:szCs w:val="24"/>
        </w:rPr>
        <w:t>*二、</w:t>
      </w:r>
      <w:r w:rsidRPr="003F616D">
        <w:rPr>
          <w:rFonts w:asciiTheme="minorEastAsia" w:eastAsiaTheme="minorEastAsia" w:hAnsiTheme="minorEastAsia" w:hint="eastAsia"/>
          <w:b w:val="0"/>
          <w:color w:val="000000" w:themeColor="text1"/>
          <w:sz w:val="24"/>
          <w:szCs w:val="24"/>
        </w:rPr>
        <w:t>项目要求</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（一）主险</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1、医疗责任保险</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2、外请医务人员医疗责任保险</w:t>
      </w:r>
    </w:p>
    <w:p w:rsidR="00C52AB8" w:rsidRPr="003F616D" w:rsidRDefault="00C52AB8" w:rsidP="00C52AB8">
      <w:pPr>
        <w:pStyle w:val="a5"/>
        <w:spacing w:line="400" w:lineRule="exact"/>
        <w:ind w:firstLine="480"/>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序号1、2每起医疗纠纷赔付限额20万元/每起/人，两险合计年累计赔偿限额120万元，每次事故或纠纷免赔率1000元或5%两者以高者为准，赔偿金额乘以免赔率后的金额还高出赔付限额的，按赔付限额进行赔付；</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3、特别约定</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color w:val="000000" w:themeColor="text1"/>
          <w:sz w:val="24"/>
        </w:rPr>
        <w:t>3.</w:t>
      </w:r>
      <w:r w:rsidRPr="003F616D">
        <w:rPr>
          <w:rFonts w:asciiTheme="minorEastAsia" w:eastAsiaTheme="minorEastAsia" w:hAnsiTheme="minorEastAsia" w:hint="eastAsia"/>
          <w:color w:val="000000" w:themeColor="text1"/>
          <w:sz w:val="24"/>
        </w:rPr>
        <w:t>1、法院判决书、调解书作为理赔依据；</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color w:val="000000" w:themeColor="text1"/>
          <w:sz w:val="24"/>
        </w:rPr>
        <w:t>3.</w:t>
      </w:r>
      <w:r w:rsidRPr="003F616D">
        <w:rPr>
          <w:rFonts w:asciiTheme="minorEastAsia" w:eastAsiaTheme="minorEastAsia" w:hAnsiTheme="minorEastAsia" w:hint="eastAsia"/>
          <w:color w:val="000000" w:themeColor="text1"/>
          <w:sz w:val="24"/>
        </w:rPr>
        <w:t>2、简阳市医患纠纷人民调解委员会、或简阳市诉讼与非诉讼对接人民调解委员会、或卫生行政主管部门出具的调解书作为理赔依据；</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color w:val="000000" w:themeColor="text1"/>
          <w:sz w:val="24"/>
        </w:rPr>
        <w:t>3.</w:t>
      </w:r>
      <w:r w:rsidRPr="003F616D">
        <w:rPr>
          <w:rFonts w:asciiTheme="minorEastAsia" w:eastAsiaTheme="minorEastAsia" w:hAnsiTheme="minorEastAsia" w:hint="eastAsia"/>
          <w:color w:val="000000" w:themeColor="text1"/>
          <w:sz w:val="24"/>
        </w:rPr>
        <w:t>3、院方与患方在2万元以下协商达成的协议书作为理赔依据（有司法过错鉴</w:t>
      </w:r>
      <w:r w:rsidRPr="003F616D">
        <w:rPr>
          <w:rFonts w:asciiTheme="minorEastAsia" w:eastAsiaTheme="minorEastAsia" w:hAnsiTheme="minorEastAsia" w:hint="eastAsia"/>
          <w:color w:val="000000" w:themeColor="text1"/>
          <w:sz w:val="24"/>
        </w:rPr>
        <w:lastRenderedPageBreak/>
        <w:t>定或医疗事故技术鉴定的不受2万元的限制）；</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color w:val="000000" w:themeColor="text1"/>
          <w:sz w:val="24"/>
        </w:rPr>
        <w:t>3.</w:t>
      </w:r>
      <w:r w:rsidRPr="003F616D">
        <w:rPr>
          <w:rFonts w:asciiTheme="minorEastAsia" w:eastAsiaTheme="minorEastAsia" w:hAnsiTheme="minorEastAsia" w:hint="eastAsia"/>
          <w:color w:val="000000" w:themeColor="text1"/>
          <w:sz w:val="24"/>
        </w:rPr>
        <w:t>4、在保险期内发生的医疗过错，均属于保险赔付范围。</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color w:val="000000" w:themeColor="text1"/>
          <w:sz w:val="24"/>
        </w:rPr>
        <w:t>3.</w:t>
      </w:r>
      <w:r w:rsidRPr="003F616D">
        <w:rPr>
          <w:rFonts w:asciiTheme="minorEastAsia" w:eastAsiaTheme="minorEastAsia" w:hAnsiTheme="minorEastAsia" w:hint="eastAsia"/>
          <w:color w:val="000000" w:themeColor="text1"/>
          <w:sz w:val="24"/>
        </w:rPr>
        <w:t>5、在医疗纠纷诉讼中，保险公司作为第三人参加诉讼。</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color w:val="000000" w:themeColor="text1"/>
          <w:sz w:val="24"/>
        </w:rPr>
        <w:t>3.</w:t>
      </w:r>
      <w:r w:rsidRPr="003F616D">
        <w:rPr>
          <w:rFonts w:asciiTheme="minorEastAsia" w:eastAsiaTheme="minorEastAsia" w:hAnsiTheme="minorEastAsia" w:hint="eastAsia"/>
          <w:color w:val="000000" w:themeColor="text1"/>
          <w:sz w:val="24"/>
        </w:rPr>
        <w:t>6、过错认定方式：包括医疗事故技术鉴定、司法鉴定、主管部门组织的专家团队出具的讨论意见。</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color w:val="000000" w:themeColor="text1"/>
          <w:sz w:val="24"/>
        </w:rPr>
        <w:t>3.</w:t>
      </w:r>
      <w:r w:rsidRPr="003F616D">
        <w:rPr>
          <w:rFonts w:asciiTheme="minorEastAsia" w:eastAsiaTheme="minorEastAsia" w:hAnsiTheme="minorEastAsia" w:hint="eastAsia"/>
          <w:color w:val="000000" w:themeColor="text1"/>
          <w:sz w:val="24"/>
        </w:rPr>
        <w:t>7、自行协商或专家团队讨论意见过程中保险公司可派员参与发表观点。</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color w:val="000000" w:themeColor="text1"/>
          <w:sz w:val="24"/>
        </w:rPr>
        <w:t>3.</w:t>
      </w:r>
      <w:r w:rsidRPr="003F616D">
        <w:rPr>
          <w:rFonts w:asciiTheme="minorEastAsia" w:eastAsiaTheme="minorEastAsia" w:hAnsiTheme="minorEastAsia" w:hint="eastAsia"/>
          <w:color w:val="000000" w:themeColor="text1"/>
          <w:sz w:val="24"/>
        </w:rPr>
        <w:t>8、诉讼费、鉴定费、尸检费、律师费属于法律费用。其中诉讼费、鉴定费、尸检费是乙方处理医患纠纷必须产生的，保险人不得以未经其书面同意为由拒赔。</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color w:val="000000" w:themeColor="text1"/>
          <w:sz w:val="24"/>
        </w:rPr>
        <w:t>3.</w:t>
      </w:r>
      <w:r w:rsidRPr="003F616D">
        <w:rPr>
          <w:rFonts w:asciiTheme="minorEastAsia" w:eastAsiaTheme="minorEastAsia" w:hAnsiTheme="minorEastAsia" w:hint="eastAsia"/>
          <w:color w:val="000000" w:themeColor="text1"/>
          <w:sz w:val="24"/>
        </w:rPr>
        <w:t>9、保险赔付适用《民法典》、《最高人民法院关于审理人身损害赔偿案件适用法律若干问题的解释》等实体法。</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color w:val="000000" w:themeColor="text1"/>
          <w:sz w:val="24"/>
        </w:rPr>
        <w:t>（二）附加险</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1、医疗机构场所责任险</w:t>
      </w:r>
    </w:p>
    <w:p w:rsidR="00C52AB8" w:rsidRPr="003F616D" w:rsidRDefault="00C52AB8" w:rsidP="00C52AB8">
      <w:pPr>
        <w:pStyle w:val="a5"/>
        <w:spacing w:line="400" w:lineRule="exact"/>
        <w:ind w:firstLine="480"/>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每起纠纷赔付限额5万元/每起/人，每年累计赔偿限额20万元，每次事故或纠纷免赔率1000元或5%两者以高者为准，赔偿金额乘以免赔率后的金额还高出赔付限额的，按赔付限额进行赔付。</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2、特别约定：</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color w:val="000000" w:themeColor="text1"/>
          <w:sz w:val="24"/>
        </w:rPr>
        <w:t>2.</w:t>
      </w:r>
      <w:r w:rsidRPr="003F616D">
        <w:rPr>
          <w:rFonts w:asciiTheme="minorEastAsia" w:eastAsiaTheme="minorEastAsia" w:hAnsiTheme="minorEastAsia" w:hint="eastAsia"/>
          <w:color w:val="000000" w:themeColor="text1"/>
          <w:sz w:val="24"/>
        </w:rPr>
        <w:t>1、法院判决书、调解书作为理赔依据；</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color w:val="000000" w:themeColor="text1"/>
          <w:sz w:val="24"/>
        </w:rPr>
        <w:t>2.</w:t>
      </w:r>
      <w:r w:rsidRPr="003F616D">
        <w:rPr>
          <w:rFonts w:asciiTheme="minorEastAsia" w:eastAsiaTheme="minorEastAsia" w:hAnsiTheme="minorEastAsia" w:hint="eastAsia"/>
          <w:color w:val="000000" w:themeColor="text1"/>
          <w:sz w:val="24"/>
        </w:rPr>
        <w:t>2、简阳市诉讼与非诉讼对接人民调解委员会、或卫生行政主管部门出具的调解书作为理赔依据；</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color w:val="000000" w:themeColor="text1"/>
          <w:sz w:val="24"/>
        </w:rPr>
        <w:t>2.</w:t>
      </w:r>
      <w:r w:rsidRPr="003F616D">
        <w:rPr>
          <w:rFonts w:asciiTheme="minorEastAsia" w:eastAsiaTheme="minorEastAsia" w:hAnsiTheme="minorEastAsia" w:hint="eastAsia"/>
          <w:color w:val="000000" w:themeColor="text1"/>
          <w:sz w:val="24"/>
        </w:rPr>
        <w:t>3、院方与患者及其他人在2万元以下协商达成的协议书作为理赔依据；</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color w:val="000000" w:themeColor="text1"/>
          <w:sz w:val="24"/>
        </w:rPr>
        <w:t>2.</w:t>
      </w:r>
      <w:r w:rsidRPr="003F616D">
        <w:rPr>
          <w:rFonts w:asciiTheme="minorEastAsia" w:eastAsiaTheme="minorEastAsia" w:hAnsiTheme="minorEastAsia" w:hint="eastAsia"/>
          <w:color w:val="000000" w:themeColor="text1"/>
          <w:sz w:val="24"/>
        </w:rPr>
        <w:t>4、在保险期内发生在医院场所内的患者及其他人发生意外事故造成的人身伤亡，均属于保险赔付范围。</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color w:val="000000" w:themeColor="text1"/>
          <w:sz w:val="24"/>
        </w:rPr>
        <w:t>2.</w:t>
      </w:r>
      <w:r w:rsidRPr="003F616D">
        <w:rPr>
          <w:rFonts w:asciiTheme="minorEastAsia" w:eastAsiaTheme="minorEastAsia" w:hAnsiTheme="minorEastAsia" w:hint="eastAsia"/>
          <w:color w:val="000000" w:themeColor="text1"/>
          <w:sz w:val="24"/>
        </w:rPr>
        <w:t>5、在公共场所管理人责任纠纷诉讼中，保险公司作为第三人参加诉讼。</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color w:val="000000" w:themeColor="text1"/>
          <w:sz w:val="24"/>
        </w:rPr>
        <w:t>2.</w:t>
      </w:r>
      <w:r w:rsidRPr="003F616D">
        <w:rPr>
          <w:rFonts w:asciiTheme="minorEastAsia" w:eastAsiaTheme="minorEastAsia" w:hAnsiTheme="minorEastAsia" w:hint="eastAsia"/>
          <w:color w:val="000000" w:themeColor="text1"/>
          <w:sz w:val="24"/>
        </w:rPr>
        <w:t>6、诉讼费、鉴定费、尸检费、律师费属于法律费用。其中诉讼费、鉴定费、尸检费是乙方处理医患纠纷必须产生的，保险人不得以未经其书面同意为由拒赔。</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color w:val="000000" w:themeColor="text1"/>
          <w:sz w:val="24"/>
        </w:rPr>
        <w:t>2.</w:t>
      </w:r>
      <w:r w:rsidRPr="003F616D">
        <w:rPr>
          <w:rFonts w:asciiTheme="minorEastAsia" w:eastAsiaTheme="minorEastAsia" w:hAnsiTheme="minorEastAsia" w:hint="eastAsia"/>
          <w:color w:val="000000" w:themeColor="text1"/>
          <w:sz w:val="24"/>
        </w:rPr>
        <w:t>7、保险赔付适用《民法典》、《最高人民法院关于审理人身损害赔偿案件适用法律若干问题的解释》</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*三、商务要求</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1、服务期：服务期限3年，合同一年一签。</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2、服务地点：简阳市人民医院</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3、付款方式：由于保险合同属于格式合同，为将招投标的商务条款予以体现，双方需签订补充协议，补充协议的期限与第一年保险单起始时间至第三年保险单载明终止时间一致。对于满足合同约定的资金支付条件的，自收到发票后30日内将资金支付到采购合同约定账户。</w:t>
      </w:r>
    </w:p>
    <w:p w:rsidR="00C52AB8" w:rsidRPr="003F616D" w:rsidRDefault="00C52AB8" w:rsidP="00C52AB8">
      <w:pPr>
        <w:pStyle w:val="a5"/>
        <w:spacing w:line="400" w:lineRule="exact"/>
        <w:ind w:firstLineChars="0" w:firstLine="0"/>
        <w:rPr>
          <w:rFonts w:asciiTheme="minorEastAsia" w:eastAsiaTheme="minorEastAsia" w:hAnsiTheme="minorEastAsia"/>
          <w:color w:val="000000" w:themeColor="text1"/>
          <w:sz w:val="24"/>
        </w:rPr>
      </w:pPr>
      <w:r w:rsidRPr="003F616D">
        <w:rPr>
          <w:rFonts w:asciiTheme="minorEastAsia" w:eastAsiaTheme="minorEastAsia" w:hAnsiTheme="minorEastAsia" w:hint="eastAsia"/>
          <w:color w:val="000000" w:themeColor="text1"/>
          <w:sz w:val="24"/>
        </w:rPr>
        <w:t>3.1保险费在采购人与中标供应商签订《医疗责任保险补充协议》生效后支付。</w:t>
      </w:r>
    </w:p>
    <w:p w:rsidR="0056323A" w:rsidRPr="00C52AB8" w:rsidRDefault="0056323A">
      <w:bookmarkStart w:id="1" w:name="_GoBack"/>
      <w:bookmarkEnd w:id="1"/>
    </w:p>
    <w:sectPr w:rsidR="0056323A" w:rsidRPr="00C52A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AB8" w:rsidRDefault="00C52AB8" w:rsidP="00C52AB8">
      <w:pPr>
        <w:spacing w:after="0" w:line="240" w:lineRule="auto"/>
      </w:pPr>
      <w:r>
        <w:separator/>
      </w:r>
    </w:p>
  </w:endnote>
  <w:endnote w:type="continuationSeparator" w:id="0">
    <w:p w:rsidR="00C52AB8" w:rsidRDefault="00C52AB8" w:rsidP="00C5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AB8" w:rsidRDefault="00C52AB8" w:rsidP="00C52AB8">
      <w:pPr>
        <w:spacing w:after="0" w:line="240" w:lineRule="auto"/>
      </w:pPr>
      <w:r>
        <w:separator/>
      </w:r>
    </w:p>
  </w:footnote>
  <w:footnote w:type="continuationSeparator" w:id="0">
    <w:p w:rsidR="00C52AB8" w:rsidRDefault="00C52AB8" w:rsidP="00C52A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08"/>
    <w:rsid w:val="0056323A"/>
    <w:rsid w:val="00907508"/>
    <w:rsid w:val="00C52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53EAAD8-D71F-4BCF-9A18-66B885D1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AB8"/>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C52AB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52AB8"/>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AB8"/>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52AB8"/>
    <w:rPr>
      <w:sz w:val="18"/>
      <w:szCs w:val="18"/>
    </w:rPr>
  </w:style>
  <w:style w:type="paragraph" w:styleId="a4">
    <w:name w:val="footer"/>
    <w:basedOn w:val="a"/>
    <w:link w:val="Char0"/>
    <w:uiPriority w:val="99"/>
    <w:unhideWhenUsed/>
    <w:rsid w:val="00C52AB8"/>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52AB8"/>
    <w:rPr>
      <w:sz w:val="18"/>
      <w:szCs w:val="18"/>
    </w:rPr>
  </w:style>
  <w:style w:type="character" w:customStyle="1" w:styleId="1Char">
    <w:name w:val="标题 1 Char"/>
    <w:basedOn w:val="a0"/>
    <w:link w:val="1"/>
    <w:qFormat/>
    <w:rsid w:val="00C52AB8"/>
    <w:rPr>
      <w:rFonts w:ascii="Calibri" w:eastAsia="宋体" w:hAnsi="Calibri" w:cs="Times New Roman"/>
      <w:b/>
      <w:bCs/>
      <w:kern w:val="44"/>
      <w:sz w:val="44"/>
      <w:szCs w:val="44"/>
    </w:rPr>
  </w:style>
  <w:style w:type="character" w:customStyle="1" w:styleId="2Char">
    <w:name w:val="标题 2 Char"/>
    <w:basedOn w:val="a0"/>
    <w:link w:val="2"/>
    <w:rsid w:val="00C52AB8"/>
    <w:rPr>
      <w:rFonts w:ascii="Arial" w:eastAsia="黑体" w:hAnsi="Arial" w:cs="Times New Roman"/>
      <w:b/>
      <w:bCs/>
      <w:sz w:val="32"/>
      <w:szCs w:val="32"/>
    </w:rPr>
  </w:style>
  <w:style w:type="paragraph" w:styleId="a5">
    <w:name w:val="Normal Indent"/>
    <w:basedOn w:val="a"/>
    <w:link w:val="Char1"/>
    <w:qFormat/>
    <w:rsid w:val="00C52AB8"/>
    <w:pPr>
      <w:ind w:firstLineChars="200" w:firstLine="200"/>
    </w:pPr>
  </w:style>
  <w:style w:type="character" w:customStyle="1" w:styleId="Char1">
    <w:name w:val="正文缩进 Char"/>
    <w:link w:val="a5"/>
    <w:rsid w:val="00C52AB8"/>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pc-02</cp:lastModifiedBy>
  <cp:revision>2</cp:revision>
  <dcterms:created xsi:type="dcterms:W3CDTF">2021-08-26T03:15:00Z</dcterms:created>
  <dcterms:modified xsi:type="dcterms:W3CDTF">2021-08-26T03:15:00Z</dcterms:modified>
</cp:coreProperties>
</file>