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9DC1" w14:textId="77777777" w:rsidR="002A1E48" w:rsidRPr="002A1E48" w:rsidRDefault="002A1E48" w:rsidP="002A1E48">
      <w:pPr>
        <w:keepNext/>
        <w:keepLines/>
        <w:spacing w:before="340" w:after="330" w:line="578" w:lineRule="auto"/>
        <w:jc w:val="center"/>
        <w:outlineLvl w:val="0"/>
        <w:rPr>
          <w:rFonts w:ascii="仿宋" w:eastAsia="仿宋" w:hAnsi="仿宋" w:cs="Times New Roman"/>
          <w:b/>
          <w:bCs/>
          <w:kern w:val="44"/>
          <w:sz w:val="36"/>
          <w:szCs w:val="36"/>
        </w:rPr>
      </w:pPr>
      <w:r w:rsidRPr="002A1E48">
        <w:rPr>
          <w:rFonts w:ascii="仿宋" w:eastAsia="仿宋" w:hAnsi="仿宋" w:cs="Times New Roman" w:hint="eastAsia"/>
          <w:b/>
          <w:bCs/>
          <w:kern w:val="44"/>
          <w:sz w:val="36"/>
          <w:szCs w:val="36"/>
        </w:rPr>
        <w:t>招标项目技术、服务、政府采购合同内容条款及其他商务要求</w:t>
      </w:r>
    </w:p>
    <w:p w14:paraId="2AC5B973" w14:textId="77777777" w:rsidR="002A1E48" w:rsidRPr="002A1E48" w:rsidRDefault="002A1E48" w:rsidP="002A1E48">
      <w:pPr>
        <w:keepNext/>
        <w:keepLines/>
        <w:spacing w:before="260" w:after="260" w:line="400" w:lineRule="exact"/>
        <w:ind w:firstLineChars="98" w:firstLine="236"/>
        <w:outlineLvl w:val="1"/>
        <w:rPr>
          <w:rFonts w:ascii="仿宋" w:eastAsia="仿宋" w:hAnsi="仿宋" w:cs="Times New Roman"/>
          <w:b/>
          <w:bCs/>
          <w:sz w:val="24"/>
          <w:szCs w:val="24"/>
        </w:rPr>
      </w:pPr>
      <w:bookmarkStart w:id="0" w:name="_Toc217446094"/>
      <w:r w:rsidRPr="002A1E48">
        <w:rPr>
          <w:rFonts w:ascii="仿宋" w:eastAsia="仿宋" w:hAnsi="仿宋" w:cs="Times New Roman" w:hint="eastAsia"/>
          <w:b/>
          <w:bCs/>
          <w:sz w:val="24"/>
          <w:szCs w:val="24"/>
        </w:rPr>
        <w:t>前提：本章中标注“</w:t>
      </w:r>
      <w:r w:rsidRPr="002A1E48">
        <w:rPr>
          <w:rFonts w:ascii="仿宋" w:eastAsia="仿宋" w:hAnsi="仿宋" w:cs="Times New Roman"/>
          <w:b/>
          <w:bCs/>
          <w:sz w:val="24"/>
          <w:szCs w:val="24"/>
        </w:rPr>
        <w:t>*”的条款为本项目的实质性条款，投标人不满足的，将按照无效投标处理。</w:t>
      </w:r>
    </w:p>
    <w:p w14:paraId="7E683D6D" w14:textId="77777777" w:rsidR="002A1E48" w:rsidRPr="002A1E48" w:rsidRDefault="002A1E48" w:rsidP="002A1E48">
      <w:pPr>
        <w:keepNext/>
        <w:keepLines/>
        <w:spacing w:before="260" w:after="260" w:line="480" w:lineRule="exact"/>
        <w:contextualSpacing/>
        <w:outlineLvl w:val="1"/>
        <w:rPr>
          <w:rFonts w:ascii="仿宋" w:eastAsia="仿宋" w:hAnsi="仿宋" w:cs="Times New Roman"/>
          <w:b/>
          <w:bCs/>
          <w:sz w:val="24"/>
          <w:szCs w:val="24"/>
        </w:rPr>
      </w:pPr>
      <w:r w:rsidRPr="002A1E48">
        <w:rPr>
          <w:rFonts w:ascii="仿宋" w:eastAsia="仿宋" w:hAnsi="仿宋" w:cs="Times New Roman" w:hint="eastAsia"/>
          <w:b/>
          <w:bCs/>
          <w:sz w:val="24"/>
          <w:szCs w:val="24"/>
        </w:rPr>
        <w:t>一、项目概述</w:t>
      </w:r>
      <w:bookmarkEnd w:id="0"/>
    </w:p>
    <w:p w14:paraId="000977D6" w14:textId="77777777" w:rsidR="002A1E48" w:rsidRPr="002A1E48" w:rsidRDefault="002A1E48" w:rsidP="002A1E48">
      <w:pPr>
        <w:spacing w:after="160" w:line="480" w:lineRule="exact"/>
        <w:ind w:firstLineChars="183" w:firstLine="439"/>
        <w:contextualSpacing/>
        <w:rPr>
          <w:rFonts w:ascii="仿宋" w:eastAsia="仿宋" w:hAnsi="仿宋" w:cs="Times New Roman"/>
          <w:bCs/>
          <w:sz w:val="24"/>
          <w:szCs w:val="24"/>
        </w:rPr>
      </w:pPr>
      <w:bookmarkStart w:id="1" w:name="_Toc217446095"/>
      <w:r w:rsidRPr="002A1E48">
        <w:rPr>
          <w:rFonts w:ascii="仿宋" w:eastAsia="仿宋" w:hAnsi="仿宋" w:cs="Times New Roman" w:hint="eastAsia"/>
          <w:bCs/>
          <w:sz w:val="24"/>
          <w:szCs w:val="24"/>
        </w:rPr>
        <w:t>为贯彻落实全国职业教育大会精神，认真执行国家、省《职业教育改革实施方案》，积极推进《职业教育提质培优行动计划（2020-2023年）》，大力弘扬劳动光荣、技能宝贵、创造伟大的时代风尚，宣传展示技能创造美好生活、职业教育“长入经济、汇入生活、渗入人心、融入文化、进入议程”的改革发展成果，进一步营造全社会关心支持职业教育的良好氛围，大力推进成都公园城市示范区职业教育融合创新发展，根据《四川省教育厅等十部门关于做好2021年成渝地区双城经济圈职业教育活动周相关工作的通知》要求。经研究决定，开展2021成都市职业教育成果展示暨职业教育叙事大会。</w:t>
      </w:r>
    </w:p>
    <w:p w14:paraId="0646FC53" w14:textId="77777777" w:rsidR="002A1E48" w:rsidRPr="002A1E48" w:rsidRDefault="002A1E48" w:rsidP="002A1E48">
      <w:pPr>
        <w:spacing w:after="160" w:line="480" w:lineRule="exact"/>
        <w:ind w:firstLineChars="100" w:firstLine="240"/>
        <w:contextualSpacing/>
        <w:rPr>
          <w:rFonts w:ascii="仿宋" w:eastAsia="仿宋" w:hAnsi="仿宋" w:cs="Times New Roman"/>
          <w:bCs/>
          <w:sz w:val="24"/>
          <w:szCs w:val="24"/>
        </w:rPr>
      </w:pPr>
      <w:r w:rsidRPr="002A1E48">
        <w:rPr>
          <w:rFonts w:ascii="仿宋" w:eastAsia="仿宋" w:hAnsi="仿宋" w:cs="Times New Roman" w:hint="eastAsia"/>
          <w:bCs/>
          <w:sz w:val="24"/>
          <w:szCs w:val="24"/>
        </w:rPr>
        <w:t>【二】标的名称及</w:t>
      </w:r>
      <w:r w:rsidRPr="002A1E48">
        <w:rPr>
          <w:rFonts w:ascii="仿宋" w:eastAsia="仿宋" w:hAnsi="仿宋" w:cs="Times New Roman"/>
          <w:bCs/>
          <w:sz w:val="24"/>
          <w:szCs w:val="24"/>
        </w:rPr>
        <w:t>所属行业</w:t>
      </w:r>
      <w:r w:rsidRPr="002A1E48">
        <w:rPr>
          <w:rFonts w:ascii="仿宋" w:eastAsia="仿宋" w:hAnsi="仿宋" w:cs="Times New Roman" w:hint="eastAsia"/>
          <w:bCs/>
          <w:sz w:val="24"/>
          <w:szCs w:val="24"/>
        </w:rPr>
        <w:t>：其他未列明行业。</w:t>
      </w:r>
    </w:p>
    <w:p w14:paraId="6C4ABCBD" w14:textId="77777777" w:rsidR="002A1E48" w:rsidRPr="002A1E48" w:rsidRDefault="002A1E48" w:rsidP="002A1E48">
      <w:pPr>
        <w:keepNext/>
        <w:keepLines/>
        <w:spacing w:before="260" w:after="260" w:line="480" w:lineRule="exact"/>
        <w:contextualSpacing/>
        <w:outlineLvl w:val="1"/>
        <w:rPr>
          <w:rFonts w:ascii="仿宋" w:eastAsia="仿宋" w:hAnsi="仿宋" w:cs="Times New Roman"/>
          <w:b/>
          <w:bCs/>
          <w:sz w:val="24"/>
          <w:szCs w:val="24"/>
        </w:rPr>
      </w:pPr>
      <w:r w:rsidRPr="002A1E48">
        <w:rPr>
          <w:rFonts w:ascii="仿宋" w:eastAsia="仿宋" w:hAnsi="仿宋" w:cs="Times New Roman" w:hint="eastAsia"/>
          <w:b/>
          <w:bCs/>
          <w:sz w:val="24"/>
          <w:szCs w:val="24"/>
        </w:rPr>
        <w:t>二、商务要求</w:t>
      </w:r>
    </w:p>
    <w:p w14:paraId="0A379C30" w14:textId="77777777" w:rsidR="002A1E48" w:rsidRPr="002A1E48" w:rsidRDefault="002A1E48" w:rsidP="002A1E48">
      <w:pPr>
        <w:spacing w:after="160" w:line="480" w:lineRule="exact"/>
        <w:contextualSpacing/>
        <w:rPr>
          <w:rFonts w:ascii="仿宋" w:eastAsia="仿宋" w:hAnsi="仿宋" w:cs="Times New Roman"/>
          <w:b/>
          <w:bCs/>
          <w:sz w:val="24"/>
          <w:szCs w:val="24"/>
        </w:rPr>
      </w:pPr>
      <w:r w:rsidRPr="002A1E48">
        <w:rPr>
          <w:rFonts w:ascii="仿宋" w:eastAsia="仿宋" w:hAnsi="仿宋" w:cs="Times New Roman"/>
          <w:b/>
          <w:bCs/>
          <w:sz w:val="24"/>
          <w:szCs w:val="24"/>
        </w:rPr>
        <w:t>*1．</w:t>
      </w:r>
      <w:r w:rsidRPr="002A1E48">
        <w:rPr>
          <w:rFonts w:ascii="仿宋" w:eastAsia="仿宋" w:hAnsi="仿宋" w:cs="Times New Roman" w:hint="eastAsia"/>
          <w:b/>
          <w:bCs/>
          <w:sz w:val="24"/>
          <w:szCs w:val="24"/>
        </w:rPr>
        <w:t>服务期限</w:t>
      </w:r>
      <w:r w:rsidRPr="002A1E48">
        <w:rPr>
          <w:rFonts w:ascii="仿宋" w:eastAsia="仿宋" w:hAnsi="仿宋" w:cs="Times New Roman"/>
          <w:b/>
          <w:bCs/>
          <w:sz w:val="24"/>
          <w:szCs w:val="24"/>
        </w:rPr>
        <w:t>及地点</w:t>
      </w:r>
    </w:p>
    <w:p w14:paraId="126F92B7" w14:textId="77777777" w:rsidR="002A1E48" w:rsidRPr="002A1E48" w:rsidRDefault="002A1E48" w:rsidP="002A1E48">
      <w:pPr>
        <w:spacing w:after="160" w:line="480" w:lineRule="exact"/>
        <w:contextualSpacing/>
        <w:rPr>
          <w:rFonts w:ascii="仿宋" w:eastAsia="仿宋" w:hAnsi="仿宋" w:cs="Times New Roman"/>
          <w:bCs/>
          <w:sz w:val="24"/>
          <w:szCs w:val="24"/>
        </w:rPr>
      </w:pPr>
      <w:r w:rsidRPr="002A1E48">
        <w:rPr>
          <w:rFonts w:ascii="仿宋" w:eastAsia="仿宋" w:hAnsi="仿宋" w:cs="Times New Roman"/>
          <w:b/>
          <w:sz w:val="24"/>
          <w:szCs w:val="24"/>
        </w:rPr>
        <w:t xml:space="preserve">1.1 </w:t>
      </w:r>
      <w:r w:rsidRPr="002A1E48">
        <w:rPr>
          <w:rFonts w:ascii="仿宋" w:eastAsia="仿宋" w:hAnsi="仿宋" w:cs="Times New Roman" w:hint="eastAsia"/>
          <w:b/>
          <w:sz w:val="24"/>
          <w:szCs w:val="24"/>
        </w:rPr>
        <w:t>服务时间：</w:t>
      </w:r>
      <w:r w:rsidRPr="002A1E48">
        <w:rPr>
          <w:rFonts w:ascii="仿宋" w:eastAsia="仿宋" w:hAnsi="仿宋" w:cs="Times New Roman" w:hint="eastAsia"/>
          <w:sz w:val="24"/>
          <w:szCs w:val="24"/>
        </w:rPr>
        <w:t>2021年11月30日前，按要求完成项目各项服务内容。</w:t>
      </w:r>
    </w:p>
    <w:p w14:paraId="5D5C2F93" w14:textId="77777777" w:rsidR="002A1E48" w:rsidRPr="002A1E48" w:rsidRDefault="002A1E48" w:rsidP="002A1E48">
      <w:pPr>
        <w:spacing w:after="160" w:line="480" w:lineRule="exact"/>
        <w:contextualSpacing/>
        <w:rPr>
          <w:rFonts w:ascii="仿宋" w:eastAsia="仿宋" w:hAnsi="仿宋" w:cs="Times New Roman"/>
          <w:sz w:val="24"/>
          <w:szCs w:val="24"/>
        </w:rPr>
      </w:pPr>
      <w:r w:rsidRPr="002A1E48">
        <w:rPr>
          <w:rFonts w:ascii="仿宋" w:eastAsia="仿宋" w:hAnsi="仿宋" w:cs="Times New Roman"/>
          <w:b/>
          <w:sz w:val="24"/>
          <w:szCs w:val="24"/>
        </w:rPr>
        <w:t>1.2</w:t>
      </w:r>
      <w:r w:rsidRPr="002A1E48">
        <w:rPr>
          <w:rFonts w:ascii="仿宋" w:eastAsia="仿宋" w:hAnsi="仿宋" w:cs="Times New Roman" w:hint="eastAsia"/>
          <w:b/>
          <w:sz w:val="24"/>
          <w:szCs w:val="24"/>
        </w:rPr>
        <w:t>地点</w:t>
      </w:r>
      <w:r w:rsidRPr="002A1E48">
        <w:rPr>
          <w:rFonts w:ascii="仿宋" w:eastAsia="仿宋" w:hAnsi="仿宋" w:cs="Times New Roman"/>
          <w:b/>
          <w:sz w:val="24"/>
          <w:szCs w:val="24"/>
        </w:rPr>
        <w:t>:</w:t>
      </w:r>
      <w:r w:rsidRPr="002A1E48">
        <w:rPr>
          <w:rFonts w:ascii="仿宋" w:eastAsia="仿宋" w:hAnsi="仿宋" w:cs="Times New Roman" w:hint="eastAsia"/>
          <w:bCs/>
          <w:sz w:val="24"/>
          <w:szCs w:val="24"/>
        </w:rPr>
        <w:t>采购人指定地点。</w:t>
      </w:r>
    </w:p>
    <w:p w14:paraId="349A03FA" w14:textId="77777777" w:rsidR="002A1E48" w:rsidRPr="002A1E48" w:rsidRDefault="002A1E48" w:rsidP="002A1E48">
      <w:pPr>
        <w:spacing w:after="160" w:line="480" w:lineRule="exact"/>
        <w:contextualSpacing/>
        <w:rPr>
          <w:rFonts w:ascii="仿宋" w:eastAsia="仿宋" w:hAnsi="仿宋" w:cs="Times New Roman"/>
          <w:b/>
          <w:bCs/>
          <w:sz w:val="24"/>
          <w:szCs w:val="24"/>
        </w:rPr>
      </w:pPr>
      <w:r w:rsidRPr="002A1E48">
        <w:rPr>
          <w:rFonts w:ascii="仿宋" w:eastAsia="仿宋" w:hAnsi="仿宋" w:cs="Times New Roman"/>
          <w:b/>
          <w:bCs/>
          <w:sz w:val="24"/>
          <w:szCs w:val="24"/>
        </w:rPr>
        <w:t>*2．付款方法和条件：</w:t>
      </w:r>
    </w:p>
    <w:p w14:paraId="1397650A"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1）签订合同之后支付项目合同总金额的40%；完成全部服务工作，项目经采购人验收合格，且所提交的最终验收报告经采购人审核通过确认后，支付项目合同总额的60%；每次采购人付款前，供应商应先向采购人出具对应金额的合法发票。中标供应商未提交的，采购人有权拒绝付款。</w:t>
      </w:r>
    </w:p>
    <w:p w14:paraId="320BF498"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（2）项目产生的一切费用均由中标供应商承担。采购人无需向中选供应商支付合同价款之外的其他任何费用。</w:t>
      </w:r>
    </w:p>
    <w:p w14:paraId="0FB33B65" w14:textId="77777777" w:rsidR="002A1E48" w:rsidRPr="002A1E48" w:rsidRDefault="002A1E48" w:rsidP="002A1E48">
      <w:pPr>
        <w:spacing w:after="160" w:line="480" w:lineRule="exact"/>
        <w:contextualSpacing/>
        <w:rPr>
          <w:rFonts w:ascii="仿宋" w:eastAsia="仿宋" w:hAnsi="仿宋" w:cs="Times New Roman"/>
          <w:b/>
          <w:bCs/>
          <w:sz w:val="24"/>
          <w:szCs w:val="24"/>
        </w:rPr>
      </w:pP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3.知识产权归属：</w:t>
      </w:r>
    </w:p>
    <w:p w14:paraId="69FA52CD" w14:textId="77777777" w:rsidR="002A1E48" w:rsidRPr="002A1E48" w:rsidRDefault="002A1E48" w:rsidP="002A1E48">
      <w:pPr>
        <w:spacing w:after="160" w:line="480" w:lineRule="exact"/>
        <w:ind w:firstLineChars="150" w:firstLine="360"/>
        <w:contextualSpacing/>
        <w:rPr>
          <w:rFonts w:ascii="仿宋" w:eastAsia="仿宋" w:hAnsi="仿宋" w:cs="Times New Roman"/>
          <w:bCs/>
          <w:sz w:val="24"/>
          <w:szCs w:val="24"/>
        </w:rPr>
      </w:pPr>
      <w:r w:rsidRPr="002A1E48">
        <w:rPr>
          <w:rFonts w:ascii="仿宋" w:eastAsia="仿宋" w:hAnsi="仿宋" w:cs="Times New Roman" w:hint="eastAsia"/>
          <w:bCs/>
          <w:sz w:val="24"/>
          <w:szCs w:val="24"/>
        </w:rPr>
        <w:lastRenderedPageBreak/>
        <w:t>本项目工作开展的过程性资料及各项研究成果的知识产权归采购人所有；未经采购人授权，中标供应商不得擅自使用或对外发布。知识产权有效期为10年。</w:t>
      </w:r>
    </w:p>
    <w:p w14:paraId="43477CC1" w14:textId="77777777" w:rsidR="002A1E48" w:rsidRPr="002A1E48" w:rsidRDefault="002A1E48" w:rsidP="002A1E48">
      <w:pPr>
        <w:spacing w:after="160" w:line="480" w:lineRule="exact"/>
        <w:contextualSpacing/>
        <w:rPr>
          <w:rFonts w:ascii="仿宋" w:eastAsia="仿宋" w:hAnsi="仿宋" w:cs="Times New Roman"/>
          <w:b/>
          <w:bCs/>
          <w:sz w:val="24"/>
          <w:szCs w:val="24"/>
        </w:rPr>
      </w:pP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4</w:t>
      </w: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验收标准：</w:t>
      </w:r>
    </w:p>
    <w:p w14:paraId="2889E2BD"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（1）严格按照《招标文件》、中标供应商《响应文件》内容进行验收。</w:t>
      </w:r>
    </w:p>
    <w:p w14:paraId="4CCC3258"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（2）严格按照《财政部关于进一步加强政府采购需求和履约验收管理的指导意见》（财库[2016]205号）进行验收。</w:t>
      </w:r>
    </w:p>
    <w:p w14:paraId="50B430F6"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（3）采购人可根据项目情况邀请专家进行验收。</w:t>
      </w:r>
    </w:p>
    <w:p w14:paraId="2BC722C9" w14:textId="77777777" w:rsidR="002A1E48" w:rsidRPr="002A1E48" w:rsidRDefault="002A1E48" w:rsidP="002A1E48">
      <w:pPr>
        <w:spacing w:after="160" w:line="480" w:lineRule="exact"/>
        <w:contextualSpacing/>
        <w:rPr>
          <w:rFonts w:ascii="仿宋" w:eastAsia="仿宋" w:hAnsi="仿宋" w:cs="Times New Roman"/>
          <w:b/>
          <w:bCs/>
          <w:sz w:val="24"/>
          <w:szCs w:val="24"/>
        </w:rPr>
      </w:pP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5</w:t>
      </w: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违约责任：</w:t>
      </w:r>
    </w:p>
    <w:p w14:paraId="118E558F"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 xml:space="preserve">采购人违约责任 </w:t>
      </w:r>
    </w:p>
    <w:p w14:paraId="1C750EF1"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（1）采购人无正当理由导致变更、中止或者终止政府采购合同的，采购人应对中标供应商受到的损失予以赔偿或者补偿；</w:t>
      </w:r>
    </w:p>
    <w:p w14:paraId="51CAEBAC"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（2）采购人偿付的违约金不足以弥补中标供应商损失的，还应按中标供应商损失尚未弥补的部分，支付赔偿金给中标供应商。</w:t>
      </w:r>
    </w:p>
    <w:p w14:paraId="70C00132"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 xml:space="preserve">中标供应商违约责任 </w:t>
      </w:r>
    </w:p>
    <w:p w14:paraId="10FAC198"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1）中标供应商所提供的服务有不符合《招标文件》及其响应文件约定及合同约定的，中标供应商应向采购人支付合同约定的违约金，并须在采购人规定的整改期限内改正，否则视作中标供应商不能履约而违约，偿付违约金给采购人。</w:t>
      </w:r>
    </w:p>
    <w:p w14:paraId="7EE1A361"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（2）中标供应商不能履约而违约的，采购人有权终止合同，并须全额退还采购人已经付给中标供应商的款项及其利息。</w:t>
      </w:r>
    </w:p>
    <w:p w14:paraId="3145C52A"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（3）中标供应商偿付的违约金不足以弥补采购人损失的，还应按采购人损失尚未弥补的部分，支付赔偿金给采购人。</w:t>
      </w:r>
    </w:p>
    <w:p w14:paraId="5CA998B9" w14:textId="77777777" w:rsidR="002A1E48" w:rsidRPr="002A1E48" w:rsidRDefault="002A1E48" w:rsidP="002A1E48">
      <w:pPr>
        <w:spacing w:after="160" w:line="480" w:lineRule="exact"/>
        <w:contextualSpacing/>
        <w:rPr>
          <w:rFonts w:ascii="仿宋" w:eastAsia="仿宋" w:hAnsi="仿宋" w:cs="Times New Roman"/>
          <w:b/>
          <w:bCs/>
          <w:sz w:val="24"/>
          <w:szCs w:val="24"/>
        </w:rPr>
      </w:pP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6</w:t>
      </w:r>
      <w:r w:rsidRPr="002A1E48">
        <w:rPr>
          <w:rFonts w:ascii="仿宋" w:eastAsia="仿宋" w:hAnsi="仿宋" w:cs="Times New Roman"/>
          <w:b/>
          <w:bCs/>
          <w:sz w:val="24"/>
          <w:szCs w:val="24"/>
        </w:rPr>
        <w:t>.</w:t>
      </w:r>
      <w:r w:rsidRPr="002A1E48">
        <w:rPr>
          <w:rFonts w:ascii="仿宋" w:eastAsia="仿宋" w:hAnsi="仿宋" w:cs="Times New Roman" w:hint="eastAsia"/>
          <w:b/>
          <w:bCs/>
          <w:sz w:val="24"/>
          <w:szCs w:val="24"/>
        </w:rPr>
        <w:t>服务成果：</w:t>
      </w:r>
    </w:p>
    <w:p w14:paraId="7154E172" w14:textId="77777777" w:rsidR="002A1E48" w:rsidRPr="002A1E48" w:rsidRDefault="002A1E48" w:rsidP="002A1E48">
      <w:pPr>
        <w:spacing w:after="160" w:line="480" w:lineRule="exact"/>
        <w:ind w:firstLineChars="200" w:firstLine="480"/>
        <w:contextualSpacing/>
        <w:rPr>
          <w:rFonts w:ascii="仿宋" w:eastAsia="仿宋" w:hAnsi="仿宋" w:cs="Times New Roman"/>
          <w:bCs/>
          <w:sz w:val="24"/>
          <w:szCs w:val="24"/>
        </w:rPr>
      </w:pPr>
      <w:r w:rsidRPr="002A1E48">
        <w:rPr>
          <w:rFonts w:ascii="仿宋" w:eastAsia="仿宋" w:hAnsi="仿宋" w:cs="Times New Roman" w:hint="eastAsia"/>
          <w:bCs/>
          <w:sz w:val="24"/>
          <w:szCs w:val="24"/>
        </w:rPr>
        <w:t>根据采购人要求提交项目实施过程中产生的全部过程性材料，并形成成果文字材料及对应的视频、音频材料，全部项目材料需完整交给采购人存档。</w:t>
      </w:r>
    </w:p>
    <w:p w14:paraId="6059D65C" w14:textId="77777777" w:rsidR="002A1E48" w:rsidRPr="002A1E48" w:rsidRDefault="002A1E48" w:rsidP="002A1E48">
      <w:pPr>
        <w:keepNext/>
        <w:keepLines/>
        <w:spacing w:before="260" w:after="260" w:line="480" w:lineRule="exact"/>
        <w:contextualSpacing/>
        <w:outlineLvl w:val="1"/>
        <w:rPr>
          <w:rFonts w:ascii="仿宋" w:eastAsia="仿宋" w:hAnsi="仿宋" w:cs="Times New Roman"/>
          <w:b/>
          <w:bCs/>
          <w:sz w:val="24"/>
          <w:szCs w:val="24"/>
        </w:rPr>
      </w:pPr>
      <w:r w:rsidRPr="002A1E48">
        <w:rPr>
          <w:rFonts w:ascii="仿宋" w:eastAsia="仿宋" w:hAnsi="仿宋" w:cs="Times New Roman" w:hint="eastAsia"/>
          <w:b/>
          <w:bCs/>
          <w:sz w:val="24"/>
          <w:szCs w:val="24"/>
        </w:rPr>
        <w:t>三、</w:t>
      </w:r>
      <w:r w:rsidRPr="002A1E48">
        <w:rPr>
          <w:rFonts w:ascii="仿宋" w:eastAsia="仿宋" w:hAnsi="仿宋" w:cs="Times New Roman"/>
          <w:b/>
          <w:bCs/>
          <w:sz w:val="24"/>
          <w:szCs w:val="24"/>
        </w:rPr>
        <w:t>服务要求</w:t>
      </w:r>
      <w:bookmarkEnd w:id="1"/>
      <w:r w:rsidRPr="002A1E48">
        <w:rPr>
          <w:rFonts w:ascii="仿宋" w:eastAsia="仿宋" w:hAnsi="仿宋" w:cs="Times New Roman" w:hint="eastAsia"/>
          <w:b/>
          <w:bCs/>
          <w:sz w:val="24"/>
          <w:szCs w:val="24"/>
        </w:rPr>
        <w:t>及其他</w:t>
      </w:r>
    </w:p>
    <w:p w14:paraId="718182AD"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1、2021年成都市职教叙事大会的组织实施。</w:t>
      </w:r>
    </w:p>
    <w:p w14:paraId="107F1F56"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1）负责按照甲方要求遴选邀请参会专家及相关领域内知名人士（3-6名），并做好接待（含住宿、餐饮、交通、劳务）工作，将职教成果展主会场及分会场叙事大会活动拍摄、制作为不少于80分钟的短视频和高质量画册。</w:t>
      </w:r>
    </w:p>
    <w:p w14:paraId="77E1DCB6"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lastRenderedPageBreak/>
        <w:t>2、2021年成都市职业教育成果展的组织实施。</w:t>
      </w:r>
    </w:p>
    <w:p w14:paraId="2EDD3458"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（1）现场部分</w:t>
      </w:r>
    </w:p>
    <w:p w14:paraId="772DE21E"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①舞台：舞台搭建、舞台围边、地毯铺设；</w:t>
      </w:r>
    </w:p>
    <w:p w14:paraId="3648840C"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②灯光设备1套（站灯架1套，LED灯光束灯6台）；</w:t>
      </w:r>
    </w:p>
    <w:p w14:paraId="16FE909C"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③音响设备1套（线阵音箱6只、超低频音箱4只，PS--15音箱4只、数码调音台1套、无线话筒8套、音响吊架1套）；</w:t>
      </w:r>
    </w:p>
    <w:p w14:paraId="3EFE78C1"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④</w:t>
      </w:r>
      <w:proofErr w:type="gramStart"/>
      <w:r w:rsidRPr="002A1E48">
        <w:rPr>
          <w:rFonts w:ascii="仿宋" w:eastAsia="仿宋" w:hAnsi="仿宋" w:cs="Times New Roman" w:hint="eastAsia"/>
          <w:sz w:val="24"/>
          <w:szCs w:val="24"/>
        </w:rPr>
        <w:t>主背景</w:t>
      </w:r>
      <w:proofErr w:type="gramEnd"/>
      <w:r w:rsidRPr="002A1E48">
        <w:rPr>
          <w:rFonts w:ascii="仿宋" w:eastAsia="仿宋" w:hAnsi="仿宋" w:cs="Times New Roman" w:hint="eastAsia"/>
          <w:sz w:val="24"/>
          <w:szCs w:val="24"/>
        </w:rPr>
        <w:t>板的设计制作（规格不小于20m*5m），成果展示喷绘总面积不少于210平方米；</w:t>
      </w:r>
    </w:p>
    <w:p w14:paraId="436B53E9"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⑤现场摄像机位不得少于3个，含摇臂机位1个，现场专业照相人员不少于3人；</w:t>
      </w:r>
    </w:p>
    <w:p w14:paraId="077EFCA5"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⑥充气拱门一套；</w:t>
      </w:r>
    </w:p>
    <w:p w14:paraId="2DAF081B"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⑦横幅不少于30米；</w:t>
      </w:r>
    </w:p>
    <w:p w14:paraId="2ED6B632"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⑧会场导示牌（总面积不少于4平方米）、通行证（不少于50张）的设计制作；</w:t>
      </w:r>
    </w:p>
    <w:p w14:paraId="7E187374"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⑨技能展示区：设计搭建不低于15个展台，长宽高3米、2米、3米；</w:t>
      </w:r>
    </w:p>
    <w:p w14:paraId="0B121A70"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⑩技能体验：面向成都市不少于4个区（市）县的民众，在公共场所组织开展技能体验活动共不少于8次。</w:t>
      </w:r>
    </w:p>
    <w:p w14:paraId="508CE060"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（2）人员部分</w:t>
      </w:r>
    </w:p>
    <w:p w14:paraId="4788AABA"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①参会专家的接待（包含住宿、餐饮、交通、劳务）；</w:t>
      </w:r>
    </w:p>
    <w:p w14:paraId="610A71F7"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②全体文艺汇演</w:t>
      </w:r>
      <w:proofErr w:type="gramStart"/>
      <w:r w:rsidRPr="002A1E48">
        <w:rPr>
          <w:rFonts w:ascii="仿宋" w:eastAsia="仿宋" w:hAnsi="仿宋" w:cs="Times New Roman" w:hint="eastAsia"/>
          <w:sz w:val="24"/>
          <w:szCs w:val="24"/>
        </w:rPr>
        <w:t>演</w:t>
      </w:r>
      <w:proofErr w:type="gramEnd"/>
      <w:r w:rsidRPr="002A1E48">
        <w:rPr>
          <w:rFonts w:ascii="仿宋" w:eastAsia="仿宋" w:hAnsi="仿宋" w:cs="Times New Roman" w:hint="eastAsia"/>
          <w:sz w:val="24"/>
          <w:szCs w:val="24"/>
        </w:rPr>
        <w:t>职人员的餐饮及领队劳务费；</w:t>
      </w:r>
    </w:p>
    <w:p w14:paraId="68C30D1C"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③甲方委派工作人员的住宿、餐饮、交通安排等。</w:t>
      </w:r>
    </w:p>
    <w:p w14:paraId="1DDAD918"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（3）其他物料</w:t>
      </w:r>
    </w:p>
    <w:p w14:paraId="6FC7331A"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桌卡（不少于40个）、颁奖证书（200本）、成果展画册（铜版纸,210mm*285mm，100本）的设计制作；桌子20张（规格：1.2m*0.5m*0.75m）、椅子100把。</w:t>
      </w:r>
    </w:p>
    <w:p w14:paraId="48004DED"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（4）宣传部分</w:t>
      </w:r>
    </w:p>
    <w:p w14:paraId="4EBA6313"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t>在纸质媒体《成都日报》发布篇幅不少于两版的报道、在“四川教育发布”、“今日头条”等不少于8个新媒体进行报道；成都轨道交通TOD站点墙体广告位不少于6块，展示不少于3周；主要交通主干道公交站台广告位不少于10块，展示不少于3周；活动期间在有较高知名度的网络平台进行直播。</w:t>
      </w:r>
    </w:p>
    <w:p w14:paraId="5F77B1E8" w14:textId="77777777" w:rsidR="002A1E48" w:rsidRPr="002A1E48" w:rsidRDefault="002A1E48" w:rsidP="002A1E48">
      <w:pPr>
        <w:spacing w:after="160" w:line="480" w:lineRule="exact"/>
        <w:ind w:firstLine="480"/>
        <w:contextualSpacing/>
        <w:rPr>
          <w:rFonts w:ascii="仿宋" w:eastAsia="仿宋" w:hAnsi="仿宋" w:cs="Times New Roman"/>
          <w:sz w:val="24"/>
          <w:szCs w:val="24"/>
        </w:rPr>
      </w:pPr>
      <w:r w:rsidRPr="002A1E48">
        <w:rPr>
          <w:rFonts w:ascii="仿宋" w:eastAsia="仿宋" w:hAnsi="仿宋" w:cs="Times New Roman" w:hint="eastAsia"/>
          <w:sz w:val="24"/>
          <w:szCs w:val="24"/>
        </w:rPr>
        <w:lastRenderedPageBreak/>
        <w:t>（5）其他要求：</w:t>
      </w:r>
    </w:p>
    <w:p w14:paraId="0DF1019A" w14:textId="77777777" w:rsidR="002A1E48" w:rsidRPr="002A1E48" w:rsidRDefault="002A1E48" w:rsidP="002A1E48">
      <w:pPr>
        <w:spacing w:after="160" w:line="480" w:lineRule="exact"/>
        <w:ind w:firstLineChars="300" w:firstLine="720"/>
        <w:contextualSpacing/>
        <w:rPr>
          <w:rFonts w:ascii="仿宋" w:eastAsia="仿宋" w:hAnsi="仿宋" w:cs="Times New Roman"/>
          <w:sz w:val="24"/>
          <w:szCs w:val="24"/>
        </w:rPr>
      </w:pPr>
      <w:r w:rsidRPr="002A1E48">
        <w:rPr>
          <w:rFonts w:ascii="仿宋" w:eastAsia="仿宋" w:hAnsi="仿宋" w:cs="Times New Roman" w:hint="eastAsia"/>
          <w:sz w:val="24"/>
          <w:szCs w:val="24"/>
        </w:rPr>
        <w:t>①负责所有活动及会务的组织接待工作，做好紧急情况的应对措施，保证项目顺利安全的实施。</w:t>
      </w:r>
    </w:p>
    <w:p w14:paraId="71D72F22" w14:textId="77777777" w:rsidR="002A1E48" w:rsidRPr="002A1E48" w:rsidRDefault="002A1E48" w:rsidP="002A1E48">
      <w:pPr>
        <w:spacing w:after="160" w:line="480" w:lineRule="exact"/>
        <w:ind w:firstLineChars="300" w:firstLine="720"/>
        <w:contextualSpacing/>
        <w:rPr>
          <w:rFonts w:ascii="仿宋" w:eastAsia="仿宋" w:hAnsi="仿宋" w:cs="Times New Roman"/>
          <w:sz w:val="24"/>
          <w:szCs w:val="24"/>
        </w:rPr>
      </w:pPr>
      <w:r w:rsidRPr="002A1E48">
        <w:rPr>
          <w:rFonts w:ascii="仿宋" w:eastAsia="仿宋" w:hAnsi="仿宋" w:cs="Times New Roman" w:hint="eastAsia"/>
          <w:sz w:val="24"/>
          <w:szCs w:val="24"/>
        </w:rPr>
        <w:t>②负责现场的安全管理工作。</w:t>
      </w:r>
    </w:p>
    <w:p w14:paraId="1BEFC6AC" w14:textId="67382269" w:rsidR="006D2B68" w:rsidRDefault="002A1E48" w:rsidP="002A1E48">
      <w:r w:rsidRPr="002A1E48">
        <w:rPr>
          <w:rFonts w:ascii="仿宋" w:eastAsia="仿宋" w:hAnsi="仿宋" w:cs="Times New Roman"/>
          <w:sz w:val="24"/>
          <w:szCs w:val="24"/>
        </w:rPr>
        <w:t>③</w:t>
      </w:r>
      <w:r w:rsidRPr="002A1E48">
        <w:rPr>
          <w:rFonts w:ascii="仿宋" w:eastAsia="仿宋" w:hAnsi="仿宋" w:cs="Times New Roman" w:hint="eastAsia"/>
          <w:bCs/>
          <w:sz w:val="24"/>
          <w:szCs w:val="24"/>
        </w:rPr>
        <w:t>项目提请验收前中标供应商需向采购人提交不少于4500字的总结报告。</w:t>
      </w:r>
    </w:p>
    <w:sectPr w:rsidR="006D2B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48"/>
    <w:rsid w:val="002A1E48"/>
    <w:rsid w:val="006D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A43"/>
  <w15:chartTrackingRefBased/>
  <w15:docId w15:val="{0F60888F-D07B-49C4-B864-CACB692E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2021-06-18T07:32:00Z</dcterms:created>
  <dcterms:modified xsi:type="dcterms:W3CDTF">2021-06-18T07:32:00Z</dcterms:modified>
</cp:coreProperties>
</file>